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COMMITTEE ON RESEARCH</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February 06, 2018  </w:t>
        <w:tab/>
      </w:r>
      <w:r w:rsidDel="00000000" w:rsidR="00000000" w:rsidRPr="00000000">
        <w:rPr>
          <w:b w:val="1"/>
          <w:sz w:val="22"/>
          <w:szCs w:val="22"/>
          <w:rtl w:val="0"/>
        </w:rPr>
        <w:t xml:space="preserve">1:30 PM - 2:30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Noa Lincoln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Jennifer Beamer </w:t>
              <w:br w:type="textWrapping"/>
              <w:t xml:space="preserve">(Spring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Peter Mouginis-Mark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Rajesh Jha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Tao Yan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Katalin Csiszar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 Sanders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Brett Oppegaard</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James Richardson (Fall Chair) </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David Duffy - SEC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Jennifer Beamer, COR Chair at 1:33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9"/>
              </w:numPr>
              <w:spacing w:after="2.4" w:before="2.4" w:lineRule="auto"/>
              <w:ind w:left="360" w:hanging="360"/>
              <w:rPr>
                <w:sz w:val="22"/>
                <w:szCs w:val="22"/>
              </w:rPr>
            </w:pPr>
            <w:r w:rsidDel="00000000" w:rsidR="00000000" w:rsidRPr="00000000">
              <w:rPr>
                <w:sz w:val="22"/>
                <w:szCs w:val="22"/>
                <w:rtl w:val="0"/>
              </w:rPr>
              <w:t xml:space="preserve">The COR minutes of January 09, 2018 were circulated electronically.   </w:t>
            </w:r>
          </w:p>
        </w:tc>
        <w:tc>
          <w:tcPr/>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Jim Richardson to approve the              January 9, 2018 minutes; seconded by Raj Jha.  </w:t>
              <w:br w:type="textWrapping"/>
              <w:t xml:space="preserve">Approved unanimously.</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(6  “Yes”, 0 “abstain”)</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4">
            <w:pPr>
              <w:pageBreakBefore w:val="0"/>
              <w:numPr>
                <w:ilvl w:val="0"/>
                <w:numId w:val="4"/>
              </w:numPr>
              <w:spacing w:after="2.4" w:before="2.4" w:lineRule="auto"/>
              <w:ind w:left="360" w:hanging="360"/>
              <w:rPr>
                <w:sz w:val="22"/>
                <w:szCs w:val="22"/>
              </w:rPr>
            </w:pPr>
            <w:r w:rsidDel="00000000" w:rsidR="00000000" w:rsidRPr="00000000">
              <w:rPr>
                <w:sz w:val="22"/>
                <w:szCs w:val="22"/>
                <w:rtl w:val="0"/>
              </w:rPr>
              <w:t xml:space="preserve">Chair Jennifer Beamer thanked Jim Richardson for chairing last month’s CoR meeting.</w:t>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7">
            <w:pPr>
              <w:pageBreakBefore w:val="0"/>
              <w:numPr>
                <w:ilvl w:val="0"/>
                <w:numId w:val="2"/>
              </w:numPr>
              <w:ind w:left="360" w:hanging="360"/>
              <w:rPr>
                <w:sz w:val="22"/>
                <w:szCs w:val="22"/>
              </w:rPr>
            </w:pPr>
            <w:r w:rsidDel="00000000" w:rsidR="00000000" w:rsidRPr="00000000">
              <w:rPr>
                <w:sz w:val="22"/>
                <w:szCs w:val="22"/>
                <w:rtl w:val="0"/>
              </w:rPr>
              <w:t xml:space="preserve">CoR to take a look at how research performance is defined across campus.  Raj and Davis Sanders first discussed how we might assess research (pubs. and their impact factors, graduate student mentoring, patents, extension requirements, mentoring post-docs, etc.)?  IfA evidently does this every two years as the basis for consideration of merit pay raises.  David S. suggested that CoR could start by looking at the NRC criteria.</w:t>
            </w:r>
          </w:p>
          <w:p w:rsidR="00000000" w:rsidDel="00000000" w:rsidP="00000000" w:rsidRDefault="00000000" w:rsidRPr="00000000" w14:paraId="00000048">
            <w:pPr>
              <w:pageBreakBefore w:val="0"/>
              <w:ind w:left="360" w:hanging="360"/>
              <w:rPr>
                <w:sz w:val="22"/>
                <w:szCs w:val="22"/>
              </w:rPr>
            </w:pPr>
            <w:r w:rsidDel="00000000" w:rsidR="00000000" w:rsidRPr="00000000">
              <w:rPr>
                <w:rtl w:val="0"/>
              </w:rPr>
            </w:r>
          </w:p>
          <w:p w:rsidR="00000000" w:rsidDel="00000000" w:rsidP="00000000" w:rsidRDefault="00000000" w:rsidRPr="00000000" w14:paraId="00000049">
            <w:pPr>
              <w:pageBreakBefore w:val="0"/>
              <w:ind w:left="360" w:firstLine="0"/>
              <w:rPr>
                <w:sz w:val="22"/>
                <w:szCs w:val="22"/>
              </w:rPr>
            </w:pPr>
            <w:r w:rsidDel="00000000" w:rsidR="00000000" w:rsidRPr="00000000">
              <w:rPr>
                <w:sz w:val="22"/>
                <w:szCs w:val="22"/>
                <w:rtl w:val="0"/>
              </w:rPr>
              <w:t xml:space="preserve">Katalin described how Departments in the Medical School have detailed requirements for various types of faculty which include teaching graduate and medical school courses. Med. School R-faculty in their annual report can indicate the actual efforts for research vs. teaching and agree with their chairs if prior effort percentages change.</w:t>
            </w:r>
          </w:p>
          <w:p w:rsidR="00000000" w:rsidDel="00000000" w:rsidP="00000000" w:rsidRDefault="00000000" w:rsidRPr="00000000" w14:paraId="0000004A">
            <w:pPr>
              <w:pageBreakBefore w:val="0"/>
              <w:ind w:left="360" w:firstLine="0"/>
              <w:rPr>
                <w:sz w:val="22"/>
                <w:szCs w:val="22"/>
              </w:rPr>
            </w:pPr>
            <w:r w:rsidDel="00000000" w:rsidR="00000000" w:rsidRPr="00000000">
              <w:rPr>
                <w:rtl w:val="0"/>
              </w:rPr>
            </w:r>
          </w:p>
          <w:p w:rsidR="00000000" w:rsidDel="00000000" w:rsidP="00000000" w:rsidRDefault="00000000" w:rsidRPr="00000000" w14:paraId="0000004B">
            <w:pPr>
              <w:pageBreakBefore w:val="0"/>
              <w:ind w:left="360" w:firstLine="0"/>
              <w:rPr>
                <w:sz w:val="22"/>
                <w:szCs w:val="22"/>
              </w:rPr>
            </w:pPr>
            <w:r w:rsidDel="00000000" w:rsidR="00000000" w:rsidRPr="00000000">
              <w:rPr>
                <w:sz w:val="22"/>
                <w:szCs w:val="22"/>
                <w:rtl w:val="0"/>
              </w:rPr>
              <w:t xml:space="preserve">Dave Duffy posed the question that such redefinition of performance might lead to micro-management of the faculty by a Dean.  </w:t>
            </w:r>
          </w:p>
          <w:p w:rsidR="00000000" w:rsidDel="00000000" w:rsidP="00000000" w:rsidRDefault="00000000" w:rsidRPr="00000000" w14:paraId="0000004C">
            <w:pPr>
              <w:pageBreakBefore w:val="0"/>
              <w:ind w:left="360" w:hanging="360"/>
              <w:rPr>
                <w:sz w:val="22"/>
                <w:szCs w:val="22"/>
              </w:rPr>
            </w:pPr>
            <w:r w:rsidDel="00000000" w:rsidR="00000000" w:rsidRPr="00000000">
              <w:rPr>
                <w:rtl w:val="0"/>
              </w:rPr>
            </w:r>
          </w:p>
        </w:tc>
        <w:tc>
          <w:tcPr/>
          <w:p w:rsidR="00000000" w:rsidDel="00000000" w:rsidP="00000000" w:rsidRDefault="00000000" w:rsidRPr="00000000" w14:paraId="0000004D">
            <w:pPr>
              <w:pageBreakBefore w:val="0"/>
              <w:numPr>
                <w:ilvl w:val="0"/>
                <w:numId w:val="6"/>
              </w:numPr>
              <w:ind w:left="360" w:hanging="360"/>
              <w:rPr>
                <w:sz w:val="22"/>
                <w:szCs w:val="22"/>
              </w:rPr>
            </w:pPr>
            <w:r w:rsidDel="00000000" w:rsidR="00000000" w:rsidRPr="00000000">
              <w:rPr>
                <w:sz w:val="22"/>
                <w:szCs w:val="22"/>
                <w:rtl w:val="0"/>
              </w:rPr>
              <w:t xml:space="preserve">Jennifer would provide an electronic link to a Google doc. upon which we can add our different experiences on metric.  She made this available to CoR on February 11th.</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numPr>
                <w:ilvl w:val="0"/>
                <w:numId w:val="6"/>
              </w:numPr>
              <w:ind w:left="360" w:hanging="360"/>
              <w:rPr>
                <w:sz w:val="22"/>
                <w:szCs w:val="22"/>
                <w:u w:val="none"/>
              </w:rPr>
            </w:pPr>
            <w:r w:rsidDel="00000000" w:rsidR="00000000" w:rsidRPr="00000000">
              <w:rPr>
                <w:sz w:val="22"/>
                <w:szCs w:val="22"/>
                <w:rtl w:val="0"/>
              </w:rPr>
              <w:t xml:space="preserve">CoR will decide at the next meeting how to proceed from here.  Options might include sending our findings to the SEC.</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NEW BUSINESS</w:t>
            </w:r>
          </w:p>
          <w:p w:rsidR="00000000" w:rsidDel="00000000" w:rsidP="00000000" w:rsidRDefault="00000000" w:rsidRPr="00000000" w14:paraId="00000051">
            <w:pPr>
              <w:pageBreakBefore w:val="0"/>
              <w:rPr>
                <w:b w:val="1"/>
                <w:sz w:val="20"/>
                <w:szCs w:val="20"/>
              </w:rPr>
            </w:pPr>
            <w:r w:rsidDel="00000000" w:rsidR="00000000" w:rsidRPr="00000000">
              <w:rPr>
                <w:rtl w:val="0"/>
              </w:rPr>
            </w:r>
          </w:p>
        </w:tc>
        <w:tc>
          <w:tcPr/>
          <w:p w:rsidR="00000000" w:rsidDel="00000000" w:rsidP="00000000" w:rsidRDefault="00000000" w:rsidRPr="00000000" w14:paraId="00000052">
            <w:pPr>
              <w:pageBreakBefore w:val="0"/>
              <w:numPr>
                <w:ilvl w:val="0"/>
                <w:numId w:val="5"/>
              </w:numPr>
              <w:ind w:left="360" w:hanging="360"/>
              <w:rPr>
                <w:sz w:val="22"/>
                <w:szCs w:val="22"/>
                <w:u w:val="none"/>
              </w:rPr>
            </w:pPr>
            <w:r w:rsidDel="00000000" w:rsidR="00000000" w:rsidRPr="00000000">
              <w:rPr>
                <w:sz w:val="22"/>
                <w:szCs w:val="22"/>
                <w:rtl w:val="0"/>
              </w:rPr>
              <w:t xml:space="preserve">Katalin Csiszar provided an update on the January 2018  meeting of the Federal Demonstration Partnership.  A representative from ORS regularly attends this meeting, this year we had a Senate appointed faculty representative.  Katalin described the Faculty Representatives' sessions which she attended, including presentation on the latest developments and initiatives including NIH concerns/measures related to research quality, and the 2014 and the currently ongoing faculty admin burden surveys.</w:t>
            </w:r>
          </w:p>
          <w:p w:rsidR="00000000" w:rsidDel="00000000" w:rsidP="00000000" w:rsidRDefault="00000000" w:rsidRPr="00000000" w14:paraId="00000053">
            <w:pPr>
              <w:pageBreakBefore w:val="0"/>
              <w:ind w:left="360" w:hanging="360"/>
              <w:rPr>
                <w:sz w:val="22"/>
                <w:szCs w:val="22"/>
              </w:rPr>
            </w:pPr>
            <w:r w:rsidDel="00000000" w:rsidR="00000000" w:rsidRPr="00000000">
              <w:rPr>
                <w:rtl w:val="0"/>
              </w:rPr>
            </w:r>
          </w:p>
          <w:p w:rsidR="00000000" w:rsidDel="00000000" w:rsidP="00000000" w:rsidRDefault="00000000" w:rsidRPr="00000000" w14:paraId="00000054">
            <w:pPr>
              <w:pageBreakBefore w:val="0"/>
              <w:ind w:left="360" w:firstLine="0"/>
              <w:rPr>
                <w:sz w:val="22"/>
                <w:szCs w:val="22"/>
              </w:rPr>
            </w:pPr>
            <w:r w:rsidDel="00000000" w:rsidR="00000000" w:rsidRPr="00000000">
              <w:rPr>
                <w:sz w:val="22"/>
                <w:szCs w:val="22"/>
                <w:rtl w:val="0"/>
              </w:rPr>
              <w:t xml:space="preserve">Some interesting points were raised, and CoR was concerned to hear that, from a broad national survey (~13,000 researchers in 2005 and 2014), it was estimated that 43% of a federally funded research faculty member’s time was devoted to administrative duties (proposal preparation and reporting), rather than actually conducting the research.  Human/animal research plus clinical trials have additional documentation needs.</w:t>
            </w:r>
          </w:p>
          <w:p w:rsidR="00000000" w:rsidDel="00000000" w:rsidP="00000000" w:rsidRDefault="00000000" w:rsidRPr="00000000" w14:paraId="00000055">
            <w:pPr>
              <w:pageBreakBefore w:val="0"/>
              <w:ind w:left="360" w:firstLine="0"/>
              <w:rPr>
                <w:sz w:val="22"/>
                <w:szCs w:val="22"/>
              </w:rPr>
            </w:pPr>
            <w:r w:rsidDel="00000000" w:rsidR="00000000" w:rsidRPr="00000000">
              <w:rPr>
                <w:rtl w:val="0"/>
              </w:rPr>
            </w:r>
          </w:p>
          <w:p w:rsidR="00000000" w:rsidDel="00000000" w:rsidP="00000000" w:rsidRDefault="00000000" w:rsidRPr="00000000" w14:paraId="00000056">
            <w:pPr>
              <w:pageBreakBefore w:val="0"/>
              <w:ind w:left="360" w:firstLine="0"/>
              <w:rPr>
                <w:sz w:val="22"/>
                <w:szCs w:val="22"/>
              </w:rPr>
            </w:pPr>
            <w:r w:rsidDel="00000000" w:rsidR="00000000" w:rsidRPr="00000000">
              <w:rPr>
                <w:sz w:val="22"/>
                <w:szCs w:val="22"/>
                <w:rtl w:val="0"/>
              </w:rPr>
              <w:t xml:space="preserve">NIH is very concerned about the high failure rate of their clinical trials.  There is a mismatch between successful research and the number of papers published.  There is a conflict between an institution’s need to see numerous peer-reviewed papers from a tenure-track faculty member and the need to conduct/publish fewer but high quality science.  NIH is moving to enforce greater rigor  in assessing quality research with funds going to fewer projects and a few “big” institutions.  How might this impact UHM?</w:t>
            </w:r>
          </w:p>
        </w:tc>
        <w:tc>
          <w:tcPr/>
          <w:p w:rsidR="00000000" w:rsidDel="00000000" w:rsidP="00000000" w:rsidRDefault="00000000" w:rsidRPr="00000000" w14:paraId="00000057">
            <w:pPr>
              <w:pageBreakBefore w:val="0"/>
              <w:numPr>
                <w:ilvl w:val="0"/>
                <w:numId w:val="8"/>
              </w:numPr>
              <w:ind w:left="360" w:hanging="360"/>
              <w:rPr>
                <w:sz w:val="22"/>
                <w:szCs w:val="22"/>
                <w:u w:val="none"/>
              </w:rPr>
            </w:pPr>
            <w:r w:rsidDel="00000000" w:rsidR="00000000" w:rsidRPr="00000000">
              <w:rPr>
                <w:sz w:val="22"/>
                <w:szCs w:val="22"/>
                <w:rtl w:val="0"/>
              </w:rPr>
              <w:t xml:space="preserve">Katalin will email CoR member her presentation slides.</w:t>
            </w:r>
            <w:r w:rsidDel="00000000" w:rsidR="00000000" w:rsidRPr="00000000">
              <w:rPr>
                <w:sz w:val="22"/>
                <w:szCs w:val="22"/>
                <w:rtl w:val="0"/>
              </w:rPr>
              <w:t xml:space="preserve">  She did this on February 15th. </w:t>
            </w:r>
          </w:p>
          <w:p w:rsidR="00000000" w:rsidDel="00000000" w:rsidP="00000000" w:rsidRDefault="00000000" w:rsidRPr="00000000" w14:paraId="00000058">
            <w:pPr>
              <w:pageBreakBefore w:val="0"/>
              <w:numPr>
                <w:ilvl w:val="0"/>
                <w:numId w:val="8"/>
              </w:numPr>
              <w:ind w:left="360" w:hanging="360"/>
              <w:rPr>
                <w:sz w:val="22"/>
                <w:szCs w:val="22"/>
                <w:u w:val="none"/>
              </w:rPr>
            </w:pPr>
            <w:r w:rsidDel="00000000" w:rsidR="00000000" w:rsidRPr="00000000">
              <w:rPr>
                <w:sz w:val="22"/>
                <w:szCs w:val="22"/>
                <w:rtl w:val="0"/>
              </w:rPr>
              <w:t xml:space="preserve">CoR will formulate a set of questions which could be asked of UH Admin on how we can reduce the administrative burden on our research endeavors.</w:t>
              <w:br w:type="textWrapping"/>
              <w:br w:type="textWrapping"/>
              <w:br w:type="textWrapping"/>
              <w:br w:type="textWrapping"/>
              <w:br w:type="textWrapping"/>
              <w:br w:type="textWrapping"/>
              <w:br w:type="textWrapping"/>
              <w:br w:type="textWrapping"/>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A">
            <w:pPr>
              <w:pageBreakBefore w:val="0"/>
              <w:rPr>
                <w:sz w:val="20"/>
                <w:szCs w:val="20"/>
              </w:rPr>
            </w:pP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Research will be on March 6, 2018 from 1:30 PM - 2:30 PM in Hawaii Hall 208.</w:t>
            </w: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Raj Jha was excused at 2:40 p.m.  The motion to adjourn was proposed by Jim Richardson and seconded by Katalin Csiszar. </w:t>
              <w:br w:type="textWrapping"/>
              <w:t xml:space="preserve">Passed unanimously (6 “Yes”, 0 “abstain”).  </w:t>
              <w:br w:type="textWrapping"/>
            </w:r>
          </w:p>
          <w:p w:rsidR="00000000" w:rsidDel="00000000" w:rsidP="00000000" w:rsidRDefault="00000000" w:rsidRPr="00000000" w14:paraId="0000005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Meeting adjourned at 2:50 P.M.</w:t>
            </w:r>
            <w:r w:rsidDel="00000000" w:rsidR="00000000" w:rsidRPr="00000000">
              <w:rPr>
                <w:rtl w:val="0"/>
              </w:rPr>
            </w:r>
          </w:p>
        </w:tc>
      </w:tr>
    </w:tbl>
    <w:p w:rsidR="00000000" w:rsidDel="00000000" w:rsidP="00000000" w:rsidRDefault="00000000" w:rsidRPr="00000000" w14:paraId="0000005E">
      <w:pPr>
        <w:pageBreakBefore w:val="0"/>
        <w:rPr>
          <w:sz w:val="22"/>
          <w:szCs w:val="22"/>
        </w:rPr>
      </w:pPr>
      <w:r w:rsidDel="00000000" w:rsidR="00000000" w:rsidRPr="00000000">
        <w:rPr>
          <w:sz w:val="22"/>
          <w:szCs w:val="22"/>
          <w:rtl w:val="0"/>
        </w:rPr>
        <w:t xml:space="preserve">Respectfully submitted by Peter Mouginis-Mark, secretary</w:t>
      </w: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Approved on March 6, 2018 with 7 votes in favor of approval and 0 against.</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5">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