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COMMITTEE ON RESEARCH</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April 3, 2018  </w:t>
        <w:tab/>
      </w:r>
      <w:r w:rsidDel="00000000" w:rsidR="00000000" w:rsidRPr="00000000">
        <w:rPr>
          <w:b w:val="1"/>
          <w:sz w:val="22"/>
          <w:szCs w:val="22"/>
          <w:rtl w:val="0"/>
        </w:rPr>
        <w:t xml:space="preserve">1:30 PM - 2:30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Noa Lincoln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Brett Oppegaard (Chair)</w:t>
            </w:r>
          </w:p>
        </w:tc>
        <w:tc>
          <w:tcPr/>
          <w:p w:rsidR="00000000" w:rsidDel="00000000" w:rsidP="00000000" w:rsidRDefault="00000000" w:rsidRPr="00000000" w14:paraId="0000001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Peter Mouginis-Mark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Rajesh Jha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Tao Yan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Katalin Csiszar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 Sanders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James Richardson (Fall Chair) </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David Duffy - SEC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Prior to the official “Call to Order”, there was a brief update from Dave Duffy on the campus strategic planning, including the recent Saturday meetings by the Administration.  Topics included the potential merging of the President and Chancellor positions, as well as the potential home for research if Manoa adopts the Provost-model.  This delayed the official start to the meeting.</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Brett Oppegaard, COR Chair at 1:42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8"/>
              </w:numPr>
              <w:spacing w:after="2.4" w:before="2.4" w:lineRule="auto"/>
              <w:ind w:left="360" w:hanging="360"/>
              <w:rPr>
                <w:sz w:val="22"/>
                <w:szCs w:val="22"/>
              </w:rPr>
            </w:pPr>
            <w:r w:rsidDel="00000000" w:rsidR="00000000" w:rsidRPr="00000000">
              <w:rPr>
                <w:sz w:val="22"/>
                <w:szCs w:val="22"/>
                <w:rtl w:val="0"/>
              </w:rPr>
              <w:t xml:space="preserve">The COR minutes of March 06, 2018 were circulated electronically.   </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7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Rajesh Jha to approve the Mar. 6th, 2018 minutes; seconded by Jim Richardson.  Approved unanimously  (6  “Yes”, 0 “abstain”, 0 “No”).</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3">
            <w:pPr>
              <w:pageBreakBefore w:val="0"/>
              <w:numPr>
                <w:ilvl w:val="0"/>
                <w:numId w:val="6"/>
              </w:numPr>
              <w:spacing w:after="2.4" w:before="2.4" w:lineRule="auto"/>
              <w:ind w:left="360" w:hanging="360"/>
              <w:rPr>
                <w:sz w:val="22"/>
                <w:szCs w:val="22"/>
                <w:u w:val="none"/>
              </w:rPr>
            </w:pPr>
            <w:r w:rsidDel="00000000" w:rsidR="00000000" w:rsidRPr="00000000">
              <w:rPr>
                <w:sz w:val="22"/>
                <w:szCs w:val="22"/>
                <w:rtl w:val="0"/>
              </w:rPr>
              <w:t xml:space="preserve">Brett started with a discussion of the evolving CoR resolution on research.  This topic then occupied the rest of the meeting (see “Business” below). </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3"/>
              </w:numPr>
              <w:ind w:left="360" w:hanging="360"/>
              <w:rPr>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numPr>
                <w:ilvl w:val="0"/>
                <w:numId w:val="1"/>
              </w:numPr>
              <w:ind w:left="450" w:hanging="360"/>
              <w:rPr>
                <w:sz w:val="22"/>
                <w:szCs w:val="22"/>
                <w:u w:val="none"/>
              </w:rPr>
            </w:pPr>
            <w:r w:rsidDel="00000000" w:rsidR="00000000" w:rsidRPr="00000000">
              <w:rPr>
                <w:sz w:val="22"/>
                <w:szCs w:val="22"/>
                <w:rtl w:val="0"/>
              </w:rPr>
              <w:t xml:space="preserve">Review COR’s draft RESOLUTION RECOGNIZING THE CRITICAL IMPORTANCE OF RESEARCH AT UH-MANOA.</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~30 minutes was spent reviewing the words of this Resolution.  The key “missing component” was that there were no supporting documents, which we agreed should be added prior to approval and transmission to the SEC.</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The schedule for this Resolution was that Brett would accept additional electronic changes to the document until COB Wednesday April 4th, and that CoR members would electronically vote on accepting/rejecting the document on Thursday April 5th.  If CoR voted in favor of the document, Brett would then pass it on to the SEC.</w:t>
            </w:r>
          </w:p>
          <w:p w:rsidR="00000000" w:rsidDel="00000000" w:rsidP="00000000" w:rsidRDefault="00000000" w:rsidRPr="00000000" w14:paraId="00000050">
            <w:pPr>
              <w:pageBreakBefore w:val="0"/>
              <w:rPr>
                <w:sz w:val="22"/>
                <w:szCs w:val="22"/>
              </w:rPr>
            </w:pPr>
            <w:r w:rsidDel="00000000" w:rsidR="00000000" w:rsidRPr="00000000">
              <w:rPr>
                <w:rtl w:val="0"/>
              </w:rPr>
            </w:r>
          </w:p>
        </w:tc>
        <w:tc>
          <w:tcPr/>
          <w:p w:rsidR="00000000" w:rsidDel="00000000" w:rsidP="00000000" w:rsidRDefault="00000000" w:rsidRPr="00000000" w14:paraId="00000051">
            <w:pPr>
              <w:pageBreakBefore w:val="0"/>
              <w:numPr>
                <w:ilvl w:val="0"/>
                <w:numId w:val="4"/>
              </w:numPr>
              <w:tabs>
                <w:tab w:val="left" w:leader="none" w:pos="0"/>
              </w:tabs>
              <w:ind w:left="720" w:hanging="360"/>
              <w:rPr>
                <w:sz w:val="22"/>
                <w:szCs w:val="22"/>
                <w:u w:val="none"/>
              </w:rPr>
            </w:pPr>
            <w:r w:rsidDel="00000000" w:rsidR="00000000" w:rsidRPr="00000000">
              <w:rPr>
                <w:sz w:val="22"/>
                <w:szCs w:val="22"/>
                <w:rtl w:val="0"/>
              </w:rPr>
              <w:t xml:space="preserve">Review and edit draft resolution.</w:t>
            </w:r>
          </w:p>
          <w:p w:rsidR="00000000" w:rsidDel="00000000" w:rsidP="00000000" w:rsidRDefault="00000000" w:rsidRPr="00000000" w14:paraId="00000052">
            <w:pPr>
              <w:pageBreakBefore w:val="0"/>
              <w:numPr>
                <w:ilvl w:val="0"/>
                <w:numId w:val="4"/>
              </w:numPr>
              <w:tabs>
                <w:tab w:val="left" w:leader="none" w:pos="0"/>
              </w:tabs>
              <w:ind w:left="720" w:hanging="360"/>
              <w:rPr>
                <w:sz w:val="22"/>
                <w:szCs w:val="22"/>
                <w:u w:val="none"/>
              </w:rPr>
            </w:pPr>
            <w:r w:rsidDel="00000000" w:rsidR="00000000" w:rsidRPr="00000000">
              <w:rPr>
                <w:sz w:val="22"/>
                <w:szCs w:val="22"/>
                <w:rtl w:val="0"/>
              </w:rPr>
              <w:t xml:space="preserve">Continued editing until April 6th.</w:t>
            </w:r>
          </w:p>
          <w:p w:rsidR="00000000" w:rsidDel="00000000" w:rsidP="00000000" w:rsidRDefault="00000000" w:rsidRPr="00000000" w14:paraId="00000053">
            <w:pPr>
              <w:pageBreakBefore w:val="0"/>
              <w:numPr>
                <w:ilvl w:val="0"/>
                <w:numId w:val="4"/>
              </w:numPr>
              <w:tabs>
                <w:tab w:val="left" w:leader="none" w:pos="0"/>
              </w:tabs>
              <w:ind w:left="720" w:hanging="360"/>
              <w:rPr>
                <w:sz w:val="22"/>
                <w:szCs w:val="22"/>
                <w:u w:val="none"/>
              </w:rPr>
            </w:pPr>
            <w:r w:rsidDel="00000000" w:rsidR="00000000" w:rsidRPr="00000000">
              <w:rPr>
                <w:sz w:val="22"/>
                <w:szCs w:val="22"/>
                <w:rtl w:val="0"/>
              </w:rPr>
              <w:t xml:space="preserve">Electronic voting April 7th.</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br w:type="textWrapping"/>
              <w:br w:type="textWrapping"/>
              <w:br w:type="textWrapping"/>
              <w:br w:type="textWrapping"/>
              <w:br w:type="textWrapping"/>
              <w:br w:type="textWrapping"/>
              <w:br w:type="textWrapping"/>
              <w:br w:type="textWrapping"/>
            </w:r>
          </w:p>
        </w:tc>
      </w:tr>
      <w:tr>
        <w:trPr>
          <w:cantSplit w:val="0"/>
          <w:trHeight w:val="580" w:hRule="atLeast"/>
          <w:tblHeader w:val="0"/>
        </w:trPr>
        <w:tc>
          <w:tcPr/>
          <w:p w:rsidR="00000000" w:rsidDel="00000000" w:rsidP="00000000" w:rsidRDefault="00000000" w:rsidRPr="00000000" w14:paraId="0000005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6">
            <w:pPr>
              <w:pageBreakBefore w:val="0"/>
              <w:rPr>
                <w:sz w:val="20"/>
                <w:szCs w:val="20"/>
              </w:rPr>
            </w:pP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Research will be on May 1, 2018 from 1:30 p.m. - 2:30 p.m. in Hawaii Hall 2018.</w:t>
            </w: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motion to adjourn was proposed by Pete Mouginis-Mark and seconded by Rajesh Jha.  This motion was passed unanimously (5 “Yes”, 0 “abstain”, 0 “No”).   (David Sanders left at 2:34 p.m.)</w:t>
              <w:br w:type="textWrapping"/>
            </w:r>
          </w:p>
          <w:p w:rsidR="00000000" w:rsidDel="00000000" w:rsidP="00000000" w:rsidRDefault="00000000" w:rsidRPr="00000000" w14:paraId="0000005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Meeting adjourned at 2:38 p.m.</w:t>
            </w:r>
            <w:r w:rsidDel="00000000" w:rsidR="00000000" w:rsidRPr="00000000">
              <w:rPr>
                <w:rtl w:val="0"/>
              </w:rPr>
            </w:r>
          </w:p>
        </w:tc>
      </w:tr>
    </w:tbl>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Respectfully submitted by Peter Mouginis-Mark, secretary, April 11th, 2018</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sz w:val="22"/>
          <w:szCs w:val="22"/>
          <w:rtl w:val="0"/>
        </w:rPr>
        <w:t xml:space="preserve">Approved on May X, 2018 with </w:t>
      </w:r>
      <w:r w:rsidDel="00000000" w:rsidR="00000000" w:rsidRPr="00000000">
        <w:rPr>
          <w:color w:val="000000"/>
          <w:sz w:val="22"/>
          <w:szCs w:val="22"/>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X</w:t>
      </w:r>
      <w:r w:rsidDel="00000000" w:rsidR="00000000" w:rsidRPr="00000000">
        <w:rPr>
          <w:sz w:val="22"/>
          <w:szCs w:val="22"/>
          <w:rtl w:val="0"/>
        </w:rPr>
        <w:t xml:space="preserve">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F">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