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January 24, 2014</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81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340"/>
        <w:gridCol w:w="90"/>
        <w:gridCol w:w="180"/>
        <w:gridCol w:w="90"/>
        <w:gridCol w:w="2250"/>
        <w:gridCol w:w="90"/>
        <w:gridCol w:w="180"/>
        <w:gridCol w:w="90"/>
        <w:gridCol w:w="1800"/>
        <w:gridCol w:w="90"/>
        <w:gridCol w:w="720"/>
        <w:gridCol w:w="90"/>
        <w:tblGridChange w:id="0">
          <w:tblGrid>
            <w:gridCol w:w="2538"/>
            <w:gridCol w:w="270"/>
            <w:gridCol w:w="2340"/>
            <w:gridCol w:w="90"/>
            <w:gridCol w:w="180"/>
            <w:gridCol w:w="90"/>
            <w:gridCol w:w="2250"/>
            <w:gridCol w:w="90"/>
            <w:gridCol w:w="180"/>
            <w:gridCol w:w="90"/>
            <w:gridCol w:w="1800"/>
            <w:gridCol w:w="90"/>
            <w:gridCol w:w="720"/>
            <w:gridCol w:w="9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3"/>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4"/>
          </w:tcPr>
          <w:p w:rsidR="00000000" w:rsidDel="00000000" w:rsidP="00000000" w:rsidRDefault="00000000" w:rsidRPr="00000000" w14:paraId="0000000D">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11">
            <w:pPr>
              <w:pageBreakBefore w:val="0"/>
              <w:rPr>
                <w:b w:val="1"/>
                <w:sz w:val="20"/>
                <w:szCs w:val="20"/>
              </w:rPr>
            </w:pPr>
            <w:r w:rsidDel="00000000" w:rsidR="00000000" w:rsidRPr="00000000">
              <w:rPr>
                <w:b w:val="1"/>
                <w:sz w:val="20"/>
                <w:szCs w:val="20"/>
                <w:rtl w:val="0"/>
              </w:rPr>
              <w:t xml:space="preserve">GUESTS</w:t>
            </w:r>
          </w:p>
        </w:tc>
        <w:tc>
          <w:tcPr>
            <w:gridSpan w:val="2"/>
          </w:tcPr>
          <w:p w:rsidR="00000000" w:rsidDel="00000000" w:rsidP="00000000" w:rsidRDefault="00000000" w:rsidRPr="00000000" w14:paraId="00000013">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KALLIANPUR, Kalpana               </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STEVENS, Duane   </w:t>
            </w:r>
          </w:p>
        </w:tc>
        <w:tc>
          <w:tcPr>
            <w:gridSpan w:val="2"/>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p</w:t>
            </w:r>
          </w:p>
        </w:tc>
        <w:tc>
          <w:tcPr>
            <w:gridSpan w:val="2"/>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VARGO, Stephen      </w:t>
            </w:r>
          </w:p>
        </w:tc>
        <w:tc>
          <w:tcPr>
            <w:gridSpan w:val="2"/>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gridSpan w:val="2"/>
          </w:tcPr>
          <w:p w:rsidR="00000000" w:rsidDel="00000000" w:rsidP="00000000" w:rsidRDefault="00000000" w:rsidRPr="00000000" w14:paraId="0000001E">
            <w:pPr>
              <w:pageBreakBefore w:val="0"/>
              <w:rPr>
                <w:sz w:val="22"/>
                <w:szCs w:val="22"/>
              </w:rPr>
            </w:pPr>
            <w:r w:rsidDel="00000000" w:rsidR="00000000" w:rsidRPr="00000000">
              <w:rPr>
                <w:rtl w:val="0"/>
              </w:rPr>
            </w:r>
          </w:p>
        </w:tc>
        <w:tc>
          <w:tcPr>
            <w:gridSpan w:val="2"/>
          </w:tcPr>
          <w:p w:rsidR="00000000" w:rsidDel="00000000" w:rsidP="00000000" w:rsidRDefault="00000000" w:rsidRPr="00000000" w14:paraId="00000020">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MAYNARD, Ashley</w:t>
            </w:r>
          </w:p>
        </w:tc>
        <w:tc>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p</w:t>
            </w:r>
          </w:p>
        </w:tc>
        <w:tc>
          <w:tcPr>
            <w:gridSpan w:val="2"/>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SZYMCZAK, Victoria</w:t>
            </w:r>
          </w:p>
        </w:tc>
        <w:tc>
          <w:tcPr>
            <w:gridSpan w:val="2"/>
          </w:tcPr>
          <w:p w:rsidR="00000000" w:rsidDel="00000000" w:rsidP="00000000" w:rsidRDefault="00000000" w:rsidRPr="00000000" w14:paraId="00000026">
            <w:pPr>
              <w:pageBreakBefore w:val="0"/>
              <w:jc w:val="center"/>
              <w:rPr>
                <w:sz w:val="22"/>
                <w:szCs w:val="22"/>
              </w:rPr>
            </w:pPr>
            <w:r w:rsidDel="00000000" w:rsidR="00000000" w:rsidRPr="00000000">
              <w:rPr>
                <w:sz w:val="22"/>
                <w:szCs w:val="22"/>
                <w:rtl w:val="0"/>
              </w:rPr>
              <w:t xml:space="preserve">p</w:t>
            </w:r>
          </w:p>
        </w:tc>
        <w:tc>
          <w:tcPr>
            <w:gridSpan w:val="2"/>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VINCENT, Doug</w:t>
            </w:r>
          </w:p>
        </w:tc>
        <w:tc>
          <w:tcPr>
            <w:gridSpan w:val="2"/>
          </w:tcPr>
          <w:p w:rsidR="00000000" w:rsidDel="00000000" w:rsidP="00000000" w:rsidRDefault="00000000" w:rsidRPr="00000000" w14:paraId="0000002A">
            <w:pPr>
              <w:pageBreakBefore w:val="0"/>
              <w:jc w:val="center"/>
              <w:rPr>
                <w:sz w:val="22"/>
                <w:szCs w:val="22"/>
              </w:rPr>
            </w:pPr>
            <w:r w:rsidDel="00000000" w:rsidR="00000000" w:rsidRPr="00000000">
              <w:rPr>
                <w:sz w:val="22"/>
                <w:szCs w:val="22"/>
                <w:rtl w:val="0"/>
              </w:rPr>
              <w:t xml:space="preserve">p</w:t>
            </w:r>
          </w:p>
        </w:tc>
        <w:tc>
          <w:tcPr>
            <w:gridSpan w:val="2"/>
          </w:tcPr>
          <w:p w:rsidR="00000000" w:rsidDel="00000000" w:rsidP="00000000" w:rsidRDefault="00000000" w:rsidRPr="00000000" w14:paraId="0000002C">
            <w:pPr>
              <w:pageBreakBefore w:val="0"/>
              <w:rPr>
                <w:sz w:val="22"/>
                <w:szCs w:val="22"/>
              </w:rPr>
            </w:pPr>
            <w:r w:rsidDel="00000000" w:rsidR="00000000" w:rsidRPr="00000000">
              <w:rPr>
                <w:rtl w:val="0"/>
              </w:rPr>
            </w:r>
          </w:p>
        </w:tc>
        <w:tc>
          <w:tcPr>
            <w:gridSpan w:val="2"/>
          </w:tcPr>
          <w:p w:rsidR="00000000" w:rsidDel="00000000" w:rsidP="00000000" w:rsidRDefault="00000000" w:rsidRPr="00000000" w14:paraId="0000002E">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MOCZ, Gabor</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gridSpan w:val="2"/>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TALLQUIST, Michelle</w:t>
            </w:r>
          </w:p>
        </w:tc>
        <w:tc>
          <w:tcPr>
            <w:gridSpan w:val="2"/>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gridSpan w:val="2"/>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WIECZOREK, Anna    </w:t>
            </w:r>
          </w:p>
        </w:tc>
        <w:tc>
          <w:tcPr>
            <w:gridSpan w:val="2"/>
          </w:tcPr>
          <w:p w:rsidR="00000000" w:rsidDel="00000000" w:rsidP="00000000" w:rsidRDefault="00000000" w:rsidRPr="00000000" w14:paraId="00000038">
            <w:pPr>
              <w:pageBreakBefore w:val="0"/>
              <w:jc w:val="center"/>
              <w:rPr>
                <w:sz w:val="22"/>
                <w:szCs w:val="22"/>
              </w:rPr>
            </w:pPr>
            <w:r w:rsidDel="00000000" w:rsidR="00000000" w:rsidRPr="00000000">
              <w:rPr>
                <w:sz w:val="22"/>
                <w:szCs w:val="22"/>
                <w:rtl w:val="0"/>
              </w:rPr>
              <w:t xml:space="preserve">p</w:t>
            </w:r>
          </w:p>
        </w:tc>
        <w:tc>
          <w:tcPr>
            <w:gridSpan w:val="2"/>
          </w:tcPr>
          <w:p w:rsidR="00000000" w:rsidDel="00000000" w:rsidP="00000000" w:rsidRDefault="00000000" w:rsidRPr="00000000" w14:paraId="0000003A">
            <w:pPr>
              <w:pageBreakBefore w:val="0"/>
              <w:rPr>
                <w:sz w:val="22"/>
                <w:szCs w:val="22"/>
              </w:rPr>
            </w:pPr>
            <w:r w:rsidDel="00000000" w:rsidR="00000000" w:rsidRPr="00000000">
              <w:rPr>
                <w:rtl w:val="0"/>
              </w:rPr>
            </w:r>
          </w:p>
        </w:tc>
        <w:tc>
          <w:tcPr>
            <w:gridSpan w:val="2"/>
          </w:tcPr>
          <w:p w:rsidR="00000000" w:rsidDel="00000000" w:rsidP="00000000" w:rsidRDefault="00000000" w:rsidRPr="00000000" w14:paraId="0000003C">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SHOULTZ, Janice</w:t>
            </w:r>
          </w:p>
        </w:tc>
        <w:tc>
          <w:tcPr/>
          <w:p w:rsidR="00000000" w:rsidDel="00000000" w:rsidP="00000000" w:rsidRDefault="00000000" w:rsidRPr="00000000" w14:paraId="0000003F">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40">
            <w:pPr>
              <w:pageBreakBefore w:val="0"/>
              <w:rPr>
                <w:sz w:val="22"/>
                <w:szCs w:val="22"/>
              </w:rPr>
            </w:pPr>
            <w:r w:rsidDel="00000000" w:rsidR="00000000" w:rsidRPr="00000000">
              <w:rPr>
                <w:sz w:val="22"/>
                <w:szCs w:val="22"/>
                <w:rtl w:val="0"/>
              </w:rPr>
              <w:t xml:space="preserve">TAM, Elizabeth</w:t>
            </w:r>
          </w:p>
        </w:tc>
        <w:tc>
          <w:tcPr>
            <w:gridSpan w:val="2"/>
          </w:tcPr>
          <w:p w:rsidR="00000000" w:rsidDel="00000000" w:rsidP="00000000" w:rsidRDefault="00000000" w:rsidRPr="00000000" w14:paraId="00000041">
            <w:pPr>
              <w:pageBreakBefore w:val="0"/>
              <w:jc w:val="center"/>
              <w:rPr>
                <w:sz w:val="22"/>
                <w:szCs w:val="22"/>
              </w:rPr>
            </w:pPr>
            <w:r w:rsidDel="00000000" w:rsidR="00000000" w:rsidRPr="00000000">
              <w:rPr>
                <w:rtl w:val="0"/>
              </w:rPr>
            </w:r>
          </w:p>
        </w:tc>
        <w:tc>
          <w:tcPr>
            <w:gridSpan w:val="2"/>
          </w:tcPr>
          <w:p w:rsidR="00000000" w:rsidDel="00000000" w:rsidP="00000000" w:rsidRDefault="00000000" w:rsidRPr="00000000" w14:paraId="00000043">
            <w:pPr>
              <w:pageBreakBefore w:val="0"/>
              <w:rPr>
                <w:sz w:val="22"/>
                <w:szCs w:val="22"/>
              </w:rPr>
            </w:pPr>
            <w:r w:rsidDel="00000000" w:rsidR="00000000" w:rsidRPr="00000000">
              <w:rPr>
                <w:rtl w:val="0"/>
              </w:rPr>
            </w:r>
          </w:p>
        </w:tc>
        <w:tc>
          <w:tcPr>
            <w:gridSpan w:val="2"/>
          </w:tcPr>
          <w:p w:rsidR="00000000" w:rsidDel="00000000" w:rsidP="00000000" w:rsidRDefault="00000000" w:rsidRPr="00000000" w14:paraId="00000045">
            <w:pPr>
              <w:pageBreakBefore w:val="0"/>
              <w:jc w:val="center"/>
              <w:rPr>
                <w:sz w:val="22"/>
                <w:szCs w:val="22"/>
              </w:rPr>
            </w:pPr>
            <w:r w:rsidDel="00000000" w:rsidR="00000000" w:rsidRPr="00000000">
              <w:rPr>
                <w:rtl w:val="0"/>
              </w:rPr>
            </w:r>
          </w:p>
        </w:tc>
        <w:tc>
          <w:tcPr>
            <w:gridSpan w:val="2"/>
          </w:tcPr>
          <w:p w:rsidR="00000000" w:rsidDel="00000000" w:rsidP="00000000" w:rsidRDefault="00000000" w:rsidRPr="00000000" w14:paraId="00000047">
            <w:pPr>
              <w:pageBreakBefore w:val="0"/>
              <w:rPr>
                <w:sz w:val="22"/>
                <w:szCs w:val="22"/>
              </w:rPr>
            </w:pPr>
            <w:r w:rsidDel="00000000" w:rsidR="00000000" w:rsidRPr="00000000">
              <w:rPr>
                <w:rtl w:val="0"/>
              </w:rPr>
            </w:r>
          </w:p>
        </w:tc>
        <w:tc>
          <w:tcPr>
            <w:gridSpan w:val="2"/>
          </w:tcPr>
          <w:p w:rsidR="00000000" w:rsidDel="00000000" w:rsidP="00000000" w:rsidRDefault="00000000" w:rsidRPr="00000000" w14:paraId="00000049">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B">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E">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50">
            <w:pPr>
              <w:pageBreakBefore w:val="0"/>
              <w:ind w:left="72" w:firstLine="0"/>
              <w:rPr>
                <w:sz w:val="22"/>
                <w:szCs w:val="22"/>
              </w:rPr>
            </w:pPr>
            <w:r w:rsidDel="00000000" w:rsidR="00000000" w:rsidRPr="00000000">
              <w:rPr>
                <w:sz w:val="22"/>
                <w:szCs w:val="22"/>
                <w:rtl w:val="0"/>
              </w:rPr>
              <w:t xml:space="preserve">Chair Ashley Maynard called the meeting to order at 3 pm.</w:t>
            </w:r>
          </w:p>
        </w:tc>
        <w:tc>
          <w:tcPr/>
          <w:p w:rsidR="00000000" w:rsidDel="00000000" w:rsidP="00000000" w:rsidRDefault="00000000" w:rsidRPr="00000000" w14:paraId="00000051">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52">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53">
            <w:pPr>
              <w:pageBreakBefore w:val="0"/>
              <w:spacing w:after="2.4" w:before="2.4" w:lineRule="auto"/>
              <w:rPr>
                <w:sz w:val="22"/>
                <w:szCs w:val="22"/>
              </w:rPr>
            </w:pPr>
            <w:r w:rsidDel="00000000" w:rsidR="00000000" w:rsidRPr="00000000">
              <w:rPr>
                <w:sz w:val="22"/>
                <w:szCs w:val="22"/>
                <w:rtl w:val="0"/>
              </w:rPr>
              <w:t xml:space="preserve">Minutes from last meeting were voted on.  Six yeas and one abstention.  Note that a few members were slightly delayed in their arrival so that the voting record on the minutes is a smaller number than the actual number of people that attended the meeting.</w:t>
            </w:r>
          </w:p>
          <w:p w:rsidR="00000000" w:rsidDel="00000000" w:rsidP="00000000" w:rsidRDefault="00000000" w:rsidRPr="00000000" w14:paraId="0000005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55">
            <w:pPr>
              <w:pageBreakBefore w:val="0"/>
              <w:spacing w:after="2.4" w:before="2.4" w:lineRule="auto"/>
              <w:rPr>
                <w:sz w:val="22"/>
                <w:szCs w:val="22"/>
              </w:rPr>
            </w:pPr>
            <w:r w:rsidDel="00000000" w:rsidR="00000000" w:rsidRPr="00000000">
              <w:rPr>
                <w:sz w:val="22"/>
                <w:szCs w:val="22"/>
                <w:rtl w:val="0"/>
              </w:rPr>
              <w:t xml:space="preserve">Some members expressed concern that our minutes were not posted on the CPM web site.</w:t>
            </w:r>
          </w:p>
        </w:tc>
        <w:tc>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Vicki Szymczak will check the web site and complete the listing if any are missing.</w:t>
            </w:r>
          </w:p>
        </w:tc>
      </w:tr>
      <w:tr>
        <w:trPr>
          <w:cantSplit w:val="0"/>
          <w:trHeight w:val="960" w:hRule="atLeast"/>
          <w:tblHeader w:val="0"/>
        </w:trPr>
        <w:tc>
          <w:tcPr/>
          <w:p w:rsidR="00000000" w:rsidDel="00000000" w:rsidP="00000000" w:rsidRDefault="00000000" w:rsidRPr="00000000" w14:paraId="00000057">
            <w:pPr>
              <w:pageBreakBefore w:val="0"/>
              <w:rPr>
                <w:b w:val="1"/>
                <w:sz w:val="20"/>
                <w:szCs w:val="20"/>
              </w:rPr>
            </w:pPr>
            <w:r w:rsidDel="00000000" w:rsidR="00000000" w:rsidRPr="00000000">
              <w:rPr>
                <w:b w:val="1"/>
                <w:sz w:val="20"/>
                <w:szCs w:val="20"/>
                <w:rtl w:val="0"/>
              </w:rPr>
              <w:t xml:space="preserve">Issue 24-13</w:t>
            </w:r>
          </w:p>
          <w:p w:rsidR="00000000" w:rsidDel="00000000" w:rsidP="00000000" w:rsidRDefault="00000000" w:rsidRPr="00000000" w14:paraId="00000058">
            <w:pPr>
              <w:pageBreakBefore w:val="0"/>
              <w:rPr>
                <w:b w:val="1"/>
                <w:sz w:val="20"/>
                <w:szCs w:val="20"/>
              </w:rPr>
            </w:pPr>
            <w:r w:rsidDel="00000000" w:rsidR="00000000" w:rsidRPr="00000000">
              <w:rPr>
                <w:b w:val="1"/>
                <w:sz w:val="20"/>
                <w:szCs w:val="20"/>
                <w:rtl w:val="0"/>
              </w:rPr>
              <w:t xml:space="preserve">Periodic Review of Faculty</w:t>
            </w:r>
          </w:p>
        </w:tc>
        <w:tc>
          <w:tcPr/>
          <w:p w:rsidR="00000000" w:rsidDel="00000000" w:rsidP="00000000" w:rsidRDefault="00000000" w:rsidRPr="00000000" w14:paraId="00000059">
            <w:pPr>
              <w:pageBreakBefore w:val="0"/>
              <w:spacing w:after="2.4" w:before="2.4" w:lineRule="auto"/>
              <w:rPr>
                <w:color w:val="000000"/>
                <w:sz w:val="22"/>
                <w:szCs w:val="22"/>
              </w:rPr>
            </w:pPr>
            <w:r w:rsidDel="00000000" w:rsidR="00000000" w:rsidRPr="00000000">
              <w:rPr>
                <w:color w:val="000000"/>
                <w:sz w:val="22"/>
                <w:szCs w:val="22"/>
                <w:rtl w:val="0"/>
              </w:rPr>
              <w:t xml:space="preserve">1)  Discussion concerned whether to adopt a resolution or motion, or make a report, to the Senate concerning post tenure review procedures.  We learned that a prohibitive practices complaint was made concerning this issue and the department of labor scheduled it for a hearing on February 5, 2014.  Of particular importance to CPM was language indicating that deans (administration) would play a part in the review process.  If the department of labor rules against Mānoa we cannot do anything.  If it rules in favor of Mānoa, we can create a stronger resolution or motion post-hearing that includes a statement that the process was not followed correctly by no involving the senate in the bargainable issue.</w:t>
            </w:r>
          </w:p>
          <w:p w:rsidR="00000000" w:rsidDel="00000000" w:rsidP="00000000" w:rsidRDefault="00000000" w:rsidRPr="00000000" w14:paraId="0000005A">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5B">
            <w:pPr>
              <w:pageBreakBefore w:val="0"/>
              <w:spacing w:after="2.4" w:before="2.4" w:lineRule="auto"/>
              <w:rPr>
                <w:color w:val="000000"/>
                <w:sz w:val="22"/>
                <w:szCs w:val="22"/>
              </w:rPr>
            </w:pPr>
            <w:r w:rsidDel="00000000" w:rsidR="00000000" w:rsidRPr="00000000">
              <w:rPr>
                <w:color w:val="000000"/>
                <w:sz w:val="22"/>
                <w:szCs w:val="22"/>
                <w:rtl w:val="0"/>
              </w:rPr>
              <w:t xml:space="preserve">2)  The members also were not confident that we had all the relevant documents from the VC’s office.</w:t>
            </w:r>
          </w:p>
          <w:p w:rsidR="00000000" w:rsidDel="00000000" w:rsidP="00000000" w:rsidRDefault="00000000" w:rsidRPr="00000000" w14:paraId="0000005C">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5D">
            <w:pPr>
              <w:pageBreakBefore w:val="0"/>
              <w:spacing w:after="2.4" w:before="2.4" w:lineRule="auto"/>
              <w:rPr>
                <w:color w:val="000000"/>
                <w:sz w:val="22"/>
                <w:szCs w:val="22"/>
              </w:rPr>
            </w:pPr>
            <w:r w:rsidDel="00000000" w:rsidR="00000000" w:rsidRPr="00000000">
              <w:rPr>
                <w:color w:val="000000"/>
                <w:sz w:val="22"/>
                <w:szCs w:val="22"/>
                <w:rtl w:val="0"/>
              </w:rPr>
              <w:t xml:space="preserve">3)  Further discussion about inclusion of teaching evaluations in post-tenure review procedures.  Each department has its own rules concerning student teaching evaluations.  Devised two possible solutions.  First, do not issue grade until e-café survey is completed.  Second, poll department chairs and ask them if e-café results are included in the procedures for promotion and tenure.</w:t>
            </w:r>
          </w:p>
        </w:tc>
        <w:tc>
          <w:tcPr/>
          <w:p w:rsidR="00000000" w:rsidDel="00000000" w:rsidP="00000000" w:rsidRDefault="00000000" w:rsidRPr="00000000" w14:paraId="0000005E">
            <w:pPr>
              <w:pageBreakBefore w:val="0"/>
              <w:spacing w:after="2.4" w:before="2.4" w:lineRule="auto"/>
              <w:rPr>
                <w:b w:val="1"/>
                <w:sz w:val="22"/>
                <w:szCs w:val="22"/>
              </w:rPr>
            </w:pPr>
            <w:r w:rsidDel="00000000" w:rsidR="00000000" w:rsidRPr="00000000">
              <w:rPr>
                <w:b w:val="1"/>
                <w:sz w:val="22"/>
                <w:szCs w:val="22"/>
                <w:rtl w:val="0"/>
              </w:rPr>
              <w:t xml:space="preserve">1)  Ashley Maynard and Duane Stevens will provide a summary report on this issue for the Senate to inform them what we have been apprised of regarding issue 24-13.  We agreed to wait until we learn the result of the hearing before putting a resolution or motion before the Senate.  </w:t>
            </w:r>
          </w:p>
          <w:p w:rsidR="00000000" w:rsidDel="00000000" w:rsidP="00000000" w:rsidRDefault="00000000" w:rsidRPr="00000000" w14:paraId="0000005F">
            <w:pPr>
              <w:pageBreakBefore w:val="0"/>
              <w:spacing w:after="2.4" w:before="2.4" w:lineRule="auto"/>
              <w:rPr>
                <w:b w:val="1"/>
                <w:sz w:val="22"/>
                <w:szCs w:val="22"/>
              </w:rPr>
            </w:pPr>
            <w:r w:rsidDel="00000000" w:rsidR="00000000" w:rsidRPr="00000000">
              <w:rPr>
                <w:rtl w:val="0"/>
              </w:rPr>
            </w:r>
          </w:p>
          <w:p w:rsidR="00000000" w:rsidDel="00000000" w:rsidP="00000000" w:rsidRDefault="00000000" w:rsidRPr="00000000" w14:paraId="00000060">
            <w:pPr>
              <w:pageBreakBefore w:val="0"/>
              <w:spacing w:after="2.4" w:before="2.4" w:lineRule="auto"/>
              <w:rPr>
                <w:b w:val="1"/>
                <w:sz w:val="22"/>
                <w:szCs w:val="22"/>
              </w:rPr>
            </w:pPr>
            <w:r w:rsidDel="00000000" w:rsidR="00000000" w:rsidRPr="00000000">
              <w:rPr>
                <w:b w:val="1"/>
                <w:sz w:val="22"/>
                <w:szCs w:val="22"/>
                <w:rtl w:val="0"/>
              </w:rPr>
              <w:t xml:space="preserve">2)  Ashley Maynard will confirm that we have the most current documents.</w:t>
            </w:r>
          </w:p>
          <w:p w:rsidR="00000000" w:rsidDel="00000000" w:rsidP="00000000" w:rsidRDefault="00000000" w:rsidRPr="00000000" w14:paraId="00000061">
            <w:pPr>
              <w:pageBreakBefore w:val="0"/>
              <w:spacing w:after="2.4" w:before="2.4" w:lineRule="auto"/>
              <w:rPr>
                <w:b w:val="1"/>
                <w:sz w:val="22"/>
                <w:szCs w:val="22"/>
              </w:rPr>
            </w:pPr>
            <w:r w:rsidDel="00000000" w:rsidR="00000000" w:rsidRPr="00000000">
              <w:rPr>
                <w:rtl w:val="0"/>
              </w:rPr>
            </w:r>
          </w:p>
          <w:p w:rsidR="00000000" w:rsidDel="00000000" w:rsidP="00000000" w:rsidRDefault="00000000" w:rsidRPr="00000000" w14:paraId="00000062">
            <w:pPr>
              <w:pageBreakBefore w:val="0"/>
              <w:spacing w:after="2.4" w:before="2.4" w:lineRule="auto"/>
              <w:rPr>
                <w:b w:val="1"/>
                <w:sz w:val="22"/>
                <w:szCs w:val="22"/>
              </w:rPr>
            </w:pPr>
            <w:r w:rsidDel="00000000" w:rsidR="00000000" w:rsidRPr="00000000">
              <w:rPr>
                <w:b w:val="1"/>
                <w:sz w:val="22"/>
                <w:szCs w:val="22"/>
                <w:rtl w:val="0"/>
              </w:rPr>
              <w:t xml:space="preserve">3)  Ashley Maynard will investigate what percentage of students submits e-café evaluations.</w:t>
            </w:r>
          </w:p>
        </w:tc>
      </w:tr>
      <w:tr>
        <w:trPr>
          <w:cantSplit w:val="0"/>
          <w:trHeight w:val="460" w:hRule="atLeast"/>
          <w:tblHeader w:val="0"/>
        </w:trPr>
        <w:tc>
          <w:tcPr/>
          <w:p w:rsidR="00000000" w:rsidDel="00000000" w:rsidP="00000000" w:rsidRDefault="00000000" w:rsidRPr="00000000" w14:paraId="00000063">
            <w:pPr>
              <w:pageBreakBefore w:val="0"/>
              <w:rPr>
                <w:b w:val="1"/>
                <w:sz w:val="20"/>
                <w:szCs w:val="20"/>
              </w:rPr>
            </w:pPr>
            <w:r w:rsidDel="00000000" w:rsidR="00000000" w:rsidRPr="00000000">
              <w:rPr>
                <w:b w:val="1"/>
                <w:sz w:val="20"/>
                <w:szCs w:val="20"/>
                <w:rtl w:val="0"/>
              </w:rPr>
              <w:t xml:space="preserve">6.14 </w:t>
            </w:r>
            <w:r w:rsidDel="00000000" w:rsidR="00000000" w:rsidRPr="00000000">
              <w:rPr>
                <w:b w:val="1"/>
                <w:color w:val="000000"/>
                <w:sz w:val="20"/>
                <w:szCs w:val="20"/>
                <w:highlight w:val="white"/>
                <w:rtl w:val="0"/>
              </w:rPr>
              <w:t xml:space="preserve">ADMINISTRATIVE POLICY PROPOSAL - PRINCIPAL INVESTIGATOR / PROGRAM DIRECTOR CHANGE</w:t>
            </w:r>
            <w:r w:rsidDel="00000000" w:rsidR="00000000" w:rsidRPr="00000000">
              <w:rPr>
                <w:rtl w:val="0"/>
              </w:rPr>
            </w:r>
          </w:p>
          <w:p w:rsidR="00000000" w:rsidDel="00000000" w:rsidP="00000000" w:rsidRDefault="00000000" w:rsidRPr="00000000" w14:paraId="00000064">
            <w:pPr>
              <w:pageBreakBefore w:val="0"/>
              <w:rPr>
                <w:b w:val="1"/>
                <w:sz w:val="20"/>
                <w:szCs w:val="20"/>
              </w:rPr>
            </w:pPr>
            <w:r w:rsidDel="00000000" w:rsidR="00000000" w:rsidRPr="00000000">
              <w:rPr>
                <w:rtl w:val="0"/>
              </w:rPr>
            </w:r>
          </w:p>
        </w:tc>
        <w:tc>
          <w:tcPr/>
          <w:p w:rsidR="00000000" w:rsidDel="00000000" w:rsidP="00000000" w:rsidRDefault="00000000" w:rsidRPr="00000000" w14:paraId="00000065">
            <w:pPr>
              <w:pageBreakBefore w:val="0"/>
              <w:rPr>
                <w:color w:val="000000"/>
                <w:sz w:val="22"/>
                <w:szCs w:val="22"/>
              </w:rPr>
            </w:pPr>
            <w:r w:rsidDel="00000000" w:rsidR="00000000" w:rsidRPr="00000000">
              <w:rPr>
                <w:color w:val="000000"/>
                <w:sz w:val="22"/>
                <w:szCs w:val="22"/>
                <w:rtl w:val="0"/>
              </w:rPr>
              <w:t xml:space="preserve">Discussion about the practice of administrators/deans changing the PI on grants without appropriate justification.  The issue was remanded from CRGE to Yaa-Yin Fong, Director of ORS for revision.  It was unclear if CPM was still expected to act on this issue.</w:t>
            </w:r>
          </w:p>
        </w:tc>
        <w:tc>
          <w:tcPr/>
          <w:p w:rsidR="00000000" w:rsidDel="00000000" w:rsidP="00000000" w:rsidRDefault="00000000" w:rsidRPr="00000000" w14:paraId="00000066">
            <w:pPr>
              <w:pageBreakBefore w:val="0"/>
              <w:rPr>
                <w:sz w:val="22"/>
                <w:szCs w:val="22"/>
              </w:rPr>
            </w:pPr>
            <w:r w:rsidDel="00000000" w:rsidR="00000000" w:rsidRPr="00000000">
              <w:rPr>
                <w:sz w:val="22"/>
                <w:szCs w:val="22"/>
                <w:rtl w:val="0"/>
              </w:rPr>
              <w:t xml:space="preserve">Doug Vincent will investigate the specific reason why this issue was remanded from CRGE and will ask CRGE to refer provision that would be appropriate for CPM to review.</w:t>
            </w:r>
          </w:p>
        </w:tc>
      </w:tr>
      <w:tr>
        <w:trPr>
          <w:cantSplit w:val="0"/>
          <w:trHeight w:val="460" w:hRule="atLeast"/>
          <w:tblHeader w:val="0"/>
        </w:trPr>
        <w:tc>
          <w:tcPr/>
          <w:p w:rsidR="00000000" w:rsidDel="00000000" w:rsidP="00000000" w:rsidRDefault="00000000" w:rsidRPr="00000000" w14:paraId="00000067">
            <w:pPr>
              <w:pageBreakBefore w:val="0"/>
              <w:rPr>
                <w:b w:val="1"/>
                <w:sz w:val="20"/>
                <w:szCs w:val="20"/>
              </w:rPr>
            </w:pPr>
            <w:r w:rsidDel="00000000" w:rsidR="00000000" w:rsidRPr="00000000">
              <w:rPr>
                <w:b w:val="1"/>
                <w:sz w:val="20"/>
                <w:szCs w:val="20"/>
                <w:rtl w:val="0"/>
              </w:rPr>
              <w:t xml:space="preserve">10.1.3 Counting Credits on Cross Listed Courses</w:t>
            </w:r>
          </w:p>
        </w:tc>
        <w:tc>
          <w:tcPr/>
          <w:p w:rsidR="00000000" w:rsidDel="00000000" w:rsidP="00000000" w:rsidRDefault="00000000" w:rsidRPr="00000000" w14:paraId="00000068">
            <w:pPr>
              <w:pageBreakBefore w:val="0"/>
              <w:rPr>
                <w:sz w:val="22"/>
                <w:szCs w:val="22"/>
              </w:rPr>
            </w:pPr>
            <w:r w:rsidDel="00000000" w:rsidR="00000000" w:rsidRPr="00000000">
              <w:rPr>
                <w:sz w:val="22"/>
                <w:szCs w:val="22"/>
                <w:rtl w:val="0"/>
              </w:rPr>
              <w:t xml:space="preserve">Discussion concerned inability of the school’s software program for course registration – Banner – to recognize team teachers either in the same school or in different schools.  This affects the number of teaching hours recorded for faculty since only one professor will benefit from Banner.  Important 1) for tenure track and post tenure review of faculty, and 2) because “new” budget dollars will be divided up according to the number of students credits taught by each school.</w:t>
            </w:r>
          </w:p>
        </w:tc>
        <w:tc>
          <w:tcPr/>
          <w:p w:rsidR="00000000" w:rsidDel="00000000" w:rsidP="00000000" w:rsidRDefault="00000000" w:rsidRPr="00000000" w14:paraId="00000069">
            <w:pPr>
              <w:pageBreakBefore w:val="0"/>
              <w:rPr>
                <w:sz w:val="22"/>
                <w:szCs w:val="22"/>
              </w:rPr>
            </w:pPr>
            <w:r w:rsidDel="00000000" w:rsidR="00000000" w:rsidRPr="00000000">
              <w:rPr>
                <w:sz w:val="22"/>
                <w:szCs w:val="22"/>
                <w:rtl w:val="0"/>
              </w:rPr>
              <w:t xml:space="preserve">Ashley Maynard will ask Stewart Lau if it is possible for banner to recognize split teaching loads for courses.</w:t>
            </w:r>
          </w:p>
        </w:tc>
      </w:tr>
      <w:tr>
        <w:trPr>
          <w:cantSplit w:val="0"/>
          <w:trHeight w:val="580" w:hRule="atLeast"/>
          <w:tblHeader w:val="0"/>
        </w:trPr>
        <w:tc>
          <w:tcPr/>
          <w:p w:rsidR="00000000" w:rsidDel="00000000" w:rsidP="00000000" w:rsidRDefault="00000000" w:rsidRPr="00000000" w14:paraId="0000006A">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B">
            <w:pPr>
              <w:pageBreakBefore w:val="0"/>
              <w:rPr>
                <w:sz w:val="20"/>
                <w:szCs w:val="20"/>
              </w:rPr>
            </w:pPr>
            <w:r w:rsidDel="00000000" w:rsidR="00000000" w:rsidRPr="00000000">
              <w:rPr>
                <w:rtl w:val="0"/>
              </w:rPr>
            </w:r>
          </w:p>
        </w:tc>
        <w:tc>
          <w:tcPr/>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pageBreakBefore w:val="0"/>
        <w:rPr>
          <w:sz w:val="22"/>
          <w:szCs w:val="22"/>
        </w:rPr>
      </w:pPr>
      <w:r w:rsidDel="00000000" w:rsidR="00000000" w:rsidRPr="00000000">
        <w:rPr>
          <w:rtl w:val="0"/>
        </w:rPr>
      </w:r>
    </w:p>
    <w:p w:rsidR="00000000" w:rsidDel="00000000" w:rsidP="00000000" w:rsidRDefault="00000000" w:rsidRPr="00000000" w14:paraId="0000006F">
      <w:pPr>
        <w:pageBreakBefore w:val="0"/>
        <w:rPr>
          <w:sz w:val="22"/>
          <w:szCs w:val="22"/>
        </w:rPr>
      </w:pPr>
      <w:r w:rsidDel="00000000" w:rsidR="00000000" w:rsidRPr="00000000">
        <w:rPr>
          <w:sz w:val="22"/>
          <w:szCs w:val="22"/>
          <w:rtl w:val="0"/>
        </w:rPr>
        <w:t xml:space="preserve">Respectfully submitted by Ashley Maynard.</w:t>
      </w:r>
    </w:p>
    <w:p w:rsidR="00000000" w:rsidDel="00000000" w:rsidP="00000000" w:rsidRDefault="00000000" w:rsidRPr="00000000" w14:paraId="00000070">
      <w:pPr>
        <w:pageBreakBefore w:val="0"/>
        <w:rPr>
          <w:sz w:val="22"/>
          <w:szCs w:val="22"/>
        </w:rPr>
      </w:pPr>
      <w:r w:rsidDel="00000000" w:rsidR="00000000" w:rsidRPr="00000000">
        <w:rPr>
          <w:sz w:val="22"/>
          <w:szCs w:val="22"/>
          <w:rtl w:val="0"/>
        </w:rPr>
        <w:t xml:space="preserve">Approved on February 24, 2014 with 6 votes in favor of approval and 0 against.</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6">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Professional Matters (CPM)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