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COMMITTEE ON PROFESSIONAL MATTERS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8580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20493" y="3769205"/>
                          <a:ext cx="6851015" cy="2159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  <a:moveTo>
                                <a:pt x="15000" y="15000"/>
                              </a:moveTo>
                              <a:lnTo>
                                <a:pt x="15000" y="105000"/>
                              </a:lnTo>
                              <a:lnTo>
                                <a:pt x="105000" y="105000"/>
                              </a:lnTo>
                              <a:lnTo>
                                <a:pt x="105000" y="150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8580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April 4, 2014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Hawai'i Hall Room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216.0" w:type="dxa"/>
        <w:tblBorders>
          <w:top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400"/>
      </w:tblPr>
      <w:tblGrid>
        <w:gridCol w:w="2246"/>
        <w:gridCol w:w="351"/>
        <w:gridCol w:w="2454"/>
        <w:gridCol w:w="351"/>
        <w:gridCol w:w="2007"/>
        <w:gridCol w:w="339"/>
        <w:gridCol w:w="1745"/>
        <w:gridCol w:w="803"/>
        <w:tblGridChange w:id="0">
          <w:tblGrid>
            <w:gridCol w:w="2246"/>
            <w:gridCol w:w="351"/>
            <w:gridCol w:w="2454"/>
            <w:gridCol w:w="351"/>
            <w:gridCol w:w="2007"/>
            <w:gridCol w:w="339"/>
            <w:gridCol w:w="1745"/>
            <w:gridCol w:w="80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KALLIANPUR, Kalpana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Stevens, Duane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(Vice-Chair)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Wieczorek, Anna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Ming-Bao Yue, LLL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Maynard,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Ashley (Chair)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Szymczak, Victoria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(Secretary)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tabs>
                <w:tab w:val="left" w:leader="none" w:pos="720"/>
              </w:tabs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Vincent, Doug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tabs>
                <w:tab w:val="left" w:leader="none" w:pos="720"/>
              </w:tabs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(SEC Liaison)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Moffett, Joel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tabs>
                <w:tab w:val="left" w:leader="none" w:pos="720"/>
              </w:tabs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Tallquist, Michelle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Mocz, Gabor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Tam, Elizabeth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Shoultz, Janice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Vargo,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tabs>
                <w:tab w:val="left" w:leader="none" w:pos="72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-216.0" w:type="dxa"/>
        <w:tblBorders>
          <w:top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400"/>
      </w:tblPr>
      <w:tblGrid>
        <w:gridCol w:w="1898"/>
        <w:gridCol w:w="5947"/>
        <w:gridCol w:w="2451"/>
        <w:tblGridChange w:id="0">
          <w:tblGrid>
            <w:gridCol w:w="1898"/>
            <w:gridCol w:w="5947"/>
            <w:gridCol w:w="24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tabs>
                <w:tab w:val="left" w:leader="none" w:pos="720"/>
              </w:tabs>
              <w:ind w:left="72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Maynard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tabs>
                <w:tab w:val="left" w:leader="none" w:pos="720"/>
              </w:tabs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February 21 minutes.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tabs>
                <w:tab w:val="left" w:leader="none" w:pos="720"/>
              </w:tabs>
              <w:spacing w:after="2" w:before="2" w:lineRule="auto"/>
              <w:ind w:left="-33" w:right="-3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quorum at Feb. 26 informational meeting.  CPM informally discussed the CPM resolution.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Announce- 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Vincent:  MFS has hired new research asst.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April 7-21:  SEC election, 3 openings for 2014-2015.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Agenda items for MFS are due April 7, April 28.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b w:val="1"/>
                <w:color w:val="345a8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 5.13: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Faculty hiring, tenure vs. non-tenure track hiring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CPM should address number of tenure vs. non-tenure track hires:  does UH Manoa have a plan?  Decision-making for recruiting appears at a stand-still (e.g., Psychology Dept.).  Manoa Institutional Research Office declined to provide data, analysis to CPM. Request BOR action:  e.g., study, task force, etc. Request Manoa Chancellor to inform CPM/MFS on plans (5 years) for instructional personnel: hiring permanent tenure-track faculty, adjunct  faculty (lecturers)?; how will decisions be made among disciplines, colleges/schools?;  what happens to attrited positions and corresponding funds now?  Sweep to UHM?  Re-allocation?  What is current practice and policy?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color w:val="345a8a"/>
                <w:sz w:val="22"/>
                <w:szCs w:val="22"/>
                <w:rtl w:val="0"/>
              </w:rPr>
              <w:t xml:space="preserve">Request a report from Manoa Chancellor by Aug. 1, 2014 / Maynard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Business: Professional Matter within dept./college:  internal review of grad program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Prof. Ming-Bao Yue, former director of the Chinese program in East Asian Languages, requested informal CPM advice on a professional situation.  Apparently, the Dean's Office in LLL and the Department leadership had declined to make a timely decision in a graduate program modification request.  CPM advised that she pursue the issue through the Graduate Division rather than through the LLL Dean.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color w:val="345a8a"/>
                <w:sz w:val="22"/>
                <w:szCs w:val="22"/>
                <w:rtl w:val="0"/>
              </w:rPr>
              <w:t xml:space="preserve">Chair Maynard to follow up with Professor Yue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Classified &amp; Proprietary Research: proposed revision of BOR Chapter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left" w:leader="none" w:pos="720"/>
              </w:tabs>
              <w:spacing w:after="2" w:before="2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Key question is ability to publish results from restricted data.  CORGE has primary responsibility.  It appears that academic freedom to publish in a timely manner is maintained with the proposed revision.  “No classified research at UH Manoa” is maintained as BOR  policy.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color w:val="345a8a"/>
                <w:sz w:val="22"/>
                <w:szCs w:val="22"/>
                <w:rtl w:val="0"/>
              </w:rPr>
              <w:t xml:space="preserve">Communicate to SEC &amp; CORGE / Vincent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tabs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4:45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sz w:val="22"/>
          <w:szCs w:val="22"/>
          <w:rtl w:val="0"/>
        </w:rPr>
        <w:t xml:space="preserve">Respectfully submitted by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Duane Stevens.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7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April 25, 2014</w:t>
      </w:r>
      <w:r w:rsidDel="00000000" w:rsidR="00000000" w:rsidRPr="00000000">
        <w:rPr>
          <w:sz w:val="22"/>
          <w:szCs w:val="22"/>
          <w:rtl w:val="0"/>
        </w:rPr>
        <w:t xml:space="preserve"> with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0</w:t>
      </w:r>
      <w:r w:rsidDel="00000000" w:rsidR="00000000" w:rsidRPr="00000000">
        <w:rPr>
          <w:sz w:val="22"/>
          <w:szCs w:val="22"/>
          <w:rtl w:val="0"/>
        </w:rPr>
        <w:t xml:space="preserve"> against. The number of people attending the meeting is greater than the vote count as two members arrived directly following the vote.</w:t>
      </w:r>
    </w:p>
    <w:p w:rsidR="00000000" w:rsidDel="00000000" w:rsidP="00000000" w:rsidRDefault="00000000" w:rsidRPr="00000000" w14:paraId="0000006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leader="none" w:pos="720"/>
        </w:tabs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2346" w:top="2629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346" w:top="2629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Arial"/>
  <w:font w:name="Teko">
    <w:embedRegular w:fontKey="{00000000-0000-0000-0000-000000000000}" r:id="rId1" w:subsetted="0"/>
    <w:embedBold w:fontKey="{00000000-0000-0000-0000-000000000000}" r:id="rId2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tabs>
        <w:tab w:val="left" w:leader="none" w:pos="720"/>
      </w:tabs>
      <w:jc w:val="right"/>
      <w:rPr/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tabs>
        <w:tab w:val="left" w:leader="none" w:pos="720"/>
      </w:tabs>
      <w:jc w:val="right"/>
      <w:rPr/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eko" w:cs="Teko" w:eastAsia="Teko" w:hAnsi="Tek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eko" w:cs="Teko" w:eastAsia="Teko" w:hAnsi="Tek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eko" w:cs="Teko" w:eastAsia="Teko" w:hAnsi="Tek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eko" w:cs="Teko" w:eastAsia="Teko" w:hAnsi="Tek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eko" w:cs="Teko" w:eastAsia="Teko" w:hAnsi="Tek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eko" w:cs="Teko" w:eastAsia="Teko" w:hAnsi="Tek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eko" w:cs="Teko" w:eastAsia="Teko" w:hAnsi="Tek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eko" w:cs="Teko" w:eastAsia="Teko" w:hAnsi="Tek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1134" w:before="0" w:line="240" w:lineRule="auto"/>
      <w:ind w:left="0" w:right="0" w:firstLine="0"/>
      <w:jc w:val="righ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eko" w:cs="Teko" w:eastAsia="Teko" w:hAnsi="Tek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134" w:before="0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134" w:line="240" w:lineRule="auto"/>
      <w:ind w:left="0" w:right="-144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eko" w:cs="Teko" w:eastAsia="Teko" w:hAnsi="Teko"/>
        <w:b w:val="1"/>
        <w:i w:val="0"/>
        <w:smallCaps w:val="1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ab/>
      <w:tab/>
      <w:t xml:space="preserve">Mānoa Faculty Senate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120" w:before="0" w:line="240" w:lineRule="auto"/>
      <w:ind w:left="0" w:right="0" w:firstLine="0"/>
      <w:jc w:val="righ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eko" w:cs="Teko" w:eastAsia="Teko" w:hAnsi="Teko"/>
        <w:b w:val="1"/>
        <w:i w:val="0"/>
        <w:smallCaps w:val="1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134" w:line="240" w:lineRule="auto"/>
      <w:ind w:left="0" w:right="0" w:firstLine="0"/>
      <w:jc w:val="lef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eko" w:cs="Teko" w:eastAsia="Teko" w:hAnsi="Teko"/>
        <w:sz w:val="24"/>
        <w:szCs w:val="24"/>
        <w:lang w:val="en-US"/>
      </w:rPr>
    </w:rPrDefault>
    <w:pPrDefault>
      <w:pPr>
        <w:tabs>
          <w:tab w:val="left" w:leader="none" w:pos="720"/>
        </w:tabs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28" w:before="28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8" w:before="28" w:lineRule="auto"/>
      <w:ind w:left="576" w:hanging="576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