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UHM Faculty Senate General Education Committee (GEC)</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2013-2014</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Spring Report</w:t>
      </w:r>
    </w:p>
    <w:p w:rsidR="00000000" w:rsidDel="00000000" w:rsidP="00000000" w:rsidRDefault="00000000" w:rsidRPr="00000000" w14:paraId="00000004">
      <w:pPr>
        <w:pageBreakBefore w:val="0"/>
        <w:jc w:val="center"/>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Membership:</w:t>
      </w:r>
      <w:r w:rsidDel="00000000" w:rsidR="00000000" w:rsidRPr="00000000">
        <w:rPr>
          <w:rtl w:val="0"/>
        </w:rPr>
        <w:t xml:space="preserve">  Stacey Roberts (Chair), Peter Garrod (Vice Chair), Robert Joseph, Joy Logan, Sarita Rai, Scott Rowland, Amy Schiffner, Kiana Shiroma, Elisabeth Seamon (ASUH), Dawne Bost, Lisa Fujikawa, Ron Cambra (OVCAA), Todd Sammons (GEO), Ryan Yamaguchi (Admissions), Carolyn Stephenson (SEC Liaison)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1.  Course Proposal Review</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General Education Committee (GEC) reviews course proposals for General Education designations as follows: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Foundations designations, in all instances.  When the Foundations Board (F Board) approves a proposal, it is forwarded to the GEC for a second review.</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Focus (three or more) designations.  When an instructor requests three or more Focus designations and the respective Focus Boards approve their Focus designations, the full proposal is forwarded to the GEC for an overall review.  (Single and dual Focus designations, if approved by the respective Focus Boards, are not reviewed by the GEC).</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Course-based Focus designations.  When a department requests that all sections of a course be designated with any combination of Focus designations (single, dual, or more), and the respective Focus Boards approve their Focus designations, the proposal or full proposal is forwarded to the GEC for a second and overall review.</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tbl>
      <w:tblPr>
        <w:tblStyle w:val="Table1"/>
        <w:tblW w:w="9018.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3"/>
        <w:gridCol w:w="1647"/>
        <w:gridCol w:w="1950"/>
        <w:gridCol w:w="3108"/>
        <w:tblGridChange w:id="0">
          <w:tblGrid>
            <w:gridCol w:w="2313"/>
            <w:gridCol w:w="1647"/>
            <w:gridCol w:w="1950"/>
            <w:gridCol w:w="3108"/>
          </w:tblGrid>
        </w:tblGridChange>
      </w:tblGrid>
      <w:tr>
        <w:trPr>
          <w:cantSplit w:val="0"/>
          <w:tblHeader w:val="0"/>
        </w:trPr>
        <w:tc>
          <w:tcPr/>
          <w:p w:rsidR="00000000" w:rsidDel="00000000" w:rsidP="00000000" w:rsidRDefault="00000000" w:rsidRPr="00000000" w14:paraId="00000012">
            <w:pPr>
              <w:pageBreakBefore w:val="0"/>
              <w:rPr/>
            </w:pPr>
            <w:r w:rsidDel="00000000" w:rsidR="00000000" w:rsidRPr="00000000">
              <w:rPr>
                <w:rtl w:val="0"/>
              </w:rPr>
            </w:r>
          </w:p>
        </w:tc>
        <w:tc>
          <w:tcPr/>
          <w:p w:rsidR="00000000" w:rsidDel="00000000" w:rsidP="00000000" w:rsidRDefault="00000000" w:rsidRPr="00000000" w14:paraId="00000013">
            <w:pPr>
              <w:pageBreakBefore w:val="0"/>
              <w:rPr/>
            </w:pPr>
            <w:r w:rsidDel="00000000" w:rsidR="00000000" w:rsidRPr="00000000">
              <w:rPr>
                <w:rtl w:val="0"/>
              </w:rPr>
              <w:t xml:space="preserve">Proposals </w:t>
            </w:r>
          </w:p>
          <w:p w:rsidR="00000000" w:rsidDel="00000000" w:rsidP="00000000" w:rsidRDefault="00000000" w:rsidRPr="00000000" w14:paraId="00000014">
            <w:pPr>
              <w:pageBreakBefore w:val="0"/>
              <w:rPr/>
            </w:pPr>
            <w:r w:rsidDel="00000000" w:rsidR="00000000" w:rsidRPr="00000000">
              <w:rPr>
                <w:rtl w:val="0"/>
              </w:rPr>
              <w:t xml:space="preserve">reviewed</w:t>
            </w:r>
          </w:p>
        </w:tc>
        <w:tc>
          <w:tcPr/>
          <w:p w:rsidR="00000000" w:rsidDel="00000000" w:rsidP="00000000" w:rsidRDefault="00000000" w:rsidRPr="00000000" w14:paraId="00000015">
            <w:pPr>
              <w:pageBreakBefore w:val="0"/>
              <w:rPr/>
            </w:pPr>
            <w:r w:rsidDel="00000000" w:rsidR="00000000" w:rsidRPr="00000000">
              <w:rPr>
                <w:rtl w:val="0"/>
              </w:rPr>
              <w:t xml:space="preserve">Recommended or approved</w:t>
            </w:r>
          </w:p>
        </w:tc>
        <w:tc>
          <w:tcPr/>
          <w:p w:rsidR="00000000" w:rsidDel="00000000" w:rsidP="00000000" w:rsidRDefault="00000000" w:rsidRPr="00000000" w14:paraId="00000016">
            <w:pPr>
              <w:pageBreakBefore w:val="0"/>
              <w:rPr/>
            </w:pPr>
            <w:r w:rsidDel="00000000" w:rsidR="00000000" w:rsidRPr="00000000">
              <w:rPr>
                <w:rtl w:val="0"/>
              </w:rPr>
              <w:t xml:space="preserve">Pending, withdrawn, or denied</w:t>
            </w:r>
          </w:p>
        </w:tc>
      </w:tr>
      <w:tr>
        <w:trPr>
          <w:cantSplit w:val="0"/>
          <w:tblHeader w:val="0"/>
        </w:trPr>
        <w:tc>
          <w:tcPr/>
          <w:p w:rsidR="00000000" w:rsidDel="00000000" w:rsidP="00000000" w:rsidRDefault="00000000" w:rsidRPr="00000000" w14:paraId="00000017">
            <w:pPr>
              <w:pageBreakBefore w:val="0"/>
              <w:rPr/>
            </w:pPr>
            <w:r w:rsidDel="00000000" w:rsidR="00000000" w:rsidRPr="00000000">
              <w:rPr>
                <w:rtl w:val="0"/>
              </w:rPr>
              <w:t xml:space="preserve">Foundations</w:t>
            </w:r>
          </w:p>
        </w:tc>
        <w:tc>
          <w:tcPr/>
          <w:p w:rsidR="00000000" w:rsidDel="00000000" w:rsidP="00000000" w:rsidRDefault="00000000" w:rsidRPr="00000000" w14:paraId="00000018">
            <w:pPr>
              <w:pageBreakBefore w:val="0"/>
              <w:rPr/>
            </w:pPr>
            <w:r w:rsidDel="00000000" w:rsidR="00000000" w:rsidRPr="00000000">
              <w:rPr>
                <w:rtl w:val="0"/>
              </w:rPr>
              <w:t xml:space="preserve">         0</w:t>
            </w:r>
          </w:p>
        </w:tc>
        <w:tc>
          <w:tcPr/>
          <w:p w:rsidR="00000000" w:rsidDel="00000000" w:rsidP="00000000" w:rsidRDefault="00000000" w:rsidRPr="00000000" w14:paraId="00000019">
            <w:pPr>
              <w:pageBreakBefore w:val="0"/>
              <w:rPr/>
            </w:pPr>
            <w:r w:rsidDel="00000000" w:rsidR="00000000" w:rsidRPr="00000000">
              <w:rPr>
                <w:rtl w:val="0"/>
              </w:rPr>
              <w:t xml:space="preserve">         0</w:t>
            </w:r>
          </w:p>
        </w:tc>
        <w:tc>
          <w:tcPr/>
          <w:p w:rsidR="00000000" w:rsidDel="00000000" w:rsidP="00000000" w:rsidRDefault="00000000" w:rsidRPr="00000000" w14:paraId="0000001A">
            <w:pPr>
              <w:pageBreakBefore w:val="0"/>
              <w:rPr/>
            </w:pPr>
            <w:r w:rsidDel="00000000" w:rsidR="00000000" w:rsidRPr="00000000">
              <w:rPr>
                <w:rtl w:val="0"/>
              </w:rPr>
              <w:t xml:space="preserve">         0</w:t>
            </w:r>
          </w:p>
        </w:tc>
      </w:tr>
      <w:tr>
        <w:trPr>
          <w:cantSplit w:val="0"/>
          <w:tblHeader w:val="0"/>
        </w:trPr>
        <w:tc>
          <w:tcPr/>
          <w:p w:rsidR="00000000" w:rsidDel="00000000" w:rsidP="00000000" w:rsidRDefault="00000000" w:rsidRPr="00000000" w14:paraId="0000001B">
            <w:pPr>
              <w:pageBreakBefore w:val="0"/>
              <w:rPr/>
            </w:pPr>
            <w:r w:rsidDel="00000000" w:rsidR="00000000" w:rsidRPr="00000000">
              <w:rPr>
                <w:rtl w:val="0"/>
              </w:rPr>
              <w:t xml:space="preserve">Multiple Focus</w:t>
            </w:r>
          </w:p>
        </w:tc>
        <w:tc>
          <w:tcPr/>
          <w:p w:rsidR="00000000" w:rsidDel="00000000" w:rsidP="00000000" w:rsidRDefault="00000000" w:rsidRPr="00000000" w14:paraId="0000001C">
            <w:pPr>
              <w:pageBreakBefore w:val="0"/>
              <w:rPr/>
            </w:pPr>
            <w:r w:rsidDel="00000000" w:rsidR="00000000" w:rsidRPr="00000000">
              <w:rPr>
                <w:rtl w:val="0"/>
              </w:rPr>
              <w:t xml:space="preserve">         6</w:t>
            </w:r>
          </w:p>
        </w:tc>
        <w:tc>
          <w:tcPr/>
          <w:p w:rsidR="00000000" w:rsidDel="00000000" w:rsidP="00000000" w:rsidRDefault="00000000" w:rsidRPr="00000000" w14:paraId="0000001D">
            <w:pPr>
              <w:pageBreakBefore w:val="0"/>
              <w:rPr/>
            </w:pPr>
            <w:r w:rsidDel="00000000" w:rsidR="00000000" w:rsidRPr="00000000">
              <w:rPr>
                <w:rtl w:val="0"/>
              </w:rPr>
              <w:t xml:space="preserve">         6</w:t>
            </w:r>
          </w:p>
        </w:tc>
        <w:tc>
          <w:tcPr/>
          <w:p w:rsidR="00000000" w:rsidDel="00000000" w:rsidP="00000000" w:rsidRDefault="00000000" w:rsidRPr="00000000" w14:paraId="0000001E">
            <w:pPr>
              <w:pageBreakBefore w:val="0"/>
              <w:rPr/>
            </w:pPr>
            <w:r w:rsidDel="00000000" w:rsidR="00000000" w:rsidRPr="00000000">
              <w:rPr>
                <w:rtl w:val="0"/>
              </w:rPr>
              <w:t xml:space="preserve">         0</w:t>
            </w:r>
          </w:p>
        </w:tc>
      </w:tr>
      <w:tr>
        <w:trPr>
          <w:cantSplit w:val="0"/>
          <w:tblHeader w:val="0"/>
        </w:trPr>
        <w:tc>
          <w:tcPr/>
          <w:p w:rsidR="00000000" w:rsidDel="00000000" w:rsidP="00000000" w:rsidRDefault="00000000" w:rsidRPr="00000000" w14:paraId="0000001F">
            <w:pPr>
              <w:pageBreakBefore w:val="0"/>
              <w:rPr/>
            </w:pPr>
            <w:r w:rsidDel="00000000" w:rsidR="00000000" w:rsidRPr="00000000">
              <w:rPr>
                <w:rtl w:val="0"/>
              </w:rPr>
              <w:t xml:space="preserve">Course Based Focus</w:t>
            </w:r>
          </w:p>
        </w:tc>
        <w:tc>
          <w:tcPr/>
          <w:p w:rsidR="00000000" w:rsidDel="00000000" w:rsidP="00000000" w:rsidRDefault="00000000" w:rsidRPr="00000000" w14:paraId="00000020">
            <w:pPr>
              <w:pageBreakBefore w:val="0"/>
              <w:rPr/>
            </w:pPr>
            <w:r w:rsidDel="00000000" w:rsidR="00000000" w:rsidRPr="00000000">
              <w:rPr>
                <w:rtl w:val="0"/>
              </w:rPr>
              <w:t xml:space="preserve">         25</w:t>
            </w:r>
          </w:p>
        </w:tc>
        <w:tc>
          <w:tcPr/>
          <w:p w:rsidR="00000000" w:rsidDel="00000000" w:rsidP="00000000" w:rsidRDefault="00000000" w:rsidRPr="00000000" w14:paraId="00000021">
            <w:pPr>
              <w:pageBreakBefore w:val="0"/>
              <w:rPr/>
            </w:pPr>
            <w:r w:rsidDel="00000000" w:rsidR="00000000" w:rsidRPr="00000000">
              <w:rPr>
                <w:rtl w:val="0"/>
              </w:rPr>
              <w:t xml:space="preserve">        25</w:t>
            </w:r>
          </w:p>
        </w:tc>
        <w:tc>
          <w:tcPr/>
          <w:p w:rsidR="00000000" w:rsidDel="00000000" w:rsidP="00000000" w:rsidRDefault="00000000" w:rsidRPr="00000000" w14:paraId="00000022">
            <w:pPr>
              <w:pageBreakBefore w:val="0"/>
              <w:rPr/>
            </w:pPr>
            <w:r w:rsidDel="00000000" w:rsidR="00000000" w:rsidRPr="00000000">
              <w:rPr>
                <w:rtl w:val="0"/>
              </w:rPr>
              <w:t xml:space="preserve">         0</w:t>
            </w:r>
          </w:p>
        </w:tc>
      </w:tr>
      <w:tr>
        <w:trPr>
          <w:cantSplit w:val="0"/>
          <w:tblHeader w:val="0"/>
        </w:trPr>
        <w:tc>
          <w:tcPr/>
          <w:p w:rsidR="00000000" w:rsidDel="00000000" w:rsidP="00000000" w:rsidRDefault="00000000" w:rsidRPr="00000000" w14:paraId="00000023">
            <w:pPr>
              <w:pageBreakBefore w:val="0"/>
              <w:rPr/>
            </w:pPr>
            <w:r w:rsidDel="00000000" w:rsidR="00000000" w:rsidRPr="00000000">
              <w:rPr>
                <w:rtl w:val="0"/>
              </w:rPr>
              <w:t xml:space="preserve">Focus Exemption</w:t>
            </w:r>
          </w:p>
        </w:tc>
        <w:tc>
          <w:tcPr/>
          <w:p w:rsidR="00000000" w:rsidDel="00000000" w:rsidP="00000000" w:rsidRDefault="00000000" w:rsidRPr="00000000" w14:paraId="00000024">
            <w:pPr>
              <w:pageBreakBefore w:val="0"/>
              <w:rPr/>
            </w:pPr>
            <w:r w:rsidDel="00000000" w:rsidR="00000000" w:rsidRPr="00000000">
              <w:rPr>
                <w:rtl w:val="0"/>
              </w:rPr>
              <w:t xml:space="preserve">         2</w:t>
            </w:r>
          </w:p>
        </w:tc>
        <w:tc>
          <w:tcPr/>
          <w:p w:rsidR="00000000" w:rsidDel="00000000" w:rsidP="00000000" w:rsidRDefault="00000000" w:rsidRPr="00000000" w14:paraId="00000025">
            <w:pPr>
              <w:pageBreakBefore w:val="0"/>
              <w:rPr/>
            </w:pPr>
            <w:r w:rsidDel="00000000" w:rsidR="00000000" w:rsidRPr="00000000">
              <w:rPr>
                <w:rtl w:val="0"/>
              </w:rPr>
              <w:t xml:space="preserve">         1+1 revised</w:t>
            </w:r>
          </w:p>
        </w:tc>
        <w:tc>
          <w:tcPr/>
          <w:p w:rsidR="00000000" w:rsidDel="00000000" w:rsidP="00000000" w:rsidRDefault="00000000" w:rsidRPr="00000000" w14:paraId="00000026">
            <w:pPr>
              <w:pageBreakBefore w:val="0"/>
              <w:rPr/>
            </w:pPr>
            <w:r w:rsidDel="00000000" w:rsidR="00000000" w:rsidRPr="00000000">
              <w:rPr>
                <w:rtl w:val="0"/>
              </w:rPr>
              <w:t xml:space="preserve">         0</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i w:val="1"/>
          <w:u w:val="single"/>
          <w:rtl w:val="0"/>
        </w:rPr>
        <w:t xml:space="preserve">Foundations</w:t>
      </w:r>
      <w:r w:rsidDel="00000000" w:rsidR="00000000" w:rsidRPr="00000000">
        <w:rPr>
          <w:rtl w:val="0"/>
        </w:rPr>
        <w:t xml:space="preserve"> – There were no Foundations courses brought forth for evaluation.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i w:val="1"/>
          <w:u w:val="single"/>
          <w:rtl w:val="0"/>
        </w:rPr>
        <w:t xml:space="preserve">Multiple Focus</w:t>
      </w:r>
      <w:r w:rsidDel="00000000" w:rsidR="00000000" w:rsidRPr="00000000">
        <w:rPr>
          <w:rtl w:val="0"/>
        </w:rPr>
        <w:t xml:space="preserve"> –All courses were approved.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i w:val="1"/>
          <w:u w:val="single"/>
          <w:rtl w:val="0"/>
        </w:rPr>
        <w:t xml:space="preserve">Course-Based Focus</w:t>
      </w:r>
      <w:r w:rsidDel="00000000" w:rsidR="00000000" w:rsidRPr="00000000">
        <w:rPr>
          <w:rtl w:val="0"/>
        </w:rPr>
        <w:t xml:space="preserve"> –All courses were approved.  One course that had been denied last semester was resubmitted and approved.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i w:val="1"/>
          <w:u w:val="single"/>
          <w:rtl w:val="0"/>
        </w:rPr>
        <w:t xml:space="preserve">Focus Exemption</w:t>
      </w:r>
      <w:r w:rsidDel="00000000" w:rsidR="00000000" w:rsidRPr="00000000">
        <w:rPr>
          <w:rtl w:val="0"/>
        </w:rPr>
        <w:t xml:space="preserve"> –Both requests for exemptions were approved. One was a resubmission after the student was asked to address more specifically the hallmarks of the focus.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2.  Other Issues</w:t>
      </w:r>
    </w:p>
    <w:p w:rsidR="00000000" w:rsidDel="00000000" w:rsidP="00000000" w:rsidRDefault="00000000" w:rsidRPr="00000000" w14:paraId="00000032">
      <w:pPr>
        <w:pageBreakBefore w:val="0"/>
        <w:rPr/>
      </w:pPr>
      <w:r w:rsidDel="00000000" w:rsidR="00000000" w:rsidRPr="00000000">
        <w:rPr>
          <w:rtl w:val="0"/>
        </w:rPr>
        <w:t xml:space="preserve">The Manoa Assessment Office provided the results of a survey given to the Fall 2010 freshmen cohort (140 students) on their E and O course taking patterns.  The results indicated that after three years at Manoa:</w:t>
      </w:r>
    </w:p>
    <w:p w:rsidR="00000000" w:rsidDel="00000000" w:rsidP="00000000" w:rsidRDefault="00000000" w:rsidRPr="00000000" w14:paraId="00000033">
      <w:pPr>
        <w:pageBreakBefore w:val="0"/>
        <w:rPr/>
      </w:pPr>
      <w:r w:rsidDel="00000000" w:rsidR="00000000" w:rsidRPr="00000000">
        <w:rPr>
          <w:rtl w:val="0"/>
        </w:rPr>
        <w:t xml:space="preserve">97% of students have completed at least one Writing Intensive course (W)</w:t>
      </w:r>
    </w:p>
    <w:p w:rsidR="00000000" w:rsidDel="00000000" w:rsidP="00000000" w:rsidRDefault="00000000" w:rsidRPr="00000000" w14:paraId="00000034">
      <w:pPr>
        <w:pageBreakBefore w:val="0"/>
        <w:rPr/>
      </w:pPr>
      <w:r w:rsidDel="00000000" w:rsidR="00000000" w:rsidRPr="00000000">
        <w:rPr>
          <w:rtl w:val="0"/>
        </w:rPr>
        <w:t xml:space="preserve">61% have completed at least three W course</w:t>
      </w:r>
    </w:p>
    <w:p w:rsidR="00000000" w:rsidDel="00000000" w:rsidP="00000000" w:rsidRDefault="00000000" w:rsidRPr="00000000" w14:paraId="00000035">
      <w:pPr>
        <w:pageBreakBefore w:val="0"/>
        <w:rPr/>
      </w:pPr>
      <w:r w:rsidDel="00000000" w:rsidR="00000000" w:rsidRPr="00000000">
        <w:rPr>
          <w:rtl w:val="0"/>
        </w:rPr>
        <w:t xml:space="preserve">89% have completed their Hawaiian, Asian, and Pacific Issues (HAP) requirement</w:t>
      </w:r>
    </w:p>
    <w:p w:rsidR="00000000" w:rsidDel="00000000" w:rsidP="00000000" w:rsidRDefault="00000000" w:rsidRPr="00000000" w14:paraId="00000036">
      <w:pPr>
        <w:pageBreakBefore w:val="0"/>
        <w:rPr/>
      </w:pPr>
      <w:r w:rsidDel="00000000" w:rsidR="00000000" w:rsidRPr="00000000">
        <w:rPr>
          <w:rtl w:val="0"/>
        </w:rPr>
        <w:t xml:space="preserve">51% have completed their Contemporary Ethical Issues (E) requirement</w:t>
      </w:r>
    </w:p>
    <w:p w:rsidR="00000000" w:rsidDel="00000000" w:rsidP="00000000" w:rsidRDefault="00000000" w:rsidRPr="00000000" w14:paraId="00000037">
      <w:pPr>
        <w:pageBreakBefore w:val="0"/>
        <w:rPr/>
      </w:pPr>
      <w:r w:rsidDel="00000000" w:rsidR="00000000" w:rsidRPr="00000000">
        <w:rPr>
          <w:rtl w:val="0"/>
        </w:rPr>
        <w:t xml:space="preserve">46% have completed their Oral Communication (O) requirement.  </w:t>
      </w:r>
    </w:p>
    <w:p w:rsidR="00000000" w:rsidDel="00000000" w:rsidP="00000000" w:rsidRDefault="00000000" w:rsidRPr="00000000" w14:paraId="00000038">
      <w:pPr>
        <w:pageBreakBefore w:val="0"/>
        <w:rPr/>
      </w:pPr>
      <w:r w:rsidDel="00000000" w:rsidR="00000000" w:rsidRPr="00000000">
        <w:rPr>
          <w:rtl w:val="0"/>
        </w:rPr>
        <w:t xml:space="preserve">The lower percentages of students completing the E and O focus by the end of three year’s enrollment is somewhat a concern, however these focus areas are only offered at the 300 and 400 levels, so it isn’t necessarily unreasonable.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Institutional Learning Objectives (ILOs):  Manoa’s undergraduate ILOs were approved by the Manoa Senate and are currently in the process of implementation.  The ILOs cover the areas represented by General Education and incorporate core competencies from other areas, such as Study Abroad and co-curricular activities.  It is key that these outcomes are institution-wide, and no single degree program is expected to cover them all.  They should, however, be covered over the course of a student’s entire undergraduate experience at Manoa.</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3.  Manoa Faculty Senate Charges to the GEC</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Quantitative Reasoning working group continues to meet and is aiming to have a report ready to issue in late Fall 2014.  There were no new charges brought to the GEC this semester.</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