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2, 2007</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p.m. Law School 2</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Manoa Faculty Senate5/2/073 PM Law School 2</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 Chizuko Allen, Mary Ann Antonelli, Cristina Bacchilega, Barry Baker, David Bangert, Helen Baroni, Andrea Bartlett, Shana Brown, Steven Brown, Lonny Carlile, John Casken, Healani Chang, Nathan Chang, Bei-Huan Chao, Meda Chesney-Lind, Ross Christensen, Jerome Comcowich, Bryan Cook, Robert Cooney, Linda Cox, Martha Crosby, Shirley Daniel, Sandy Davis, Eric De Carlo, Patricia Donegan, David Ericson, Marie-Jose Fassiotto, Sheri Fong, David Fritzinger, Donna Fukuda, Michael Garcia, Robert Gibson, Jackie Graessle, Zoe Hammatt, Bill Haning, Rosanne Harrigan, Patrick Henry, Susan Hppensteele, Tomas Hudson, Judith Inazu, Alan Katz, Beverly Keever, Klaus Keil, Carol Kellett, Noel Kent, Spencer Kimura, Mike Kirk-Kuwaye, Rebecca Knuth, William Lampe, Chin Lee, Peter Leong, Justin Levinson, Richard Manshardt, Dennis McDougall, Matt McGranaghan, Robert McHenry, Dore Minatodani, Katrina-Ann Oliveira, Katsuhiro Ota, Robert Paull, Daniel Port, Barry Raleigh, Todd Reed, Karol Richardson, John Rieder, David Ross, Dave Sanders, Frank Sansone, Magi Sarvimaki, Jane Schoonmaker, Brent Sipes, Martha Staff, David Stegenga, Grieg Steward, Nancy Stockert, NJ Hemphill Stodden, Jim Tiles, Mary Tiles, Stephen Tschudi, Lei Wakayama, Michael Weinstein, Markus Wessendorf, Roy Wilkens, Lesley Wright, Tricia Wright, Jean Young, Ivica Zalud</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 David Chin, Graham Crookes, Julienne Maeda, Kelly Roberts, Ilia Roussev, Sara Rutter, Russel Uyeno, James Yates, Sylvia Yuen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 Roger Babcock, Ruth Bingham, Kimberley Binstead, Lee Buenconsejo-Lum, Ed Cadman, Paul Chandler, James Cowen, Michael DeMattos, Milton Diamond, David Duffy, Jimmy Efird, John Engel, Patricia Halagao, Jim Hollyer, Jean Johnson, Karl Kim, Marcelo Kobayashi, Jeffrey Kuhn, Lorenz Magaard, John Mayer, Marian Melish, Larry Nitz, Maryann Overstreet, Aspy Palia, Joe Ramos, Richard Rath, Pauline Sheldon, Jim Skouge, Steven Ward, Anna Wieczorek, Kelley Withy</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Minutes of April 18, 2007 approved by consensus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Chair Report (3:00 PM quorum established)</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Thanks to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Committee Chairs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Senate Secretary Charlotte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SEC members that are leaving the SEC</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Returning SEC members David Chinn new Chair, Rosanne Harrigan, and Linda Cox</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New members recognized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Accomplishments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Faculty Handbook</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Governance Instruments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Task Force on Assessment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Library Task Force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 Concerns to State Senate re UHWO</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 Conditional tenure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 Chancellor Search Committee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viii. Forum on selection of new Regents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What could have been done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Lack of commitment to engage in shared governance because of administrations lack of collaborative attitude. Numerous examples provided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The future</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for interactions on the Executive team by SEC Chair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Offer cooperation next, but do not shirk for responsibility</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Accept your managerial responsibility</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CAB</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to approve proposal for reorganization to establish School of Hawaiian Knowledge and present this proposal to the next BOR. Presentation provided by Healani Chang and Jon Osorio and colleagues and Discussion: A lengthy discussion followed.</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Unanimous approval</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COA</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Presented by Brent Sipes</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Amendment to resolution accepted by motion maker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Amendment: FAR to report annually to COA</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A Lengthy discussion followed</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Unanimously approved</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COR</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to approve policy presented by Roy Wilkins (policy attached)</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A lengthy discussion followed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Amendment</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to Amend: "at any location under the authority of the Manoa Chancellor", rather than "campus"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Noel Kent, Second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favor 46,Opposed 22</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Amendment passed</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All grants and contracts that are either classified or proprietary should be flagged in the ORS listing Beverly Keever, Second Steven Tsuchudi</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Discussion: A lengthy discussion followed.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Daniel Port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to postpone</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Favor 39,Opposed 21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Motion carried.</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Adjourned: 5:00 PM</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dave at math.hawaii.edu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