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between w:color="000000" w:space="1" w:sz="4" w:val="single"/>
        </w:pBdr>
        <w:jc w:val="center"/>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Faculty Senate</w:t>
      </w: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Executive Committee</w:t>
      </w:r>
    </w:p>
    <w:p w:rsidR="00000000" w:rsidDel="00000000" w:rsidP="00000000" w:rsidRDefault="00000000" w:rsidRPr="00000000" w14:paraId="00000003">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Meeting Minutes</w:t>
      </w:r>
    </w:p>
    <w:p w:rsidR="00000000" w:rsidDel="00000000" w:rsidP="00000000" w:rsidRDefault="00000000" w:rsidRPr="00000000" w14:paraId="00000004">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Meeting Date:  </w:t>
      </w:r>
      <w:r w:rsidDel="00000000" w:rsidR="00000000" w:rsidRPr="00000000">
        <w:rPr>
          <w:rFonts w:ascii="Arial" w:cs="Arial" w:eastAsia="Arial" w:hAnsi="Arial"/>
          <w:sz w:val="20"/>
          <w:szCs w:val="20"/>
          <w:u w:val="single"/>
          <w:vertAlign w:val="baseline"/>
          <w:rtl w:val="0"/>
        </w:rPr>
        <w:t xml:space="preserve">November 21, 2011</w:t>
      </w:r>
      <w:r w:rsidDel="00000000" w:rsidR="00000000" w:rsidRPr="00000000">
        <w:rPr>
          <w:rtl w:val="0"/>
        </w:rPr>
      </w:r>
    </w:p>
    <w:p w:rsidR="00000000" w:rsidDel="00000000" w:rsidP="00000000" w:rsidRDefault="00000000" w:rsidRPr="00000000" w14:paraId="00000006">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u w:val="single"/>
          <w:vertAlign w:val="baseline"/>
          <w:rtl w:val="0"/>
        </w:rPr>
        <w:t xml:space="preserve">Attendance:</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08">
      <w:pPr>
        <w:pageBreakBefore w:val="0"/>
        <w:rPr>
          <w:rFonts w:ascii="Arial" w:cs="Arial" w:eastAsia="Arial" w:hAnsi="Arial"/>
          <w:sz w:val="20"/>
          <w:szCs w:val="20"/>
          <w:vertAlign w:val="baseline"/>
        </w:rPr>
      </w:pPr>
      <w:r w:rsidDel="00000000" w:rsidR="00000000" w:rsidRPr="00000000">
        <w:rPr>
          <w:rtl w:val="0"/>
        </w:rPr>
      </w:r>
    </w:p>
    <w:tbl>
      <w:tblPr>
        <w:tblStyle w:val="Table1"/>
        <w:tblW w:w="12912.0" w:type="dxa"/>
        <w:jc w:val="left"/>
        <w:tblInd w:w="-108.0" w:type="dxa"/>
        <w:tblLayout w:type="fixed"/>
        <w:tblLook w:val="0000"/>
      </w:tblPr>
      <w:tblGrid>
        <w:gridCol w:w="1818"/>
        <w:gridCol w:w="360"/>
        <w:gridCol w:w="1690"/>
        <w:gridCol w:w="380"/>
        <w:gridCol w:w="1800"/>
        <w:gridCol w:w="360"/>
        <w:gridCol w:w="1980"/>
        <w:gridCol w:w="360"/>
        <w:gridCol w:w="24"/>
        <w:gridCol w:w="1842"/>
        <w:gridCol w:w="24"/>
        <w:gridCol w:w="360"/>
        <w:gridCol w:w="56"/>
        <w:gridCol w:w="1564"/>
        <w:gridCol w:w="58"/>
        <w:gridCol w:w="212"/>
        <w:gridCol w:w="24"/>
        <w:tblGridChange w:id="0">
          <w:tblGrid>
            <w:gridCol w:w="1818"/>
            <w:gridCol w:w="360"/>
            <w:gridCol w:w="1690"/>
            <w:gridCol w:w="380"/>
            <w:gridCol w:w="1800"/>
            <w:gridCol w:w="360"/>
            <w:gridCol w:w="1980"/>
            <w:gridCol w:w="360"/>
            <w:gridCol w:w="24"/>
            <w:gridCol w:w="1842"/>
            <w:gridCol w:w="24"/>
            <w:gridCol w:w="360"/>
            <w:gridCol w:w="56"/>
            <w:gridCol w:w="1564"/>
            <w:gridCol w:w="58"/>
            <w:gridCol w:w="212"/>
            <w:gridCol w:w="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Bob Cooney (chair 2011-2012)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B">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Thomas Conway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Kristin Herrick</w:t>
            </w:r>
          </w:p>
          <w:p w:rsidR="00000000" w:rsidDel="00000000" w:rsidP="00000000" w:rsidRDefault="00000000" w:rsidRPr="00000000" w14:paraId="0000000E">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(Staff)</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Chancellor Hinshaw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pageBreakBefore w:val="0"/>
              <w:rPr>
                <w:rFonts w:ascii="Arial" w:cs="Arial" w:eastAsia="Arial" w:hAnsi="Arial"/>
                <w:sz w:val="20"/>
                <w:szCs w:val="20"/>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Greg Takayama</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pageBreakBefore w:val="0"/>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Others:</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pageBreakBefore w:val="0"/>
              <w:rPr>
                <w:rFonts w:ascii="Arial" w:cs="Arial" w:eastAsia="Arial" w:hAnsi="Arial"/>
                <w:sz w:val="20"/>
                <w:szCs w:val="20"/>
                <w:vertAlign w:val="baseline"/>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pageBreakBefore w:val="0"/>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Bonnyjean Manini (V. Chair)</w:t>
            </w:r>
          </w:p>
          <w:p w:rsidR="00000000" w:rsidDel="00000000" w:rsidP="00000000" w:rsidRDefault="00000000" w:rsidRPr="00000000" w14:paraId="0000001C">
            <w:pPr>
              <w:pageBreakBefore w:val="0"/>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Ian Pagano</w:t>
            </w:r>
          </w:p>
          <w:p w:rsidR="00000000" w:rsidDel="00000000" w:rsidP="00000000" w:rsidRDefault="00000000" w:rsidRPr="00000000" w14:paraId="0000001F">
            <w:pPr>
              <w:pageBreakBefore w:val="0"/>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pageBreakBefore w:val="0"/>
              <w:widowControl w:val="0"/>
              <w:jc w:val="both"/>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pageBreakBefore w:val="0"/>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VCGRE Ostrander</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VCFO</w:t>
            </w:r>
          </w:p>
          <w:p w:rsidR="00000000" w:rsidDel="00000000" w:rsidP="00000000" w:rsidRDefault="00000000" w:rsidRPr="00000000" w14:paraId="00000027">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Cutshaw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pageBreakBefore w:val="0"/>
              <w:jc w:val="center"/>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PRES</w:t>
            </w:r>
          </w:p>
          <w:p w:rsidR="00000000" w:rsidDel="00000000" w:rsidP="00000000" w:rsidRDefault="00000000" w:rsidRPr="00000000" w14:paraId="0000002B">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Greenwood</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pageBreakBefore w:val="0"/>
              <w:rPr>
                <w:rFonts w:ascii="Arial" w:cs="Arial" w:eastAsia="Arial" w:hAnsi="Arial"/>
                <w:sz w:val="20"/>
                <w:szCs w:val="20"/>
                <w:vertAlign w:val="baseline"/>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Lilikalā</w:t>
            </w:r>
          </w:p>
          <w:p w:rsidR="00000000" w:rsidDel="00000000" w:rsidP="00000000" w:rsidRDefault="00000000" w:rsidRPr="00000000" w14:paraId="00000031">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Kame</w:t>
            </w:r>
            <w:r w:rsidDel="00000000" w:rsidR="00000000" w:rsidRPr="00000000">
              <w:rPr>
                <w:sz w:val="20"/>
                <w:szCs w:val="20"/>
                <w:vertAlign w:val="baseline"/>
                <w:rtl w:val="0"/>
              </w:rPr>
              <w:t xml:space="preserve">ʻ</w:t>
            </w:r>
            <w:r w:rsidDel="00000000" w:rsidR="00000000" w:rsidRPr="00000000">
              <w:rPr>
                <w:rFonts w:ascii="Arial" w:cs="Arial" w:eastAsia="Arial" w:hAnsi="Arial"/>
                <w:sz w:val="20"/>
                <w:szCs w:val="20"/>
                <w:vertAlign w:val="baseline"/>
                <w:rtl w:val="0"/>
              </w:rPr>
              <w:t xml:space="preserve">eleihiwa</w:t>
            </w:r>
          </w:p>
          <w:p w:rsidR="00000000" w:rsidDel="00000000" w:rsidP="00000000" w:rsidRDefault="00000000" w:rsidRPr="00000000" w14:paraId="00000032">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(Secretary)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p w:rsidR="00000000" w:rsidDel="00000000" w:rsidP="00000000" w:rsidRDefault="00000000" w:rsidRPr="00000000" w14:paraId="00000034">
            <w:pPr>
              <w:pageBreakBefore w:val="0"/>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pageBreakBefore w:val="0"/>
              <w:widowControl w:val="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Carolyn Stephenson</w:t>
            </w:r>
          </w:p>
          <w:p w:rsidR="00000000" w:rsidDel="00000000" w:rsidP="00000000" w:rsidRDefault="00000000" w:rsidRPr="00000000" w14:paraId="00000036">
            <w:pPr>
              <w:pageBreakBefore w:val="0"/>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pageBreakBefore w:val="0"/>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pageBreakBefore w:val="0"/>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VCAA Dasenbrock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pageBreakBefore w:val="0"/>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AVCSA  Lori Ideta</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pageBreakBefore w:val="0"/>
              <w:rPr>
                <w:rFonts w:ascii="Arial" w:cs="Arial" w:eastAsia="Arial" w:hAnsi="Arial"/>
                <w:sz w:val="20"/>
                <w:szCs w:val="20"/>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pageBreakBefore w:val="0"/>
              <w:rPr>
                <w:rFonts w:ascii="Arial" w:cs="Arial" w:eastAsia="Arial" w:hAnsi="Arial"/>
                <w:sz w:val="20"/>
                <w:szCs w:val="20"/>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Richard</w:t>
            </w:r>
          </w:p>
          <w:p w:rsidR="00000000" w:rsidDel="00000000" w:rsidP="00000000" w:rsidRDefault="00000000" w:rsidRPr="00000000" w14:paraId="00000046">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Chadwick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pageBreakBefore w:val="0"/>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pageBreakBefore w:val="0"/>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pageBreakBefore w:val="0"/>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pageBreakBefore w:val="0"/>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pageBreakBefore w:val="0"/>
              <w:jc w:val="center"/>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VCSA Hernandez</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pageBreakBefore w:val="0"/>
              <w:jc w:val="center"/>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pageBreakBefore w:val="0"/>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pageBreakBefore w:val="0"/>
              <w:jc w:val="center"/>
              <w:rPr>
                <w:rFonts w:ascii="Arial" w:cs="Arial" w:eastAsia="Arial" w:hAnsi="Arial"/>
                <w:sz w:val="20"/>
                <w:szCs w:val="20"/>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pageBreakBefore w:val="0"/>
              <w:rPr>
                <w:rFonts w:ascii="Arial" w:cs="Arial" w:eastAsia="Arial" w:hAnsi="Arial"/>
                <w:sz w:val="20"/>
                <w:szCs w:val="20"/>
                <w:vertAlign w:val="baseline"/>
              </w:rPr>
            </w:pP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055">
            <w:pPr>
              <w:pageBreakBefore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57">
      <w:pPr>
        <w:pageBreakBefore w:val="0"/>
        <w:rPr>
          <w:rFonts w:ascii="Arial" w:cs="Arial" w:eastAsia="Arial" w:hAnsi="Arial"/>
          <w:sz w:val="20"/>
          <w:szCs w:val="20"/>
          <w:vertAlign w:val="baseline"/>
        </w:rPr>
      </w:pPr>
      <w:r w:rsidDel="00000000" w:rsidR="00000000" w:rsidRPr="00000000">
        <w:rPr>
          <w:rtl w:val="0"/>
        </w:rPr>
      </w:r>
    </w:p>
    <w:tbl>
      <w:tblPr>
        <w:tblStyle w:val="Table2"/>
        <w:tblW w:w="137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7560"/>
        <w:gridCol w:w="3960"/>
        <w:tblGridChange w:id="0">
          <w:tblGrid>
            <w:gridCol w:w="2268"/>
            <w:gridCol w:w="7560"/>
            <w:gridCol w:w="3960"/>
          </w:tblGrid>
        </w:tblGridChange>
      </w:tblGrid>
      <w:tr>
        <w:trPr>
          <w:cantSplit w:val="0"/>
          <w:tblHeader w:val="0"/>
        </w:trPr>
        <w:tc>
          <w:tcPr>
            <w:vAlign w:val="top"/>
          </w:tcPr>
          <w:p w:rsidR="00000000" w:rsidDel="00000000" w:rsidP="00000000" w:rsidRDefault="00000000" w:rsidRPr="00000000" w14:paraId="00000058">
            <w:pPr>
              <w:pageBreakBefore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59">
            <w:pPr>
              <w:pageBreakBefore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5A">
            <w:pPr>
              <w:pageBreakBefore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Action/Strategy</w:t>
            </w:r>
            <w:r w:rsidDel="00000000" w:rsidR="00000000" w:rsidRPr="00000000">
              <w:rPr>
                <w:rtl w:val="0"/>
              </w:rPr>
            </w:r>
          </w:p>
        </w:tc>
      </w:tr>
      <w:tr>
        <w:trPr>
          <w:cantSplit w:val="0"/>
          <w:trHeight w:val="860" w:hRule="atLeast"/>
          <w:tblHeader w:val="0"/>
        </w:trPr>
        <w:tc>
          <w:tcPr>
            <w:vAlign w:val="top"/>
          </w:tcPr>
          <w:p w:rsidR="00000000" w:rsidDel="00000000" w:rsidP="00000000" w:rsidRDefault="00000000" w:rsidRPr="00000000" w14:paraId="0000005B">
            <w:pPr>
              <w:pageBreakBefore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5C">
            <w:pPr>
              <w:pageBreakBefore w:val="0"/>
              <w:ind w:left="7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meeting convened at 2:45 p.m. in HH 208.</w:t>
            </w:r>
          </w:p>
          <w:p w:rsidR="00000000" w:rsidDel="00000000" w:rsidP="00000000" w:rsidRDefault="00000000" w:rsidRPr="00000000" w14:paraId="0000005D">
            <w:pPr>
              <w:pageBreakBefore w:val="0"/>
              <w:ind w:left="7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VC Ostrander came at 3:15.  Please see his remarks below.</w:t>
            </w:r>
          </w:p>
        </w:tc>
        <w:tc>
          <w:tcPr>
            <w:vAlign w:val="top"/>
          </w:tcPr>
          <w:p w:rsidR="00000000" w:rsidDel="00000000" w:rsidP="00000000" w:rsidRDefault="00000000" w:rsidRPr="00000000" w14:paraId="0000005E">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F">
            <w:pPr>
              <w:pageBreakBefore w:val="0"/>
              <w:rPr>
                <w:rFonts w:ascii="Arial" w:cs="Arial" w:eastAsia="Arial" w:hAnsi="Arial"/>
                <w:sz w:val="20"/>
                <w:szCs w:val="20"/>
                <w:vertAlign w:val="baseline"/>
              </w:rPr>
            </w:pP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60">
            <w:pPr>
              <w:pageBreakBefore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CHAIRS REPORT</w:t>
            </w:r>
            <w:r w:rsidDel="00000000" w:rsidR="00000000" w:rsidRPr="00000000">
              <w:rPr>
                <w:rtl w:val="0"/>
              </w:rPr>
            </w:r>
          </w:p>
        </w:tc>
        <w:tc>
          <w:tcPr>
            <w:vAlign w:val="top"/>
          </w:tcPr>
          <w:p w:rsidR="00000000" w:rsidDel="00000000" w:rsidP="00000000" w:rsidRDefault="00000000" w:rsidRPr="00000000" w14:paraId="00000061">
            <w:pPr>
              <w:pageBreakBefore w:val="0"/>
              <w:spacing w:after="2.4" w:before="2.4"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CHAIRS REPORT</w:t>
            </w:r>
            <w:r w:rsidDel="00000000" w:rsidR="00000000" w:rsidRPr="00000000">
              <w:rPr>
                <w:rtl w:val="0"/>
              </w:rPr>
            </w:r>
          </w:p>
          <w:p w:rsidR="00000000" w:rsidDel="00000000" w:rsidP="00000000" w:rsidRDefault="00000000" w:rsidRPr="00000000" w14:paraId="00000062">
            <w:pPr>
              <w:pageBreakBefore w:val="0"/>
              <w:widowControl w:val="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60" w:hRule="atLeast"/>
          <w:tblHeader w:val="0"/>
        </w:trPr>
        <w:tc>
          <w:tcPr>
            <w:vAlign w:val="top"/>
          </w:tcPr>
          <w:p w:rsidR="00000000" w:rsidDel="00000000" w:rsidP="00000000" w:rsidRDefault="00000000" w:rsidRPr="00000000" w14:paraId="00000065">
            <w:pPr>
              <w:pageBreakBefore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ADMIN REPORT</w:t>
            </w: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ADMINISTRATIVE REPORT</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CFS given new report forms, evaluated, brought back to SEC, approval.  Form approval MSP</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Forms from standing and Manoa-wide committees' chairs due date discussed.  Essentially they are asked to summarize their committees' works.</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I-clickers: working on pricing at the moment.</w:t>
            </w:r>
          </w:p>
          <w:p w:rsidR="00000000" w:rsidDel="00000000" w:rsidP="00000000" w:rsidRDefault="00000000" w:rsidRPr="00000000" w14:paraId="0000006B">
            <w:pPr>
              <w:pageBreakBefore w:val="0"/>
              <w:spacing w:after="2.4" w:before="2.4" w:lineRule="auto"/>
              <w:ind w:left="720" w:firstLine="0"/>
              <w:rPr>
                <w:rFonts w:ascii="Verdana" w:cs="Verdana" w:eastAsia="Verdana" w:hAnsi="Verdana"/>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6C">
            <w:pPr>
              <w:pageBreakBefore w:val="0"/>
              <w:spacing w:after="2.4" w:before="2.4" w:lineRule="auto"/>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5a8a"/>
                <w:sz w:val="20"/>
                <w:szCs w:val="20"/>
                <w:u w:val="none"/>
                <w:shd w:fill="auto" w:val="clear"/>
                <w:vertAlign w:val="baseline"/>
              </w:rPr>
            </w:pPr>
            <w:r w:rsidDel="00000000" w:rsidR="00000000" w:rsidRPr="00000000">
              <w:rPr>
                <w:rtl w:val="0"/>
              </w:rPr>
            </w:r>
          </w:p>
        </w:tc>
      </w:tr>
      <w:tr>
        <w:trPr>
          <w:cantSplit w:val="0"/>
          <w:trHeight w:val="460" w:hRule="atLeast"/>
          <w:tblHeader w:val="0"/>
        </w:trPr>
        <w:tc>
          <w:tcPr>
            <w:vAlign w:val="top"/>
          </w:tcPr>
          <w:p w:rsidR="00000000" w:rsidDel="00000000" w:rsidP="00000000" w:rsidRDefault="00000000" w:rsidRPr="00000000" w14:paraId="0000006E">
            <w:pPr>
              <w:pageBreakBefore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APPROVAL OF MINUTES</w:t>
            </w:r>
            <w:r w:rsidDel="00000000" w:rsidR="00000000" w:rsidRPr="00000000">
              <w:rPr>
                <w:rtl w:val="0"/>
              </w:rPr>
            </w:r>
          </w:p>
        </w:tc>
        <w:tc>
          <w:tcPr>
            <w:vAlign w:val="top"/>
          </w:tcPr>
          <w:p w:rsidR="00000000" w:rsidDel="00000000" w:rsidP="00000000" w:rsidRDefault="00000000" w:rsidRPr="00000000" w14:paraId="0000006F">
            <w:pPr>
              <w:pageBreakBefore w:val="0"/>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Minutes of 11/7/11 were passed with amendments. </w:t>
            </w:r>
            <w:r w:rsidDel="00000000" w:rsidR="00000000" w:rsidRPr="00000000">
              <w:rPr>
                <w:rtl w:val="0"/>
              </w:rPr>
            </w:r>
          </w:p>
          <w:p w:rsidR="00000000" w:rsidDel="00000000" w:rsidP="00000000" w:rsidRDefault="00000000" w:rsidRPr="00000000" w14:paraId="00000070">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pageBreakBefore w:val="0"/>
              <w:rPr>
                <w:sz w:val="20"/>
                <w:szCs w:val="20"/>
                <w:vertAlign w:val="baseline"/>
              </w:rPr>
            </w:pPr>
            <w:r w:rsidDel="00000000" w:rsidR="00000000" w:rsidRPr="00000000">
              <w:rPr>
                <w:rFonts w:ascii="Arial" w:cs="Arial" w:eastAsia="Arial" w:hAnsi="Arial"/>
                <w:sz w:val="20"/>
                <w:szCs w:val="20"/>
                <w:vertAlign w:val="baseline"/>
                <w:rtl w:val="0"/>
              </w:rPr>
              <w:t xml:space="preserve">Minutes for 11/14/11 were tabled for next SEC meeting.</w:t>
            </w:r>
            <w:r w:rsidDel="00000000" w:rsidR="00000000" w:rsidRPr="00000000">
              <w:rPr>
                <w:rtl w:val="0"/>
              </w:rPr>
            </w:r>
          </w:p>
        </w:tc>
      </w:tr>
      <w:tr>
        <w:trPr>
          <w:cantSplit w:val="0"/>
          <w:trHeight w:val="460" w:hRule="atLeast"/>
          <w:tblHeader w:val="0"/>
        </w:trPr>
        <w:tc>
          <w:tcPr>
            <w:vAlign w:val="top"/>
          </w:tcPr>
          <w:p w:rsidR="00000000" w:rsidDel="00000000" w:rsidP="00000000" w:rsidRDefault="00000000" w:rsidRPr="00000000" w14:paraId="00000072">
            <w:pPr>
              <w:pageBreakBefore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OLD BUSINESS </w:t>
            </w: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OLD BUSINESS</w:t>
            </w:r>
            <w:r w:rsidDel="00000000" w:rsidR="00000000" w:rsidRPr="00000000">
              <w:rPr>
                <w:rtl w:val="0"/>
              </w:rPr>
            </w:r>
          </w:p>
          <w:p w:rsidR="00000000" w:rsidDel="00000000" w:rsidP="00000000" w:rsidRDefault="00000000" w:rsidRPr="00000000" w14:paraId="00000074">
            <w:pPr>
              <w:pageBreakBefore w:val="0"/>
              <w:numPr>
                <w:ilvl w:val="0"/>
                <w:numId w:val="1"/>
              </w:numPr>
              <w:spacing w:after="2.4" w:before="2.4" w:lineRule="auto"/>
              <w:ind w:left="720" w:hanging="360"/>
              <w:rPr>
                <w:color w:val="000000"/>
              </w:rPr>
            </w:pPr>
            <w:r w:rsidDel="00000000" w:rsidR="00000000" w:rsidRPr="00000000">
              <w:rPr>
                <w:rFonts w:ascii="Verdana" w:cs="Verdana" w:eastAsia="Verdana" w:hAnsi="Verdana"/>
                <w:color w:val="000000"/>
                <w:sz w:val="19"/>
                <w:szCs w:val="19"/>
                <w:vertAlign w:val="baseline"/>
                <w:rtl w:val="0"/>
              </w:rPr>
              <w:t xml:space="preserve">Pending SEC Issues </w:t>
            </w:r>
            <w:r w:rsidDel="00000000" w:rsidR="00000000" w:rsidRPr="00000000">
              <w:rPr>
                <w:rFonts w:ascii="Verdana" w:cs="Verdana" w:eastAsia="Verdana" w:hAnsi="Verdana"/>
                <w:i w:val="1"/>
                <w:color w:val="000000"/>
                <w:sz w:val="19"/>
                <w:szCs w:val="19"/>
                <w:vertAlign w:val="baseline"/>
                <w:rtl w:val="0"/>
              </w:rPr>
              <w:t xml:space="preserve">(for SEC action or committee referral)</w:t>
            </w:r>
            <w:r w:rsidDel="00000000" w:rsidR="00000000" w:rsidRPr="00000000">
              <w:rPr>
                <w:rtl w:val="0"/>
              </w:rPr>
            </w:r>
          </w:p>
          <w:p w:rsidR="00000000" w:rsidDel="00000000" w:rsidP="00000000" w:rsidRDefault="00000000" w:rsidRPr="00000000" w14:paraId="00000075">
            <w:pPr>
              <w:pageBreakBefore w:val="0"/>
              <w:numPr>
                <w:ilvl w:val="1"/>
                <w:numId w:val="1"/>
              </w:numPr>
              <w:spacing w:after="2.4" w:before="2.4" w:lineRule="auto"/>
              <w:ind w:left="1440" w:hanging="360"/>
              <w:rPr>
                <w:color w:val="000000"/>
              </w:rPr>
            </w:pPr>
            <w:r w:rsidDel="00000000" w:rsidR="00000000" w:rsidRPr="00000000">
              <w:rPr>
                <w:rFonts w:ascii="Verdana" w:cs="Verdana" w:eastAsia="Verdana" w:hAnsi="Verdana"/>
                <w:color w:val="000000"/>
                <w:sz w:val="19"/>
                <w:szCs w:val="19"/>
                <w:u w:val="single"/>
                <w:vertAlign w:val="baseline"/>
                <w:rtl w:val="0"/>
              </w:rPr>
              <w:t xml:space="preserve">Issues charged to SEC</w:t>
            </w:r>
            <w:r w:rsidDel="00000000" w:rsidR="00000000" w:rsidRPr="00000000">
              <w:rPr>
                <w:rtl w:val="0"/>
              </w:rPr>
            </w:r>
          </w:p>
          <w:p w:rsidR="00000000" w:rsidDel="00000000" w:rsidP="00000000" w:rsidRDefault="00000000" w:rsidRPr="00000000" w14:paraId="00000076">
            <w:pPr>
              <w:pageBreakBefore w:val="0"/>
              <w:numPr>
                <w:ilvl w:val="2"/>
                <w:numId w:val="1"/>
              </w:numPr>
              <w:spacing w:after="2.4" w:before="2.4" w:lineRule="auto"/>
              <w:ind w:left="2160" w:hanging="360"/>
              <w:rPr>
                <w:color w:val="000000"/>
              </w:rPr>
            </w:pPr>
            <w:hyperlink r:id="rId6">
              <w:r w:rsidDel="00000000" w:rsidR="00000000" w:rsidRPr="00000000">
                <w:rPr>
                  <w:rFonts w:ascii="Verdana" w:cs="Verdana" w:eastAsia="Verdana" w:hAnsi="Verdana"/>
                  <w:color w:val="004731"/>
                  <w:sz w:val="19"/>
                  <w:szCs w:val="19"/>
                  <w:u w:val="single"/>
                  <w:vertAlign w:val="baseline"/>
                  <w:rtl w:val="0"/>
                </w:rPr>
                <w:t xml:space="preserve">Graduation/ Dissertation Defense Timing</w:t>
              </w:r>
            </w:hyperlink>
            <w:r w:rsidDel="00000000" w:rsidR="00000000" w:rsidRPr="00000000">
              <w:rPr>
                <w:rtl w:val="0"/>
              </w:rPr>
            </w:r>
          </w:p>
          <w:p w:rsidR="00000000" w:rsidDel="00000000" w:rsidP="00000000" w:rsidRDefault="00000000" w:rsidRPr="00000000" w14:paraId="00000077">
            <w:pPr>
              <w:pageBreakBefore w:val="0"/>
              <w:numPr>
                <w:ilvl w:val="1"/>
                <w:numId w:val="1"/>
              </w:numPr>
              <w:spacing w:after="2.4" w:before="2.4" w:lineRule="auto"/>
              <w:ind w:left="1440" w:hanging="360"/>
              <w:rPr>
                <w:color w:val="000000"/>
              </w:rPr>
            </w:pPr>
            <w:r w:rsidDel="00000000" w:rsidR="00000000" w:rsidRPr="00000000">
              <w:rPr>
                <w:rFonts w:ascii="Verdana" w:cs="Verdana" w:eastAsia="Verdana" w:hAnsi="Verdana"/>
                <w:color w:val="000000"/>
                <w:sz w:val="19"/>
                <w:szCs w:val="19"/>
                <w:u w:val="single"/>
                <w:vertAlign w:val="baseline"/>
                <w:rtl w:val="0"/>
              </w:rPr>
              <w:t xml:space="preserve">Misc. Issues</w:t>
            </w:r>
            <w:r w:rsidDel="00000000" w:rsidR="00000000" w:rsidRPr="00000000">
              <w:rPr>
                <w:rtl w:val="0"/>
              </w:rPr>
            </w:r>
          </w:p>
          <w:p w:rsidR="00000000" w:rsidDel="00000000" w:rsidP="00000000" w:rsidRDefault="00000000" w:rsidRPr="00000000" w14:paraId="00000078">
            <w:pPr>
              <w:pageBreakBefore w:val="0"/>
              <w:numPr>
                <w:ilvl w:val="2"/>
                <w:numId w:val="1"/>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Congress vote - CORGE &amp; attendance amendment</w:t>
            </w:r>
          </w:p>
          <w:p w:rsidR="00000000" w:rsidDel="00000000" w:rsidP="00000000" w:rsidRDefault="00000000" w:rsidRPr="00000000" w14:paraId="00000079">
            <w:pPr>
              <w:pageBreakBefore w:val="0"/>
              <w:numPr>
                <w:ilvl w:val="2"/>
                <w:numId w:val="1"/>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Instant Tenure</w:t>
            </w:r>
          </w:p>
          <w:p w:rsidR="00000000" w:rsidDel="00000000" w:rsidP="00000000" w:rsidRDefault="00000000" w:rsidRPr="00000000" w14:paraId="0000007A">
            <w:pPr>
              <w:pageBreakBefore w:val="0"/>
              <w:numPr>
                <w:ilvl w:val="2"/>
                <w:numId w:val="1"/>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PBRC Directorship</w:t>
            </w:r>
          </w:p>
          <w:p w:rsidR="00000000" w:rsidDel="00000000" w:rsidP="00000000" w:rsidRDefault="00000000" w:rsidRPr="00000000" w14:paraId="0000007B">
            <w:pPr>
              <w:pageBreakBefore w:val="0"/>
              <w:numPr>
                <w:ilvl w:val="2"/>
                <w:numId w:val="1"/>
              </w:numPr>
              <w:spacing w:after="2.4" w:before="2.4" w:lineRule="auto"/>
              <w:ind w:left="2160" w:hanging="360"/>
              <w:rPr>
                <w:color w:val="000000"/>
              </w:rPr>
            </w:pPr>
            <w:hyperlink r:id="rId7">
              <w:r w:rsidDel="00000000" w:rsidR="00000000" w:rsidRPr="00000000">
                <w:rPr>
                  <w:rFonts w:ascii="Verdana" w:cs="Verdana" w:eastAsia="Verdana" w:hAnsi="Verdana"/>
                  <w:color w:val="004731"/>
                  <w:sz w:val="19"/>
                  <w:szCs w:val="19"/>
                  <w:u w:val="single"/>
                  <w:vertAlign w:val="baseline"/>
                  <w:rtl w:val="0"/>
                </w:rPr>
                <w:t xml:space="preserve">Guide to Senate Consultation</w:t>
              </w:r>
            </w:hyperlink>
            <w:r w:rsidDel="00000000" w:rsidR="00000000" w:rsidRPr="00000000">
              <w:rPr>
                <w:rtl w:val="0"/>
              </w:rPr>
            </w:r>
          </w:p>
          <w:p w:rsidR="00000000" w:rsidDel="00000000" w:rsidP="00000000" w:rsidRDefault="00000000" w:rsidRPr="00000000" w14:paraId="0000007C">
            <w:pPr>
              <w:pageBreakBefore w:val="0"/>
              <w:numPr>
                <w:ilvl w:val="2"/>
                <w:numId w:val="1"/>
              </w:numPr>
              <w:spacing w:after="2.4" w:before="2.4" w:lineRule="auto"/>
              <w:ind w:left="2160" w:hanging="360"/>
              <w:rPr>
                <w:color w:val="000000"/>
              </w:rPr>
            </w:pPr>
            <w:hyperlink r:id="rId8">
              <w:r w:rsidDel="00000000" w:rsidR="00000000" w:rsidRPr="00000000">
                <w:rPr>
                  <w:rFonts w:ascii="Verdana" w:cs="Verdana" w:eastAsia="Verdana" w:hAnsi="Verdana"/>
                  <w:color w:val="004731"/>
                  <w:sz w:val="19"/>
                  <w:szCs w:val="19"/>
                  <w:u w:val="single"/>
                  <w:vertAlign w:val="baseline"/>
                  <w:rtl w:val="0"/>
                </w:rPr>
                <w:t xml:space="preserve">Guide to Senate Procedures</w:t>
              </w:r>
            </w:hyperlink>
            <w:r w:rsidDel="00000000" w:rsidR="00000000" w:rsidRPr="00000000">
              <w:rPr>
                <w:rtl w:val="0"/>
              </w:rPr>
            </w:r>
          </w:p>
          <w:p w:rsidR="00000000" w:rsidDel="00000000" w:rsidP="00000000" w:rsidRDefault="00000000" w:rsidRPr="00000000" w14:paraId="0000007D">
            <w:pPr>
              <w:pageBreakBefore w:val="0"/>
              <w:numPr>
                <w:ilvl w:val="0"/>
                <w:numId w:val="1"/>
              </w:numPr>
              <w:spacing w:after="2.4" w:before="2.4" w:lineRule="auto"/>
              <w:ind w:left="720" w:hanging="360"/>
              <w:rPr>
                <w:color w:val="000000"/>
              </w:rPr>
            </w:pPr>
            <w:hyperlink r:id="rId9">
              <w:r w:rsidDel="00000000" w:rsidR="00000000" w:rsidRPr="00000000">
                <w:rPr>
                  <w:rFonts w:ascii="Verdana" w:cs="Verdana" w:eastAsia="Verdana" w:hAnsi="Verdana"/>
                  <w:color w:val="004731"/>
                  <w:sz w:val="19"/>
                  <w:szCs w:val="19"/>
                  <w:u w:val="single"/>
                  <w:vertAlign w:val="baseline"/>
                  <w:rtl w:val="0"/>
                </w:rPr>
                <w:t xml:space="preserve">November Senate Agenda</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vAlign w:val="top"/>
          </w:tcPr>
          <w:p w:rsidR="00000000" w:rsidDel="00000000" w:rsidP="00000000" w:rsidRDefault="00000000" w:rsidRPr="00000000" w14:paraId="0000007F">
            <w:pPr>
              <w:pageBreakBefore w:val="0"/>
              <w:rPr>
                <w:rFonts w:ascii="Arial" w:cs="Arial" w:eastAsia="Arial" w:hAnsi="Arial"/>
                <w:sz w:val="20"/>
                <w:szCs w:val="20"/>
                <w:vertAlign w:val="baseline"/>
              </w:rPr>
            </w:pPr>
            <w:r w:rsidDel="00000000" w:rsidR="00000000" w:rsidRPr="00000000">
              <w:rPr>
                <w:rtl w:val="0"/>
              </w:rPr>
            </w:r>
          </w:p>
        </w:tc>
      </w:tr>
      <w:tr>
        <w:trPr>
          <w:cantSplit w:val="0"/>
          <w:trHeight w:val="460" w:hRule="atLeast"/>
          <w:tblHeader w:val="0"/>
        </w:trPr>
        <w:tc>
          <w:tcPr>
            <w:vAlign w:val="top"/>
          </w:tcPr>
          <w:p w:rsidR="00000000" w:rsidDel="00000000" w:rsidP="00000000" w:rsidRDefault="00000000" w:rsidRPr="00000000" w14:paraId="00000080">
            <w:pPr>
              <w:pageBreakBefore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FUTURE BUSINESS AND</w:t>
            </w:r>
            <w:r w:rsidDel="00000000" w:rsidR="00000000" w:rsidRPr="00000000">
              <w:rPr>
                <w:rtl w:val="0"/>
              </w:rPr>
            </w:r>
          </w:p>
          <w:p w:rsidR="00000000" w:rsidDel="00000000" w:rsidP="00000000" w:rsidRDefault="00000000" w:rsidRPr="00000000" w14:paraId="00000081">
            <w:pPr>
              <w:pageBreakBefore w:val="0"/>
              <w:rPr>
                <w:vertAlign w:val="baseline"/>
              </w:rPr>
            </w:pPr>
            <w:r w:rsidDel="00000000" w:rsidR="00000000" w:rsidRPr="00000000">
              <w:rPr>
                <w:rFonts w:ascii="Arial" w:cs="Arial" w:eastAsia="Arial" w:hAnsi="Arial"/>
                <w:b w:val="1"/>
                <w:sz w:val="20"/>
                <w:szCs w:val="20"/>
                <w:vertAlign w:val="baseline"/>
                <w:rtl w:val="0"/>
              </w:rPr>
              <w:t xml:space="preserve">ACTION ITEMS</w:t>
            </w: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NEW BUSINESS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DRAFT DEC SENATE AGENDA</w:t>
            </w:r>
            <w:r w:rsidDel="00000000" w:rsidR="00000000" w:rsidRPr="00000000">
              <w:rPr>
                <w:rtl w:val="0"/>
              </w:rPr>
            </w:r>
          </w:p>
          <w:p w:rsidR="00000000" w:rsidDel="00000000" w:rsidP="00000000" w:rsidRDefault="00000000" w:rsidRPr="00000000" w14:paraId="00000084">
            <w:pPr>
              <w:pageBreakBefore w:val="0"/>
              <w:numPr>
                <w:ilvl w:val="0"/>
                <w:numId w:val="3"/>
              </w:numPr>
              <w:spacing w:after="2.4" w:before="2.4"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b w:val="1"/>
                <w:color w:val="000000"/>
                <w:sz w:val="19"/>
                <w:szCs w:val="19"/>
                <w:vertAlign w:val="baseline"/>
                <w:rtl w:val="0"/>
              </w:rPr>
              <w:t xml:space="preserve">Business</w:t>
            </w:r>
            <w:r w:rsidDel="00000000" w:rsidR="00000000" w:rsidRPr="00000000">
              <w:rPr>
                <w:rtl w:val="0"/>
              </w:rPr>
            </w:r>
          </w:p>
          <w:p w:rsidR="00000000" w:rsidDel="00000000" w:rsidP="00000000" w:rsidRDefault="00000000" w:rsidRPr="00000000" w14:paraId="00000085">
            <w:pPr>
              <w:pageBreakBefore w:val="0"/>
              <w:numPr>
                <w:ilvl w:val="1"/>
                <w:numId w:val="3"/>
              </w:numPr>
              <w:spacing w:after="2.4" w:before="2.4" w:lineRule="auto"/>
              <w:ind w:left="1440" w:hanging="360"/>
              <w:rPr>
                <w:color w:val="000000"/>
              </w:rPr>
            </w:pPr>
            <w:r w:rsidDel="00000000" w:rsidR="00000000" w:rsidRPr="00000000">
              <w:rPr>
                <w:rFonts w:ascii="Verdana" w:cs="Verdana" w:eastAsia="Verdana" w:hAnsi="Verdana"/>
                <w:b w:val="1"/>
                <w:color w:val="000000"/>
                <w:sz w:val="19"/>
                <w:szCs w:val="19"/>
                <w:vertAlign w:val="baseline"/>
                <w:rtl w:val="0"/>
              </w:rPr>
              <w:t xml:space="preserve">CFS</w:t>
            </w:r>
            <w:r w:rsidDel="00000000" w:rsidR="00000000" w:rsidRPr="00000000">
              <w:rPr>
                <w:rtl w:val="0"/>
              </w:rPr>
            </w:r>
          </w:p>
          <w:p w:rsidR="00000000" w:rsidDel="00000000" w:rsidP="00000000" w:rsidRDefault="00000000" w:rsidRPr="00000000" w14:paraId="00000086">
            <w:pPr>
              <w:pageBreakBefore w:val="0"/>
              <w:numPr>
                <w:ilvl w:val="2"/>
                <w:numId w:val="3"/>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Faculty Experts/ Pending Legislation review &amp; input</w:t>
            </w:r>
          </w:p>
          <w:p w:rsidR="00000000" w:rsidDel="00000000" w:rsidP="00000000" w:rsidRDefault="00000000" w:rsidRPr="00000000" w14:paraId="00000087">
            <w:pPr>
              <w:pageBreakBefore w:val="0"/>
              <w:numPr>
                <w:ilvl w:val="2"/>
                <w:numId w:val="3"/>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Senate Appointments to Campus-Wide committees</w:t>
            </w:r>
          </w:p>
          <w:p w:rsidR="00000000" w:rsidDel="00000000" w:rsidP="00000000" w:rsidRDefault="00000000" w:rsidRPr="00000000" w14:paraId="00000088">
            <w:pPr>
              <w:pageBreakBefore w:val="0"/>
              <w:numPr>
                <w:ilvl w:val="2"/>
                <w:numId w:val="3"/>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Voting Process Review</w:t>
            </w:r>
          </w:p>
          <w:p w:rsidR="00000000" w:rsidDel="00000000" w:rsidP="00000000" w:rsidRDefault="00000000" w:rsidRPr="00000000" w14:paraId="00000089">
            <w:pPr>
              <w:pageBreakBefore w:val="0"/>
              <w:numPr>
                <w:ilvl w:val="1"/>
                <w:numId w:val="3"/>
              </w:numPr>
              <w:spacing w:after="2.4" w:before="2.4" w:lineRule="auto"/>
              <w:ind w:left="1440" w:hanging="360"/>
              <w:rPr>
                <w:color w:val="000000"/>
              </w:rPr>
            </w:pPr>
            <w:r w:rsidDel="00000000" w:rsidR="00000000" w:rsidRPr="00000000">
              <w:rPr>
                <w:rFonts w:ascii="Verdana" w:cs="Verdana" w:eastAsia="Verdana" w:hAnsi="Verdana"/>
                <w:b w:val="1"/>
                <w:color w:val="000000"/>
                <w:sz w:val="19"/>
                <w:szCs w:val="19"/>
                <w:vertAlign w:val="baseline"/>
                <w:rtl w:val="0"/>
              </w:rPr>
              <w:t xml:space="preserve">CORGE</w:t>
            </w:r>
            <w:r w:rsidDel="00000000" w:rsidR="00000000" w:rsidRPr="00000000">
              <w:rPr>
                <w:rtl w:val="0"/>
              </w:rPr>
            </w:r>
          </w:p>
          <w:p w:rsidR="00000000" w:rsidDel="00000000" w:rsidP="00000000" w:rsidRDefault="00000000" w:rsidRPr="00000000" w14:paraId="0000008A">
            <w:pPr>
              <w:pageBreakBefore w:val="0"/>
              <w:numPr>
                <w:ilvl w:val="2"/>
                <w:numId w:val="3"/>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Quality of Graduate Programs</w:t>
            </w:r>
          </w:p>
          <w:p w:rsidR="00000000" w:rsidDel="00000000" w:rsidP="00000000" w:rsidRDefault="00000000" w:rsidRPr="00000000" w14:paraId="0000008B">
            <w:pPr>
              <w:pageBreakBefore w:val="0"/>
              <w:numPr>
                <w:ilvl w:val="1"/>
                <w:numId w:val="3"/>
              </w:numPr>
              <w:spacing w:after="2.4" w:before="2.4" w:lineRule="auto"/>
              <w:ind w:left="1440" w:hanging="360"/>
              <w:rPr>
                <w:color w:val="000000"/>
              </w:rPr>
            </w:pPr>
            <w:r w:rsidDel="00000000" w:rsidR="00000000" w:rsidRPr="00000000">
              <w:rPr>
                <w:rFonts w:ascii="Verdana" w:cs="Verdana" w:eastAsia="Verdana" w:hAnsi="Verdana"/>
                <w:b w:val="1"/>
                <w:color w:val="000000"/>
                <w:sz w:val="19"/>
                <w:szCs w:val="19"/>
                <w:vertAlign w:val="baseline"/>
                <w:rtl w:val="0"/>
              </w:rPr>
              <w:t xml:space="preserve">CAB/ CORGE</w:t>
            </w:r>
            <w:r w:rsidDel="00000000" w:rsidR="00000000" w:rsidRPr="00000000">
              <w:rPr>
                <w:rtl w:val="0"/>
              </w:rPr>
            </w:r>
          </w:p>
          <w:p w:rsidR="00000000" w:rsidDel="00000000" w:rsidP="00000000" w:rsidRDefault="00000000" w:rsidRPr="00000000" w14:paraId="0000008C">
            <w:pPr>
              <w:pageBreakBefore w:val="0"/>
              <w:numPr>
                <w:ilvl w:val="2"/>
                <w:numId w:val="3"/>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VCRGE Reorganization (tabled on Nov. 16, 2011)</w:t>
            </w:r>
          </w:p>
          <w:p w:rsidR="00000000" w:rsidDel="00000000" w:rsidP="00000000" w:rsidRDefault="00000000" w:rsidRPr="00000000" w14:paraId="0000008D">
            <w:pPr>
              <w:pageBreakBefore w:val="0"/>
              <w:numPr>
                <w:ilvl w:val="2"/>
                <w:numId w:val="3"/>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Kewalo</w:t>
            </w:r>
          </w:p>
          <w:p w:rsidR="00000000" w:rsidDel="00000000" w:rsidP="00000000" w:rsidRDefault="00000000" w:rsidRPr="00000000" w14:paraId="0000008E">
            <w:pPr>
              <w:pageBreakBefore w:val="0"/>
              <w:numPr>
                <w:ilvl w:val="1"/>
                <w:numId w:val="3"/>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PERSON VS A DECISION M3101</w:t>
            </w:r>
          </w:p>
          <w:p w:rsidR="00000000" w:rsidDel="00000000" w:rsidP="00000000" w:rsidRDefault="00000000" w:rsidRPr="00000000" w14:paraId="0000008F">
            <w:pPr>
              <w:pageBreakBefore w:val="0"/>
              <w:numPr>
                <w:ilvl w:val="1"/>
                <w:numId w:val="3"/>
              </w:numPr>
              <w:spacing w:after="2.4" w:before="2.4" w:lineRule="auto"/>
              <w:ind w:left="1440" w:hanging="360"/>
              <w:rPr>
                <w:color w:val="000000"/>
              </w:rPr>
            </w:pPr>
            <w:r w:rsidDel="00000000" w:rsidR="00000000" w:rsidRPr="00000000">
              <w:rPr>
                <w:rFonts w:ascii="Verdana" w:cs="Verdana" w:eastAsia="Verdana" w:hAnsi="Verdana"/>
                <w:b w:val="1"/>
                <w:color w:val="000000"/>
                <w:sz w:val="19"/>
                <w:szCs w:val="19"/>
                <w:vertAlign w:val="baseline"/>
                <w:rtl w:val="0"/>
              </w:rPr>
              <w:t xml:space="preserve">CPM</w:t>
            </w:r>
            <w:r w:rsidDel="00000000" w:rsidR="00000000" w:rsidRPr="00000000">
              <w:rPr>
                <w:rtl w:val="0"/>
              </w:rPr>
            </w:r>
          </w:p>
          <w:p w:rsidR="00000000" w:rsidDel="00000000" w:rsidP="00000000" w:rsidRDefault="00000000" w:rsidRPr="00000000" w14:paraId="00000090">
            <w:pPr>
              <w:pageBreakBefore w:val="0"/>
              <w:numPr>
                <w:ilvl w:val="2"/>
                <w:numId w:val="3"/>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Tenure and Promotion Committee (TPRC) Make-up</w:t>
            </w:r>
          </w:p>
          <w:p w:rsidR="00000000" w:rsidDel="00000000" w:rsidP="00000000" w:rsidRDefault="00000000" w:rsidRPr="00000000" w14:paraId="00000091">
            <w:pPr>
              <w:pageBreakBefore w:val="0"/>
              <w:numPr>
                <w:ilvl w:val="2"/>
                <w:numId w:val="3"/>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NAT SCI 45 CREDIT RESOLUTION</w:t>
            </w:r>
          </w:p>
          <w:p w:rsidR="00000000" w:rsidDel="00000000" w:rsidP="00000000" w:rsidRDefault="00000000" w:rsidRPr="00000000" w14:paraId="00000092">
            <w:pPr>
              <w:pageBreakBefore w:val="0"/>
              <w:numPr>
                <w:ilvl w:val="2"/>
                <w:numId w:val="3"/>
              </w:numPr>
              <w:spacing w:after="2.4" w:before="2.4" w:lineRule="auto"/>
              <w:ind w:left="2160" w:hanging="360"/>
              <w:rPr>
                <w:color w:val="000000"/>
              </w:rPr>
            </w:pPr>
            <w:r w:rsidDel="00000000" w:rsidR="00000000" w:rsidRPr="00000000">
              <w:rPr>
                <w:rtl w:val="0"/>
              </w:rPr>
            </w:r>
          </w:p>
          <w:p w:rsidR="00000000" w:rsidDel="00000000" w:rsidP="00000000" w:rsidRDefault="00000000" w:rsidRPr="00000000" w14:paraId="00000093">
            <w:pPr>
              <w:pageBreakBefore w:val="0"/>
              <w:numPr>
                <w:ilvl w:val="0"/>
                <w:numId w:val="3"/>
              </w:numPr>
              <w:spacing w:after="2.4" w:before="2.4" w:lineRule="auto"/>
              <w:ind w:left="720" w:hanging="360"/>
              <w:rPr>
                <w:rFonts w:ascii="Verdana" w:cs="Verdana" w:eastAsia="Verdana" w:hAnsi="Verdana"/>
                <w:color w:val="000000"/>
                <w:sz w:val="19"/>
                <w:szCs w:val="19"/>
              </w:rPr>
            </w:pPr>
            <w:r w:rsidDel="00000000" w:rsidR="00000000" w:rsidRPr="00000000">
              <w:rPr>
                <w:rFonts w:ascii="Verdana" w:cs="Verdana" w:eastAsia="Verdana" w:hAnsi="Verdana"/>
                <w:b w:val="1"/>
                <w:color w:val="000000"/>
                <w:sz w:val="19"/>
                <w:szCs w:val="19"/>
                <w:vertAlign w:val="baseline"/>
                <w:rtl w:val="0"/>
              </w:rPr>
              <w:t xml:space="preserve">Adjournment</w:t>
            </w:r>
            <w:r w:rsidDel="00000000" w:rsidR="00000000" w:rsidRPr="00000000">
              <w:rPr>
                <w:rtl w:val="0"/>
              </w:rPr>
            </w:r>
          </w:p>
          <w:p w:rsidR="00000000" w:rsidDel="00000000" w:rsidP="00000000" w:rsidRDefault="00000000" w:rsidRPr="00000000" w14:paraId="00000094">
            <w:pPr>
              <w:pageBreakBefore w:val="0"/>
              <w:spacing w:after="2.4" w:before="2.4" w:lineRule="auto"/>
              <w:rPr>
                <w:rFonts w:ascii="Verdana" w:cs="Verdana" w:eastAsia="Verdana" w:hAnsi="Verdana"/>
                <w:color w:val="000000"/>
                <w:sz w:val="19"/>
                <w:szCs w:val="19"/>
                <w:vertAlign w:val="baseline"/>
              </w:rPr>
            </w:pPr>
            <w:r w:rsidDel="00000000" w:rsidR="00000000" w:rsidRPr="00000000">
              <w:rPr>
                <w:rFonts w:ascii="Verdana" w:cs="Verdana" w:eastAsia="Verdana" w:hAnsi="Verdana"/>
                <w:b w:val="1"/>
                <w:color w:val="000000"/>
                <w:sz w:val="19"/>
                <w:szCs w:val="19"/>
                <w:u w:val="single"/>
                <w:vertAlign w:val="baseline"/>
                <w:rtl w:val="0"/>
              </w:rPr>
              <w:t xml:space="preserve">UNSCHEDULED</w:t>
            </w:r>
            <w:r w:rsidDel="00000000" w:rsidR="00000000" w:rsidRPr="00000000">
              <w:rPr>
                <w:rtl w:val="0"/>
              </w:rPr>
            </w:r>
          </w:p>
          <w:p w:rsidR="00000000" w:rsidDel="00000000" w:rsidP="00000000" w:rsidRDefault="00000000" w:rsidRPr="00000000" w14:paraId="00000095">
            <w:pPr>
              <w:pageBreakBefore w:val="0"/>
              <w:numPr>
                <w:ilvl w:val="0"/>
                <w:numId w:val="4"/>
              </w:numPr>
              <w:spacing w:after="2.4" w:before="2.4" w:lineRule="auto"/>
              <w:ind w:left="720" w:hanging="360"/>
              <w:rPr>
                <w:color w:val="000000"/>
              </w:rPr>
            </w:pPr>
            <w:r w:rsidDel="00000000" w:rsidR="00000000" w:rsidRPr="00000000">
              <w:rPr>
                <w:rFonts w:ascii="Verdana" w:cs="Verdana" w:eastAsia="Verdana" w:hAnsi="Verdana"/>
                <w:b w:val="1"/>
                <w:color w:val="000000"/>
                <w:sz w:val="19"/>
                <w:szCs w:val="19"/>
                <w:vertAlign w:val="baseline"/>
                <w:rtl w:val="0"/>
              </w:rPr>
              <w:t xml:space="preserve">Administrator Requests (ASAP)</w:t>
            </w:r>
            <w:r w:rsidDel="00000000" w:rsidR="00000000" w:rsidRPr="00000000">
              <w:rPr>
                <w:rtl w:val="0"/>
              </w:rPr>
            </w:r>
          </w:p>
          <w:p w:rsidR="00000000" w:rsidDel="00000000" w:rsidP="00000000" w:rsidRDefault="00000000" w:rsidRPr="00000000" w14:paraId="00000096">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Whistleblower &amp; Retaliation Executive Policy (CAB)</w:t>
            </w:r>
          </w:p>
          <w:p w:rsidR="00000000" w:rsidDel="00000000" w:rsidP="00000000" w:rsidRDefault="00000000" w:rsidRPr="00000000" w14:paraId="00000097">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Memo &amp; Report from Grade Replacement Policy Task Force (CAPP)</w:t>
            </w:r>
          </w:p>
          <w:p w:rsidR="00000000" w:rsidDel="00000000" w:rsidP="00000000" w:rsidRDefault="00000000" w:rsidRPr="00000000" w14:paraId="00000098">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Registration Wait-listing (CAPP)</w:t>
            </w:r>
          </w:p>
          <w:p w:rsidR="00000000" w:rsidDel="00000000" w:rsidP="00000000" w:rsidRDefault="00000000" w:rsidRPr="00000000" w14:paraId="00000099">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Language of Promotion Applications (CPM)</w:t>
            </w:r>
          </w:p>
          <w:p w:rsidR="00000000" w:rsidDel="00000000" w:rsidP="00000000" w:rsidRDefault="00000000" w:rsidRPr="00000000" w14:paraId="0000009A">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Request to Reconsider Excess Credit Policy Motion (CAPP)</w:t>
            </w:r>
          </w:p>
          <w:p w:rsidR="00000000" w:rsidDel="00000000" w:rsidP="00000000" w:rsidRDefault="00000000" w:rsidRPr="00000000" w14:paraId="0000009B">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Suspension of Academic Actions Pilot Program (CAPP)</w:t>
            </w:r>
          </w:p>
          <w:p w:rsidR="00000000" w:rsidDel="00000000" w:rsidP="00000000" w:rsidRDefault="00000000" w:rsidRPr="00000000" w14:paraId="0000009C">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Proposed Partner Hire Policy (CAPP)</w:t>
            </w:r>
          </w:p>
          <w:p w:rsidR="00000000" w:rsidDel="00000000" w:rsidP="00000000" w:rsidRDefault="00000000" w:rsidRPr="00000000" w14:paraId="0000009D">
            <w:pPr>
              <w:pageBreakBefore w:val="0"/>
              <w:numPr>
                <w:ilvl w:val="0"/>
                <w:numId w:val="4"/>
              </w:numPr>
              <w:spacing w:after="2.4" w:before="2.4" w:lineRule="auto"/>
              <w:ind w:left="720" w:hanging="360"/>
              <w:rPr>
                <w:color w:val="000000"/>
              </w:rPr>
            </w:pPr>
            <w:r w:rsidDel="00000000" w:rsidR="00000000" w:rsidRPr="00000000">
              <w:rPr>
                <w:rFonts w:ascii="Verdana" w:cs="Verdana" w:eastAsia="Verdana" w:hAnsi="Verdana"/>
                <w:b w:val="1"/>
                <w:color w:val="000000"/>
                <w:sz w:val="19"/>
                <w:szCs w:val="19"/>
                <w:vertAlign w:val="baseline"/>
                <w:rtl w:val="0"/>
              </w:rPr>
              <w:t xml:space="preserve">Ongoing</w:t>
            </w:r>
            <w:r w:rsidDel="00000000" w:rsidR="00000000" w:rsidRPr="00000000">
              <w:rPr>
                <w:rtl w:val="0"/>
              </w:rPr>
            </w:r>
          </w:p>
          <w:p w:rsidR="00000000" w:rsidDel="00000000" w:rsidP="00000000" w:rsidRDefault="00000000" w:rsidRPr="00000000" w14:paraId="0000009E">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Degree Proposals</w:t>
            </w:r>
          </w:p>
          <w:p w:rsidR="00000000" w:rsidDel="00000000" w:rsidP="00000000" w:rsidRDefault="00000000" w:rsidRPr="00000000" w14:paraId="0000009F">
            <w:pPr>
              <w:pageBreakBefore w:val="0"/>
              <w:numPr>
                <w:ilvl w:val="2"/>
                <w:numId w:val="4"/>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Graduate (CORGE)</w:t>
            </w:r>
          </w:p>
          <w:p w:rsidR="00000000" w:rsidDel="00000000" w:rsidP="00000000" w:rsidRDefault="00000000" w:rsidRPr="00000000" w14:paraId="000000A0">
            <w:pPr>
              <w:pageBreakBefore w:val="0"/>
              <w:numPr>
                <w:ilvl w:val="2"/>
                <w:numId w:val="4"/>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Undergraduate (CAPP)</w:t>
            </w:r>
          </w:p>
          <w:p w:rsidR="00000000" w:rsidDel="00000000" w:rsidP="00000000" w:rsidRDefault="00000000" w:rsidRPr="00000000" w14:paraId="000000A1">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Reorganizations (CAB and Others)</w:t>
            </w:r>
          </w:p>
          <w:p w:rsidR="00000000" w:rsidDel="00000000" w:rsidP="00000000" w:rsidRDefault="00000000" w:rsidRPr="00000000" w14:paraId="000000A2">
            <w:pPr>
              <w:pageBreakBefore w:val="0"/>
              <w:numPr>
                <w:ilvl w:val="2"/>
                <w:numId w:val="4"/>
              </w:numPr>
              <w:spacing w:after="2.4" w:before="2.4" w:lineRule="auto"/>
              <w:ind w:left="2160" w:hanging="360"/>
              <w:rPr>
                <w:color w:val="000000"/>
              </w:rPr>
            </w:pPr>
            <w:r w:rsidDel="00000000" w:rsidR="00000000" w:rsidRPr="00000000">
              <w:rPr>
                <w:rFonts w:ascii="Verdana" w:cs="Verdana" w:eastAsia="Verdana" w:hAnsi="Verdana"/>
                <w:color w:val="000000"/>
                <w:sz w:val="19"/>
                <w:szCs w:val="19"/>
                <w:vertAlign w:val="baseline"/>
                <w:rtl w:val="0"/>
              </w:rPr>
              <w:t xml:space="preserve">Library Reorganization (CAB)</w:t>
            </w:r>
          </w:p>
          <w:p w:rsidR="00000000" w:rsidDel="00000000" w:rsidP="00000000" w:rsidRDefault="00000000" w:rsidRPr="00000000" w14:paraId="000000A3">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Solicit Faculty Service Volunteers (CFS)</w:t>
            </w:r>
          </w:p>
          <w:p w:rsidR="00000000" w:rsidDel="00000000" w:rsidP="00000000" w:rsidRDefault="00000000" w:rsidRPr="00000000" w14:paraId="000000A4">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Faculty Appointments to Committees (CFS)</w:t>
            </w:r>
          </w:p>
          <w:p w:rsidR="00000000" w:rsidDel="00000000" w:rsidP="00000000" w:rsidRDefault="00000000" w:rsidRPr="00000000" w14:paraId="000000A5">
            <w:pPr>
              <w:pageBreakBefore w:val="0"/>
              <w:numPr>
                <w:ilvl w:val="0"/>
                <w:numId w:val="4"/>
              </w:numPr>
              <w:spacing w:after="2.4" w:before="2.4" w:lineRule="auto"/>
              <w:ind w:left="720" w:hanging="360"/>
              <w:rPr>
                <w:color w:val="000000"/>
              </w:rPr>
            </w:pPr>
            <w:r w:rsidDel="00000000" w:rsidR="00000000" w:rsidRPr="00000000">
              <w:rPr>
                <w:rFonts w:ascii="Verdana" w:cs="Verdana" w:eastAsia="Verdana" w:hAnsi="Verdana"/>
                <w:b w:val="1"/>
                <w:color w:val="000000"/>
                <w:sz w:val="19"/>
                <w:szCs w:val="19"/>
                <w:vertAlign w:val="baseline"/>
                <w:rtl w:val="0"/>
              </w:rPr>
              <w:t xml:space="preserve">Misc</w:t>
            </w:r>
            <w:r w:rsidDel="00000000" w:rsidR="00000000" w:rsidRPr="00000000">
              <w:rPr>
                <w:rtl w:val="0"/>
              </w:rPr>
            </w:r>
          </w:p>
          <w:p w:rsidR="00000000" w:rsidDel="00000000" w:rsidP="00000000" w:rsidRDefault="00000000" w:rsidRPr="00000000" w14:paraId="000000A6">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OSA Course Subject Code (OSA Senate)</w:t>
            </w:r>
          </w:p>
          <w:p w:rsidR="00000000" w:rsidDel="00000000" w:rsidP="00000000" w:rsidRDefault="00000000" w:rsidRPr="00000000" w14:paraId="000000A7">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M3: 101 Policy Review (CAB)</w:t>
            </w:r>
          </w:p>
          <w:p w:rsidR="00000000" w:rsidDel="00000000" w:rsidP="00000000" w:rsidRDefault="00000000" w:rsidRPr="00000000" w14:paraId="000000A8">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Reconsideration of CAPP’s Recommendation on 60 Non Intro Course Credit Requirement (CAPP)</w:t>
            </w:r>
          </w:p>
          <w:p w:rsidR="00000000" w:rsidDel="00000000" w:rsidP="00000000" w:rsidRDefault="00000000" w:rsidRPr="00000000" w14:paraId="000000A9">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Faculty Housing (SEC)</w:t>
            </w:r>
          </w:p>
          <w:p w:rsidR="00000000" w:rsidDel="00000000" w:rsidP="00000000" w:rsidRDefault="00000000" w:rsidRPr="00000000" w14:paraId="000000AA">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Composition &amp; Selection of Departmental Personnel Committees (CPM)</w:t>
            </w:r>
          </w:p>
          <w:p w:rsidR="00000000" w:rsidDel="00000000" w:rsidP="00000000" w:rsidRDefault="00000000" w:rsidRPr="00000000" w14:paraId="000000AB">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Critical Thinking Working Group (GEC, CAPP, MAC)</w:t>
            </w:r>
          </w:p>
          <w:p w:rsidR="00000000" w:rsidDel="00000000" w:rsidP="00000000" w:rsidRDefault="00000000" w:rsidRPr="00000000" w14:paraId="000000AC">
            <w:pPr>
              <w:pageBreakBefore w:val="0"/>
              <w:numPr>
                <w:ilvl w:val="1"/>
                <w:numId w:val="4"/>
              </w:numPr>
              <w:spacing w:after="2.4" w:before="2.4" w:lineRule="auto"/>
              <w:ind w:left="1440" w:hanging="360"/>
              <w:rPr>
                <w:color w:val="000000"/>
              </w:rPr>
            </w:pPr>
            <w:r w:rsidDel="00000000" w:rsidR="00000000" w:rsidRPr="00000000">
              <w:rPr>
                <w:rFonts w:ascii="Verdana" w:cs="Verdana" w:eastAsia="Verdana" w:hAnsi="Verdana"/>
                <w:color w:val="000000"/>
                <w:sz w:val="19"/>
                <w:szCs w:val="19"/>
                <w:vertAlign w:val="baseline"/>
                <w:rtl w:val="0"/>
              </w:rPr>
              <w:t xml:space="preserve">Rules of Order Update (CAB)</w:t>
            </w:r>
          </w:p>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FINISHED AT 5 10 PM</w:t>
            </w:r>
          </w:p>
        </w:tc>
        <w:tc>
          <w:tcPr>
            <w:vAlign w:val="top"/>
          </w:tcPr>
          <w:p w:rsidR="00000000" w:rsidDel="00000000" w:rsidP="00000000" w:rsidRDefault="00000000" w:rsidRPr="00000000" w14:paraId="000000AE">
            <w:pPr>
              <w:pageBreakBefore w:val="0"/>
              <w:numPr>
                <w:ilvl w:val="0"/>
                <w:numId w:val="2"/>
              </w:numPr>
              <w:spacing w:after="2.4" w:before="2.4" w:lineRule="auto"/>
              <w:ind w:left="432" w:hanging="360"/>
              <w:rPr>
                <w:color w:val="000000"/>
              </w:rPr>
            </w:pPr>
            <w:r w:rsidDel="00000000" w:rsidR="00000000" w:rsidRPr="00000000">
              <w:rPr>
                <w:rFonts w:ascii="Verdana" w:cs="Verdana" w:eastAsia="Verdana" w:hAnsi="Verdana"/>
                <w:color w:val="000000"/>
                <w:sz w:val="19"/>
                <w:szCs w:val="19"/>
                <w:vertAlign w:val="baseline"/>
                <w:rtl w:val="0"/>
              </w:rPr>
              <w:t xml:space="preserve">SEC chair to write a letter to chancellor asking that all exec policies be sent to SEC, w CC to VCs</w:t>
            </w:r>
          </w:p>
          <w:p w:rsidR="00000000" w:rsidDel="00000000" w:rsidP="00000000" w:rsidRDefault="00000000" w:rsidRPr="00000000" w14:paraId="000000AF">
            <w:pPr>
              <w:pageBreakBefore w:val="0"/>
              <w:numPr>
                <w:ilvl w:val="0"/>
                <w:numId w:val="2"/>
              </w:numPr>
              <w:spacing w:after="2.4" w:before="2.4" w:lineRule="auto"/>
              <w:ind w:left="432" w:hanging="360"/>
              <w:rPr>
                <w:color w:val="000000"/>
              </w:rPr>
            </w:pPr>
            <w:r w:rsidDel="00000000" w:rsidR="00000000" w:rsidRPr="00000000">
              <w:rPr>
                <w:rFonts w:ascii="Verdana" w:cs="Verdana" w:eastAsia="Verdana" w:hAnsi="Verdana"/>
                <w:color w:val="000000"/>
                <w:sz w:val="19"/>
                <w:szCs w:val="19"/>
                <w:vertAlign w:val="baseline"/>
                <w:rtl w:val="0"/>
              </w:rPr>
              <w:t xml:space="preserve">Chair to speak with Cindy Ward to make sure their committee can meet.</w:t>
            </w:r>
          </w:p>
          <w:p w:rsidR="00000000" w:rsidDel="00000000" w:rsidP="00000000" w:rsidRDefault="00000000" w:rsidRPr="00000000" w14:paraId="000000B0">
            <w:pPr>
              <w:pageBreakBefore w:val="0"/>
              <w:numPr>
                <w:ilvl w:val="0"/>
                <w:numId w:val="2"/>
              </w:numPr>
              <w:spacing w:after="2.4" w:before="2.4" w:lineRule="auto"/>
              <w:ind w:left="432" w:hanging="360"/>
              <w:rPr>
                <w:color w:val="000000"/>
              </w:rPr>
            </w:pPr>
            <w:r w:rsidDel="00000000" w:rsidR="00000000" w:rsidRPr="00000000">
              <w:rPr>
                <w:rFonts w:ascii="Verdana" w:cs="Verdana" w:eastAsia="Verdana" w:hAnsi="Verdana"/>
                <w:color w:val="000000"/>
                <w:sz w:val="19"/>
                <w:szCs w:val="19"/>
                <w:vertAlign w:val="baseline"/>
                <w:rtl w:val="0"/>
              </w:rPr>
              <w:t xml:space="preserve">Chair to write a letter to CAB to discuss the issues of Kewalo.</w:t>
            </w:r>
          </w:p>
          <w:p w:rsidR="00000000" w:rsidDel="00000000" w:rsidP="00000000" w:rsidRDefault="00000000" w:rsidRPr="00000000" w14:paraId="000000B1">
            <w:pPr>
              <w:pageBreakBefore w:val="0"/>
              <w:numPr>
                <w:ilvl w:val="0"/>
                <w:numId w:val="2"/>
              </w:numPr>
              <w:spacing w:after="2.4" w:before="2.4" w:lineRule="auto"/>
              <w:ind w:left="432" w:hanging="360"/>
              <w:rPr>
                <w:color w:val="000000"/>
              </w:rPr>
            </w:pPr>
            <w:r w:rsidDel="00000000" w:rsidR="00000000" w:rsidRPr="00000000">
              <w:rPr>
                <w:rFonts w:ascii="Verdana" w:cs="Verdana" w:eastAsia="Verdana" w:hAnsi="Verdana"/>
                <w:color w:val="000000"/>
                <w:sz w:val="19"/>
                <w:szCs w:val="19"/>
                <w:vertAlign w:val="baseline"/>
                <w:rtl w:val="0"/>
              </w:rPr>
              <w:t xml:space="preserve">There is an upcoming </w:t>
            </w:r>
            <w:r w:rsidDel="00000000" w:rsidR="00000000" w:rsidRPr="00000000">
              <w:rPr>
                <w:rFonts w:ascii="Arial" w:cs="Arial" w:eastAsia="Arial" w:hAnsi="Arial"/>
                <w:sz w:val="20"/>
                <w:szCs w:val="20"/>
                <w:vertAlign w:val="baseline"/>
                <w:rtl w:val="0"/>
              </w:rPr>
              <w:t xml:space="preserve">WASC Resource Fair in Northern and Southern California if any of the SEC are interested in going.</w:t>
            </w:r>
            <w:r w:rsidDel="00000000" w:rsidR="00000000" w:rsidRPr="00000000">
              <w:rPr>
                <w:rtl w:val="0"/>
              </w:rPr>
            </w:r>
          </w:p>
        </w:tc>
      </w:tr>
      <w:tr>
        <w:trPr>
          <w:cantSplit w:val="0"/>
          <w:trHeight w:val="460" w:hRule="atLeast"/>
          <w:tblHeader w:val="0"/>
        </w:trPr>
        <w:tc>
          <w:tcPr>
            <w:vAlign w:val="top"/>
          </w:tcPr>
          <w:p w:rsidR="00000000" w:rsidDel="00000000" w:rsidP="00000000" w:rsidRDefault="00000000" w:rsidRPr="00000000" w14:paraId="000000B2">
            <w:pPr>
              <w:pageBreakBefore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COMMITTEE REPORTS</w:t>
            </w:r>
            <w:r w:rsidDel="00000000" w:rsidR="00000000" w:rsidRPr="00000000">
              <w:rPr>
                <w:rtl w:val="0"/>
              </w:rPr>
            </w:r>
          </w:p>
        </w:tc>
        <w:tc>
          <w:tcPr>
            <w:vAlign w:val="top"/>
          </w:tcPr>
          <w:p w:rsidR="00000000" w:rsidDel="00000000" w:rsidP="00000000" w:rsidRDefault="00000000" w:rsidRPr="00000000" w14:paraId="000000B3">
            <w:pPr>
              <w:pageBreakBefore w:val="0"/>
              <w:spacing w:after="2.4" w:before="2.4" w:lineRule="auto"/>
              <w:ind w:left="72"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COMMITTEE REPORTS</w:t>
            </w:r>
            <w:r w:rsidDel="00000000" w:rsidR="00000000" w:rsidRPr="00000000">
              <w:rPr>
                <w:rFonts w:ascii="Arial" w:cs="Arial" w:eastAsia="Arial" w:hAnsi="Arial"/>
                <w:sz w:val="20"/>
                <w:szCs w:val="20"/>
                <w:vertAlign w:val="baseline"/>
                <w:rtl w:val="0"/>
              </w:rPr>
              <w:t xml:space="preserve"> </w:t>
            </w:r>
          </w:p>
        </w:tc>
        <w:tc>
          <w:tcPr>
            <w:vAlign w:val="top"/>
          </w:tcPr>
          <w:p w:rsidR="00000000" w:rsidDel="00000000" w:rsidP="00000000" w:rsidRDefault="00000000" w:rsidRPr="00000000" w14:paraId="000000B4">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Tabled for next meeting.</w:t>
            </w:r>
          </w:p>
        </w:tc>
      </w:tr>
      <w:tr>
        <w:trPr>
          <w:cantSplit w:val="0"/>
          <w:trHeight w:val="460" w:hRule="atLeast"/>
          <w:tblHeader w:val="0"/>
        </w:trPr>
        <w:tc>
          <w:tcPr>
            <w:vAlign w:val="top"/>
          </w:tcPr>
          <w:p w:rsidR="00000000" w:rsidDel="00000000" w:rsidP="00000000" w:rsidRDefault="00000000" w:rsidRPr="00000000" w14:paraId="000000B5">
            <w:pPr>
              <w:pageBreakBefore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REMINDERS</w:t>
            </w:r>
            <w:r w:rsidDel="00000000" w:rsidR="00000000" w:rsidRPr="00000000">
              <w:rPr>
                <w:rtl w:val="0"/>
              </w:rPr>
            </w:r>
          </w:p>
        </w:tc>
        <w:tc>
          <w:tcPr>
            <w:vAlign w:val="top"/>
          </w:tcPr>
          <w:p w:rsidR="00000000" w:rsidDel="00000000" w:rsidP="00000000" w:rsidRDefault="00000000" w:rsidRPr="00000000" w14:paraId="000000B6">
            <w:pPr>
              <w:pageBreakBefore w:val="0"/>
              <w:rPr>
                <w:rFonts w:ascii="Times" w:cs="Times" w:eastAsia="Times" w:hAnsi="Times"/>
                <w:sz w:val="20"/>
                <w:szCs w:val="20"/>
                <w:vertAlign w:val="baseline"/>
              </w:rPr>
            </w:pPr>
            <w:r w:rsidDel="00000000" w:rsidR="00000000" w:rsidRPr="00000000">
              <w:rPr>
                <w:rFonts w:ascii="Verdana" w:cs="Verdana" w:eastAsia="Verdana" w:hAnsi="Verdana"/>
                <w:color w:val="000000"/>
                <w:sz w:val="19"/>
                <w:szCs w:val="19"/>
                <w:vertAlign w:val="baseline"/>
                <w:rtl w:val="0"/>
              </w:rPr>
              <w:t xml:space="preserve">SEC is scheduled to meet with the search firm on </w:t>
            </w:r>
            <w:r w:rsidDel="00000000" w:rsidR="00000000" w:rsidRPr="00000000">
              <w:rPr>
                <w:rFonts w:ascii="Verdana" w:cs="Verdana" w:eastAsia="Verdana" w:hAnsi="Verdana"/>
                <w:b w:val="1"/>
                <w:color w:val="000000"/>
                <w:sz w:val="19"/>
                <w:szCs w:val="19"/>
                <w:vertAlign w:val="baseline"/>
                <w:rtl w:val="0"/>
              </w:rPr>
              <w:t xml:space="preserve">November 15th from 4-5 pm in Conference Room 412 of the Queen Liliuokalani Building</w:t>
            </w:r>
            <w:r w:rsidDel="00000000" w:rsidR="00000000" w:rsidRPr="00000000">
              <w:rPr>
                <w:rFonts w:ascii="Verdana" w:cs="Verdana" w:eastAsia="Verdana" w:hAnsi="Verdana"/>
                <w:color w:val="000000"/>
                <w:sz w:val="19"/>
                <w:szCs w:val="19"/>
                <w:vertAlign w:val="baseline"/>
                <w:rtl w:val="0"/>
              </w:rPr>
              <w:t xml:space="preserve">. (Regan Gouch of Isaacson, Miller is preparing a packet of material about the information that they are seeking for the UHM Chancellor Profile statement. The materials will be forwarded to you to share with others planning to attend the meeting.)</w:t>
            </w:r>
            <w:r w:rsidDel="00000000" w:rsidR="00000000" w:rsidRPr="00000000">
              <w:rPr>
                <w:rtl w:val="0"/>
              </w:rPr>
            </w:r>
          </w:p>
        </w:tc>
        <w:tc>
          <w:tcPr>
            <w:vAlign w:val="top"/>
          </w:tcPr>
          <w:p w:rsidR="00000000" w:rsidDel="00000000" w:rsidP="00000000" w:rsidRDefault="00000000" w:rsidRPr="00000000" w14:paraId="000000B7">
            <w:pPr>
              <w:pageBreakBefore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meeting adjourned at 5:30 p.m.</w:t>
            </w:r>
          </w:p>
        </w:tc>
      </w:tr>
      <w:tr>
        <w:trPr>
          <w:cantSplit w:val="0"/>
          <w:trHeight w:val="460" w:hRule="atLeast"/>
          <w:tblHeader w:val="0"/>
        </w:trPr>
        <w:tc>
          <w:tcPr>
            <w:vAlign w:val="top"/>
          </w:tcPr>
          <w:p w:rsidR="00000000" w:rsidDel="00000000" w:rsidP="00000000" w:rsidRDefault="00000000" w:rsidRPr="00000000" w14:paraId="000000B8">
            <w:pPr>
              <w:pageBreakBefore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VISIT FROM VC OSTRANDER</w:t>
            </w:r>
            <w:r w:rsidDel="00000000" w:rsidR="00000000" w:rsidRPr="00000000">
              <w:rPr>
                <w:rtl w:val="0"/>
              </w:rPr>
            </w:r>
          </w:p>
          <w:p w:rsidR="00000000" w:rsidDel="00000000" w:rsidP="00000000" w:rsidRDefault="00000000" w:rsidRPr="00000000" w14:paraId="000000B9">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A">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C">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D">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E">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BF">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0">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1">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2">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3">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4">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5">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6">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7">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8">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9">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A">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B">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C">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D">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E">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F">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0">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1">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2">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3">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4">
            <w:pPr>
              <w:pageBreakBefore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5">
            <w:pPr>
              <w:pageBreakBefore w:val="0"/>
              <w:rPr>
                <w:rFonts w:ascii="Arial" w:cs="Arial" w:eastAsia="Arial" w:hAnsi="Arial"/>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6">
            <w:pPr>
              <w:pageBreakBefore w:val="0"/>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3:15 VC Ostrander arrived.  There was a general discussion of IRBs and the relationship between UHM and UHH.</w:t>
            </w:r>
          </w:p>
          <w:p w:rsidR="00000000" w:rsidDel="00000000" w:rsidP="00000000" w:rsidRDefault="00000000" w:rsidRPr="00000000" w14:paraId="000000D7">
            <w:pPr>
              <w:pageBreakBefore w:val="0"/>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8">
            <w:pPr>
              <w:pageBreakBefore w:val="0"/>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There was a general discussion about Kewalo, and the proposed OHA settlement which is a long ways from conclusion, but it is still his plan to close Kewalo as of July 31, 2013.</w:t>
            </w:r>
          </w:p>
          <w:p w:rsidR="00000000" w:rsidDel="00000000" w:rsidP="00000000" w:rsidRDefault="00000000" w:rsidRPr="00000000" w14:paraId="000000D9">
            <w:pPr>
              <w:pageBreakBefore w:val="0"/>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A">
            <w:pPr>
              <w:pageBreakBefore w:val="0"/>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Chair stated that the Faculty Senate wants to consider the closing of Kewalo as a reorganization subject to the M3:101.  VC Ostrander reminded us that at the retreat of Admin with the SEC, the chancellor was adamant that for health and safety issues, she doesn’t consider the closing of Kewalo to be a Reorg.</w:t>
            </w:r>
          </w:p>
          <w:p w:rsidR="00000000" w:rsidDel="00000000" w:rsidP="00000000" w:rsidRDefault="00000000" w:rsidRPr="00000000" w14:paraId="000000DB">
            <w:pPr>
              <w:pageBreakBefore w:val="0"/>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C">
            <w:pPr>
              <w:pageBreakBefore w:val="0"/>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vice chair raised concerns that CTAHR faculty are worried that they will lose some of their teaching and research space to increase faculty housing between there and Noelani school.</w:t>
            </w:r>
          </w:p>
          <w:p w:rsidR="00000000" w:rsidDel="00000000" w:rsidP="00000000" w:rsidRDefault="00000000" w:rsidRPr="00000000" w14:paraId="000000DD">
            <w:pPr>
              <w:pageBreakBefore w:val="0"/>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DE">
            <w:pPr>
              <w:pageBreakBefore w:val="0"/>
              <w:widowControl w:val="0"/>
              <w:rPr>
                <w:sz w:val="20"/>
                <w:szCs w:val="20"/>
                <w:vertAlign w:val="baseline"/>
              </w:rPr>
            </w:pPr>
            <w:r w:rsidDel="00000000" w:rsidR="00000000" w:rsidRPr="00000000">
              <w:rPr>
                <w:rFonts w:ascii="Arial" w:cs="Arial" w:eastAsia="Arial" w:hAnsi="Arial"/>
                <w:sz w:val="20"/>
                <w:szCs w:val="20"/>
                <w:vertAlign w:val="baseline"/>
                <w:rtl w:val="0"/>
              </w:rPr>
              <w:t xml:space="preserve">VC Ostrander said that the site was just one a number of sites being considered and that nothing as of yet has been decided.  There have been some conversations with Kamehameha Schools about developing Puck</w:t>
            </w:r>
            <w:r w:rsidDel="00000000" w:rsidR="00000000" w:rsidRPr="00000000">
              <w:rPr>
                <w:sz w:val="20"/>
                <w:szCs w:val="20"/>
                <w:vertAlign w:val="baseline"/>
                <w:rtl w:val="0"/>
              </w:rPr>
              <w:t xml:space="preserve">ʻs Alley into faculty housing.  </w:t>
            </w:r>
            <w:r w:rsidDel="00000000" w:rsidR="00000000" w:rsidRPr="00000000">
              <w:rPr>
                <w:rFonts w:ascii="Arial" w:cs="Arial" w:eastAsia="Arial" w:hAnsi="Arial"/>
                <w:sz w:val="20"/>
                <w:szCs w:val="20"/>
                <w:vertAlign w:val="baseline"/>
                <w:rtl w:val="0"/>
              </w:rPr>
              <w:t xml:space="preserve">Perhaps Kathy or Reed would know more about it.  He hasn’t seen the consultants report.</w:t>
            </w:r>
            <w:r w:rsidDel="00000000" w:rsidR="00000000" w:rsidRPr="00000000">
              <w:rPr>
                <w:rtl w:val="0"/>
              </w:rPr>
            </w:r>
          </w:p>
          <w:p w:rsidR="00000000" w:rsidDel="00000000" w:rsidP="00000000" w:rsidRDefault="00000000" w:rsidRPr="00000000" w14:paraId="000000DF">
            <w:pPr>
              <w:pageBreakBefore w:val="0"/>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0">
            <w:pPr>
              <w:pageBreakBefore w:val="0"/>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There was a general discussion about how teaching activities might impact space that is used for research but the VC had not heard of any serious issue arising as of yet.</w:t>
            </w:r>
          </w:p>
          <w:p w:rsidR="00000000" w:rsidDel="00000000" w:rsidP="00000000" w:rsidRDefault="00000000" w:rsidRPr="00000000" w14:paraId="000000E1">
            <w:pPr>
              <w:pageBreakBefore w:val="0"/>
              <w:widowControl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2">
            <w:pPr>
              <w:pageBreakBefore w:val="0"/>
              <w:widowControl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There was some discussion of doctoral students participating in graduation ceremonies without actually having graduated.  The VC said he had checked with Pat Cooper and found that there was no policy on the mater at UHM but he did not think that situation happened too often, and in any case it takes a while to clear the credits and do all of the checks.  He thinks the faculty should decide this matter.</w:t>
            </w:r>
          </w:p>
          <w:p w:rsidR="00000000" w:rsidDel="00000000" w:rsidP="00000000" w:rsidRDefault="00000000" w:rsidRPr="00000000" w14:paraId="000000E3">
            <w:pPr>
              <w:pageBreakBefore w:val="0"/>
              <w:widowControl w:val="0"/>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E4">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5">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6">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7">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8">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9">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A">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B">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C">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D">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E">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F">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0">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1">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2">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3">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4">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5">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6">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7">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8">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9">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A">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B">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C">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D">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E">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F">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00">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01">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02">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03">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04">
            <w:pPr>
              <w:pageBreakBefore w:val="0"/>
              <w:widowControl w:val="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105">
      <w:pPr>
        <w:pageBreakBefore w:val="0"/>
        <w:rPr>
          <w:rFonts w:ascii="Arial" w:cs="Arial" w:eastAsia="Arial" w:hAnsi="Arial"/>
          <w:sz w:val="20"/>
          <w:szCs w:val="20"/>
          <w:vertAlign w:val="baseline"/>
        </w:rPr>
      </w:pPr>
      <w:r w:rsidDel="00000000" w:rsidR="00000000" w:rsidRPr="00000000">
        <w:rPr>
          <w:rtl w:val="0"/>
        </w:rPr>
      </w:r>
    </w:p>
    <w:sectPr>
      <w:footerReference r:id="rId10" w:type="default"/>
      <w:footerReference r:id="rId11" w:type="even"/>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Times New Roman"/>
  <w:font w:name="Courier New"/>
  <w:font w:name="Tahoma">
    <w:embedRegular w:fontKey="{00000000-0000-0000-0000-000000000000}" r:id="rId1" w:subsetted="0"/>
    <w:embedBold w:fontKey="{00000000-0000-0000-0000-000000000000}" r:id="rId2" w:subsetted="0"/>
  </w:font>
  <w:font w:name="Time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www.hawaii.edu/uhmfs/minutes/2011_12/sen_agenda_20111116.html" TargetMode="External"/><Relationship Id="rId5" Type="http://schemas.openxmlformats.org/officeDocument/2006/relationships/styles" Target="styles.xml"/><Relationship Id="rId6" Type="http://schemas.openxmlformats.org/officeDocument/2006/relationships/hyperlink" Target="http://www.hawaii.edu/uhmfs/issues/2011_12.html#gradtiming" TargetMode="External"/><Relationship Id="rId7" Type="http://schemas.openxmlformats.org/officeDocument/2006/relationships/hyperlink" Target="http://www.hawaii.edu/uhmfs/resources/senate/guide_consultation.html" TargetMode="External"/><Relationship Id="rId8" Type="http://schemas.openxmlformats.org/officeDocument/2006/relationships/hyperlink" Target="http://www.hawaii.edu/uhmfs/resources/senate/guide_procedur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