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Q3 培训预算执行率 62%，剩余预算按计划结转至 Q4。</w:t>
      </w:r>
    </w:p>
    <w:p>
      <w:r>
        <w:t xml:space="preserve">课程：信息安全意识培训；讲师：苏晚；学时：2；考核结果：通过。</w:t>
      </w:r>
    </w:p>
    <w:p>
      <w:r>
        <w:t xml:space="preserve">课程：数据合规与隐私保护；讲师：陈默；学时：3；考核结果：优秀。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2026-10-25T14:27:55.619Z</dcterms:created>
  <dcterms:modified xsi:type="dcterms:W3CDTF">2026-10-25T14:27:55.619Z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