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5B8543">
      <w:pPr>
        <w:rPr>
          <w:vanish/>
          <w:sz w:val="24"/>
          <w:szCs w:val="24"/>
        </w:rPr>
      </w:pPr>
    </w:p>
    <w:tbl>
      <w:tblPr>
        <w:tblStyle w:val="2"/>
        <w:tblW w:w="8306" w:type="dxa"/>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0" w:type="dxa"/>
          <w:left w:w="0" w:type="dxa"/>
          <w:bottom w:w="0" w:type="dxa"/>
          <w:right w:w="0" w:type="dxa"/>
        </w:tblCellMar>
      </w:tblPr>
      <w:tblGrid>
        <w:gridCol w:w="8306"/>
      </w:tblGrid>
      <w:tr w14:paraId="2FD80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8306" w:type="dxa"/>
            <w:tcBorders>
              <w:top w:val="nil"/>
              <w:left w:val="nil"/>
              <w:bottom w:val="nil"/>
              <w:right w:val="nil"/>
            </w:tcBorders>
            <w:shd w:val="clear" w:color="auto" w:fill="FFFFFF"/>
            <w:vAlign w:val="center"/>
          </w:tcPr>
          <w:p w14:paraId="6BB72C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40" w:lineRule="atLeast"/>
              <w:ind w:left="0" w:right="0"/>
              <w:jc w:val="center"/>
              <w:rPr>
                <w:rFonts w:hint="eastAsia" w:ascii="仿宋_GB2312" w:eastAsia="仿宋_GB2312" w:cs="仿宋_GB2312"/>
                <w:color w:val="000000"/>
                <w:sz w:val="32"/>
                <w:szCs w:val="32"/>
              </w:rPr>
            </w:pPr>
            <w:bookmarkStart w:id="0" w:name="_GoBack"/>
            <w:bookmarkEnd w:id="0"/>
            <w:r>
              <w:rPr>
                <w:rFonts w:hint="eastAsia" w:ascii="方正小标宋简体" w:hAnsi="方正小标宋简体" w:eastAsia="方正小标宋简体" w:cs="方正小标宋简体"/>
                <w:i w:val="0"/>
                <w:caps w:val="0"/>
                <w:color w:val="000000"/>
                <w:spacing w:val="0"/>
                <w:kern w:val="0"/>
                <w:sz w:val="44"/>
                <w:szCs w:val="44"/>
                <w:lang w:val="en-US" w:eastAsia="zh-CN" w:bidi="ar"/>
              </w:rPr>
              <w:t>公安机关异地办案协作</w:t>
            </w:r>
            <w:r>
              <w:rPr>
                <w:rFonts w:hint="default" w:ascii="Times New Roman" w:hAnsi="Times New Roman" w:eastAsia="仿宋_GB2312" w:cs="Times New Roman"/>
                <w:i w:val="0"/>
                <w:caps w:val="0"/>
                <w:color w:val="000000"/>
                <w:spacing w:val="0"/>
                <w:kern w:val="0"/>
                <w:sz w:val="44"/>
                <w:szCs w:val="44"/>
                <w:lang w:val="en-US" w:eastAsia="zh-CN" w:bidi="ar"/>
              </w:rPr>
              <w:t>“</w:t>
            </w:r>
            <w:r>
              <w:rPr>
                <w:rFonts w:hint="eastAsia" w:ascii="方正小标宋简体" w:hAnsi="方正小标宋简体" w:eastAsia="方正小标宋简体" w:cs="方正小标宋简体"/>
                <w:i w:val="0"/>
                <w:caps w:val="0"/>
                <w:color w:val="000000"/>
                <w:spacing w:val="0"/>
                <w:kern w:val="0"/>
                <w:sz w:val="44"/>
                <w:szCs w:val="44"/>
                <w:lang w:val="en-US" w:eastAsia="zh-CN" w:bidi="ar"/>
              </w:rPr>
              <w:t>六个严禁</w:t>
            </w:r>
            <w:r>
              <w:rPr>
                <w:rFonts w:hint="default" w:ascii="Times New Roman" w:hAnsi="Times New Roman" w:eastAsia="仿宋_GB2312" w:cs="Times New Roman"/>
                <w:i w:val="0"/>
                <w:caps w:val="0"/>
                <w:color w:val="000000"/>
                <w:spacing w:val="0"/>
                <w:kern w:val="0"/>
                <w:sz w:val="44"/>
                <w:szCs w:val="44"/>
                <w:lang w:val="en-US" w:eastAsia="zh-CN" w:bidi="ar"/>
              </w:rPr>
              <w:t>”</w:t>
            </w:r>
          </w:p>
          <w:p w14:paraId="0A1B0A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40" w:lineRule="atLeast"/>
              <w:ind w:left="0" w:right="0"/>
              <w:jc w:val="center"/>
              <w:rPr>
                <w:rFonts w:hint="eastAsia" w:ascii="仿宋_GB2312" w:eastAsia="仿宋_GB2312" w:cs="仿宋_GB2312"/>
                <w:color w:val="000000"/>
                <w:sz w:val="32"/>
                <w:szCs w:val="32"/>
              </w:rPr>
            </w:pPr>
            <w:r>
              <w:rPr>
                <w:rFonts w:hint="default" w:ascii="Times New Roman" w:hAnsi="Times New Roman" w:eastAsia="仿宋_GB2312" w:cs="Times New Roman"/>
                <w:i w:val="0"/>
                <w:caps w:val="0"/>
                <w:color w:val="000000"/>
                <w:spacing w:val="0"/>
                <w:kern w:val="0"/>
                <w:sz w:val="21"/>
                <w:szCs w:val="21"/>
                <w:lang w:val="en-US" w:eastAsia="zh-CN" w:bidi="ar"/>
              </w:rPr>
              <w:t> </w:t>
            </w:r>
            <w:r>
              <w:rPr>
                <w:rFonts w:hint="eastAsia" w:ascii="仿宋_GB2312" w:hAnsi="微软雅黑" w:eastAsia="仿宋_GB2312" w:cs="仿宋_GB2312"/>
                <w:i w:val="0"/>
                <w:caps w:val="0"/>
                <w:color w:val="000000"/>
                <w:spacing w:val="0"/>
                <w:kern w:val="0"/>
                <w:sz w:val="32"/>
                <w:szCs w:val="32"/>
                <w:lang w:val="en-US" w:eastAsia="zh-CN" w:bidi="ar"/>
              </w:rPr>
              <w:t>公通字〔</w:t>
            </w:r>
            <w:r>
              <w:rPr>
                <w:rFonts w:hint="default" w:ascii="Times New Roman" w:hAnsi="Times New Roman" w:eastAsia="仿宋_GB2312" w:cs="Times New Roman"/>
                <w:i w:val="0"/>
                <w:caps w:val="0"/>
                <w:color w:val="000000"/>
                <w:spacing w:val="0"/>
                <w:kern w:val="0"/>
                <w:sz w:val="32"/>
                <w:szCs w:val="32"/>
                <w:lang w:val="en-US" w:eastAsia="zh-CN" w:bidi="ar"/>
              </w:rPr>
              <w:t>2020</w:t>
            </w:r>
            <w:r>
              <w:rPr>
                <w:rFonts w:hint="eastAsia" w:ascii="仿宋_GB2312" w:hAnsi="微软雅黑" w:eastAsia="仿宋_GB2312" w:cs="仿宋_GB2312"/>
                <w:i w:val="0"/>
                <w:caps w:val="0"/>
                <w:color w:val="000000"/>
                <w:spacing w:val="0"/>
                <w:kern w:val="0"/>
                <w:sz w:val="32"/>
                <w:szCs w:val="32"/>
                <w:lang w:val="en-US" w:eastAsia="zh-CN" w:bidi="ar"/>
              </w:rPr>
              <w:t>〕6号</w:t>
            </w:r>
          </w:p>
          <w:p w14:paraId="63ED52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40" w:lineRule="atLeast"/>
              <w:ind w:left="0" w:right="0" w:firstLine="640"/>
              <w:jc w:val="both"/>
              <w:rPr>
                <w:rFonts w:hint="eastAsia" w:ascii="仿宋_GB2312" w:eastAsia="仿宋_GB2312" w:cs="仿宋_GB2312"/>
                <w:color w:val="000000"/>
                <w:sz w:val="32"/>
                <w:szCs w:val="32"/>
              </w:rPr>
            </w:pPr>
            <w:r>
              <w:rPr>
                <w:rFonts w:hint="eastAsia" w:ascii="仿宋_GB2312" w:hAnsi="微软雅黑" w:eastAsia="仿宋_GB2312" w:cs="仿宋_GB2312"/>
                <w:i w:val="0"/>
                <w:caps w:val="0"/>
                <w:color w:val="000000"/>
                <w:spacing w:val="0"/>
                <w:kern w:val="0"/>
                <w:sz w:val="32"/>
                <w:szCs w:val="32"/>
                <w:lang w:val="en-US" w:eastAsia="zh-CN" w:bidi="ar"/>
              </w:rPr>
              <w:t>一、严禁未履行协作手续，跨县及以上行政区域执行传唤、拘传、拘留、逮捕。</w:t>
            </w:r>
          </w:p>
          <w:p w14:paraId="4DCDF0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40" w:lineRule="atLeast"/>
              <w:ind w:left="0" w:right="0" w:firstLine="640"/>
              <w:jc w:val="both"/>
              <w:rPr>
                <w:rFonts w:hint="eastAsia" w:ascii="仿宋_GB2312" w:eastAsia="仿宋_GB2312" w:cs="仿宋_GB2312"/>
                <w:color w:val="000000"/>
                <w:sz w:val="32"/>
                <w:szCs w:val="32"/>
              </w:rPr>
            </w:pPr>
            <w:r>
              <w:rPr>
                <w:rFonts w:hint="eastAsia" w:ascii="仿宋_GB2312" w:hAnsi="微软雅黑" w:eastAsia="仿宋_GB2312" w:cs="仿宋_GB2312"/>
                <w:i w:val="0"/>
                <w:caps w:val="0"/>
                <w:color w:val="000000"/>
                <w:spacing w:val="0"/>
                <w:kern w:val="0"/>
                <w:sz w:val="32"/>
                <w:szCs w:val="32"/>
                <w:lang w:val="en-US" w:eastAsia="zh-CN" w:bidi="ar"/>
              </w:rPr>
              <w:t>二、严禁未履行协作手续，跨县及以上行政区域查封、扣押、冻结与案件有关的财物、文件。</w:t>
            </w:r>
          </w:p>
          <w:p w14:paraId="3F2D8D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40" w:lineRule="atLeast"/>
              <w:ind w:left="0" w:right="0"/>
              <w:jc w:val="both"/>
              <w:rPr>
                <w:rFonts w:hint="eastAsia" w:ascii="仿宋_GB2312" w:eastAsia="仿宋_GB2312" w:cs="仿宋_GB2312"/>
                <w:color w:val="000000"/>
                <w:sz w:val="32"/>
                <w:szCs w:val="32"/>
              </w:rPr>
            </w:pPr>
            <w:r>
              <w:rPr>
                <w:rFonts w:hint="default" w:ascii="Times New Roman" w:hAnsi="Times New Roman" w:eastAsia="仿宋_GB2312" w:cs="Times New Roman"/>
                <w:i w:val="0"/>
                <w:caps w:val="0"/>
                <w:color w:val="000000"/>
                <w:spacing w:val="0"/>
                <w:kern w:val="0"/>
                <w:sz w:val="32"/>
                <w:szCs w:val="32"/>
                <w:lang w:val="en-US" w:eastAsia="zh-CN" w:bidi="ar"/>
              </w:rPr>
              <w:t>        </w:t>
            </w:r>
            <w:r>
              <w:rPr>
                <w:rFonts w:hint="eastAsia" w:ascii="仿宋_GB2312" w:hAnsi="微软雅黑" w:eastAsia="仿宋_GB2312" w:cs="仿宋_GB2312"/>
                <w:i w:val="0"/>
                <w:caps w:val="0"/>
                <w:color w:val="000000"/>
                <w:spacing w:val="0"/>
                <w:kern w:val="0"/>
                <w:sz w:val="32"/>
                <w:szCs w:val="32"/>
                <w:lang w:val="en-US" w:eastAsia="zh-CN" w:bidi="ar"/>
              </w:rPr>
              <w:t>三、严禁在管辖争议解决前，擅自派警跨所属公安机关管辖区域办案。依法依规进行先期处置的除外。</w:t>
            </w:r>
          </w:p>
          <w:p w14:paraId="09E246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40" w:lineRule="atLeast"/>
              <w:ind w:left="0" w:right="0"/>
              <w:jc w:val="both"/>
              <w:rPr>
                <w:rFonts w:hint="eastAsia" w:ascii="仿宋_GB2312" w:eastAsia="仿宋_GB2312" w:cs="仿宋_GB2312"/>
                <w:color w:val="000000"/>
                <w:sz w:val="32"/>
                <w:szCs w:val="32"/>
              </w:rPr>
            </w:pPr>
            <w:r>
              <w:rPr>
                <w:rFonts w:hint="default" w:ascii="Times New Roman" w:hAnsi="Times New Roman" w:eastAsia="仿宋_GB2312" w:cs="Times New Roman"/>
                <w:i w:val="0"/>
                <w:caps w:val="0"/>
                <w:color w:val="000000"/>
                <w:spacing w:val="0"/>
                <w:kern w:val="0"/>
                <w:sz w:val="32"/>
                <w:szCs w:val="32"/>
                <w:lang w:val="en-US" w:eastAsia="zh-CN" w:bidi="ar"/>
              </w:rPr>
              <w:t>        </w:t>
            </w:r>
            <w:r>
              <w:rPr>
                <w:rFonts w:hint="eastAsia" w:ascii="仿宋_GB2312" w:hAnsi="微软雅黑" w:eastAsia="仿宋_GB2312" w:cs="仿宋_GB2312"/>
                <w:i w:val="0"/>
                <w:caps w:val="0"/>
                <w:color w:val="000000"/>
                <w:spacing w:val="0"/>
                <w:kern w:val="0"/>
                <w:sz w:val="32"/>
                <w:szCs w:val="32"/>
                <w:lang w:val="en-US" w:eastAsia="zh-CN" w:bidi="ar"/>
              </w:rPr>
              <w:t>四、严禁对异地公安机关依法提出且法律手续完备的办案协作请求不予配合、故意阻挠、制造管辖争议、争夺案源战果，或者设置条件、收取费用、推诿拖拉。</w:t>
            </w:r>
          </w:p>
          <w:p w14:paraId="0FC5B7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40" w:lineRule="atLeast"/>
              <w:ind w:left="0" w:right="0" w:firstLine="640"/>
              <w:jc w:val="both"/>
              <w:rPr>
                <w:rFonts w:hint="eastAsia" w:ascii="仿宋_GB2312" w:eastAsia="仿宋_GB2312" w:cs="仿宋_GB2312"/>
                <w:color w:val="000000"/>
                <w:sz w:val="32"/>
                <w:szCs w:val="32"/>
              </w:rPr>
            </w:pPr>
            <w:r>
              <w:rPr>
                <w:rFonts w:hint="eastAsia" w:ascii="仿宋_GB2312" w:hAnsi="微软雅黑" w:eastAsia="仿宋_GB2312" w:cs="仿宋_GB2312"/>
                <w:i w:val="0"/>
                <w:caps w:val="0"/>
                <w:color w:val="000000"/>
                <w:spacing w:val="0"/>
                <w:kern w:val="0"/>
                <w:sz w:val="32"/>
                <w:szCs w:val="32"/>
                <w:lang w:val="en-US" w:eastAsia="zh-CN" w:bidi="ar"/>
              </w:rPr>
              <w:t>五、严禁违反保密规定泄露异地公安机关提出的办案协作请求信息。</w:t>
            </w:r>
          </w:p>
          <w:p w14:paraId="23DCB6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40" w:lineRule="atLeast"/>
              <w:ind w:left="0" w:right="0" w:firstLine="640"/>
              <w:jc w:val="both"/>
              <w:rPr>
                <w:rFonts w:hint="eastAsia" w:ascii="仿宋_GB2312" w:eastAsia="仿宋_GB2312" w:cs="仿宋_GB2312"/>
                <w:color w:val="000000"/>
                <w:sz w:val="32"/>
                <w:szCs w:val="32"/>
              </w:rPr>
            </w:pPr>
            <w:r>
              <w:rPr>
                <w:rFonts w:hint="eastAsia" w:ascii="仿宋_GB2312" w:hAnsi="微软雅黑" w:eastAsia="仿宋_GB2312" w:cs="仿宋_GB2312"/>
                <w:i w:val="0"/>
                <w:caps w:val="0"/>
                <w:color w:val="000000"/>
                <w:spacing w:val="0"/>
                <w:kern w:val="0"/>
                <w:sz w:val="32"/>
                <w:szCs w:val="32"/>
                <w:lang w:val="en-US" w:eastAsia="zh-CN" w:bidi="ar"/>
              </w:rPr>
              <w:t>六、严禁未按规定报经批准，佩带枪支跨所属公安机关管辖区域执行任务。现场紧急情况除外。</w:t>
            </w:r>
          </w:p>
          <w:p w14:paraId="427DB5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40" w:lineRule="atLeast"/>
              <w:ind w:left="0" w:right="0" w:firstLine="640"/>
              <w:jc w:val="both"/>
              <w:rPr>
                <w:rFonts w:hint="eastAsia" w:ascii="仿宋_GB2312" w:eastAsia="仿宋_GB2312" w:cs="仿宋_GB2312"/>
                <w:color w:val="000000"/>
                <w:sz w:val="32"/>
                <w:szCs w:val="32"/>
              </w:rPr>
            </w:pPr>
            <w:r>
              <w:rPr>
                <w:rFonts w:hint="eastAsia" w:ascii="仿宋_GB2312" w:hAnsi="微软雅黑" w:eastAsia="仿宋_GB2312" w:cs="仿宋_GB2312"/>
                <w:i w:val="0"/>
                <w:caps w:val="0"/>
                <w:color w:val="000000"/>
                <w:spacing w:val="0"/>
                <w:kern w:val="0"/>
                <w:sz w:val="32"/>
                <w:szCs w:val="32"/>
                <w:lang w:val="en-US" w:eastAsia="zh-CN" w:bidi="ar"/>
              </w:rPr>
              <w:t>违反上述规定的，一律对责任人及其所属公安机关予以通报批评；发生正面冲突、引发舆论炒作、造成人员伤亡或恶劣影响等严重后果的，一律对责任人采取停止执行职务或禁闭措施，依规依纪依法从严追究有关人员的直接责任和领导责任；构成犯罪的，一律依法追究刑事责任。</w:t>
            </w:r>
          </w:p>
        </w:tc>
      </w:tr>
    </w:tbl>
    <w:p w14:paraId="69419DB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2010609030101010101"/>
    <w:charset w:val="86"/>
    <w:family w:val="auto"/>
    <w:pitch w:val="default"/>
    <w:sig w:usb0="00000000" w:usb1="00000000" w:usb2="00000000" w:usb3="00000000" w:csb0="00040000" w:csb1="00000000"/>
  </w:font>
  <w:font w:name="方正小标宋简体">
    <w:altName w:val="方正舒体"/>
    <w:panose1 w:val="03000509000000000000"/>
    <w:charset w:val="86"/>
    <w:family w:val="auto"/>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35C38"/>
    <w:rsid w:val="737007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609</Words>
  <Characters>624</Characters>
  <Lines>0</Lines>
  <Paragraphs>0</Paragraphs>
  <TotalTime>0</TotalTime>
  <ScaleCrop>false</ScaleCrop>
  <LinksUpToDate>false</LinksUpToDate>
  <CharactersWithSpaces>876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IBM</dc:creator>
  <cp:lastModifiedBy>马丽娜</cp:lastModifiedBy>
  <dcterms:modified xsi:type="dcterms:W3CDTF">2025-03-24T07:53:59Z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eyJoZGlkIjoiZTFhZGJjMjlmMmZjZTNjZDI1YmM2ZTk0YWVjZmI2OTkiLCJ1c2VySWQiOiIxNjUyMjQ2MDYxIn0=</vt:lpwstr>
  </property>
  <property fmtid="{D5CDD505-2E9C-101B-9397-08002B2CF9AE}" pid="4" name="ICV">
    <vt:lpwstr>59DE28824D74464BB77AC349A5C3CA47_12</vt:lpwstr>
  </property>
</Properties>
</file>