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000" w:type="dxa"/>
        <w:jc w:val="center"/>
        <w:tblCellSpacing w:w="0" w:type="dxa"/>
        <w:shd w:val="clear" w:color="auto" w:fill="FFFFFF"/>
        <w:tblLayout w:type="autofit"/>
        <w:tblCellMar>
          <w:top w:w="0" w:type="dxa"/>
          <w:left w:w="0" w:type="dxa"/>
          <w:bottom w:w="0" w:type="dxa"/>
          <w:right w:w="0" w:type="dxa"/>
        </w:tblCellMar>
      </w:tblPr>
      <w:tblGrid>
        <w:gridCol w:w="9000"/>
      </w:tblGrid>
      <w:tr w14:paraId="34752CC9">
        <w:tblPrEx>
          <w:shd w:val="clear" w:color="auto" w:fill="FFFFFF"/>
          <w:tblCellMar>
            <w:top w:w="0" w:type="dxa"/>
            <w:left w:w="0" w:type="dxa"/>
            <w:bottom w:w="0" w:type="dxa"/>
            <w:right w:w="0" w:type="dxa"/>
          </w:tblCellMar>
        </w:tblPrEx>
        <w:trPr>
          <w:tblCellSpacing w:w="0" w:type="dxa"/>
          <w:jc w:val="center"/>
        </w:trPr>
        <w:tc>
          <w:tcPr>
            <w:tcW w:w="0" w:type="auto"/>
            <w:tcBorders>
              <w:top w:val="nil"/>
              <w:left w:val="nil"/>
              <w:bottom w:val="nil"/>
              <w:right w:val="nil"/>
            </w:tcBorders>
            <w:shd w:val="clear" w:color="auto" w:fill="FFFFFF"/>
            <w:vAlign w:val="center"/>
          </w:tcPr>
          <w:tbl>
            <w:tblPr>
              <w:tblStyle w:val="4"/>
              <w:tblW w:w="9000" w:type="dxa"/>
              <w:jc w:val="center"/>
              <w:tblCellSpacing w:w="15" w:type="dxa"/>
              <w:tblLayout w:type="autofit"/>
              <w:tblCellMar>
                <w:top w:w="15" w:type="dxa"/>
                <w:left w:w="15" w:type="dxa"/>
                <w:bottom w:w="15" w:type="dxa"/>
                <w:right w:w="15" w:type="dxa"/>
              </w:tblCellMar>
            </w:tblPr>
            <w:tblGrid>
              <w:gridCol w:w="9000"/>
            </w:tblGrid>
            <w:tr w14:paraId="25D19CE8">
              <w:trPr>
                <w:trHeight w:val="15" w:hRule="atLeast"/>
                <w:tblCellSpacing w:w="15" w:type="dxa"/>
                <w:jc w:val="center"/>
              </w:trPr>
              <w:tc>
                <w:tcPr>
                  <w:tcW w:w="0" w:type="auto"/>
                  <w:vAlign w:val="center"/>
                </w:tcPr>
                <w:p w14:paraId="2349D11E">
                  <w:pPr>
                    <w:widowControl/>
                    <w:jc w:val="center"/>
                    <w:rPr>
                      <w:rFonts w:ascii="宋体" w:hAnsi="宋体" w:eastAsia="宋体" w:cs="宋体"/>
                      <w:kern w:val="0"/>
                      <w:sz w:val="24"/>
                      <w:szCs w:val="24"/>
                    </w:rPr>
                  </w:pPr>
                  <w:bookmarkStart w:id="0" w:name="_GoBack"/>
                  <w:bookmarkEnd w:id="0"/>
                  <w:r>
                    <w:rPr>
                      <w:rFonts w:ascii="黑体" w:hAnsi="黑体" w:eastAsia="黑体" w:cs="宋体"/>
                      <w:kern w:val="0"/>
                      <w:sz w:val="36"/>
                      <w:szCs w:val="36"/>
                    </w:rPr>
                    <w:t>全省公安数字督察三年行动计划（2023-2025年）</w:t>
                  </w:r>
                </w:p>
              </w:tc>
            </w:tr>
          </w:tbl>
          <w:p w14:paraId="6692DCCE">
            <w:pPr>
              <w:widowControl/>
              <w:jc w:val="left"/>
              <w:rPr>
                <w:rFonts w:ascii="微软雅黑" w:hAnsi="微软雅黑" w:eastAsia="微软雅黑" w:cs="宋体"/>
                <w:vanish/>
                <w:kern w:val="0"/>
                <w:sz w:val="24"/>
                <w:szCs w:val="24"/>
              </w:rPr>
            </w:pPr>
          </w:p>
          <w:tbl>
            <w:tblPr>
              <w:tblStyle w:val="4"/>
              <w:tblW w:w="9000" w:type="dxa"/>
              <w:jc w:val="center"/>
              <w:tblCellSpacing w:w="15" w:type="dxa"/>
              <w:tblLayout w:type="autofit"/>
              <w:tblCellMar>
                <w:top w:w="15" w:type="dxa"/>
                <w:left w:w="15" w:type="dxa"/>
                <w:bottom w:w="15" w:type="dxa"/>
                <w:right w:w="15" w:type="dxa"/>
              </w:tblCellMar>
            </w:tblPr>
            <w:tblGrid>
              <w:gridCol w:w="9000"/>
            </w:tblGrid>
            <w:tr w14:paraId="6138542A">
              <w:trPr>
                <w:tblCellSpacing w:w="15" w:type="dxa"/>
                <w:jc w:val="center"/>
              </w:trPr>
              <w:tc>
                <w:tcPr>
                  <w:tcW w:w="0" w:type="auto"/>
                  <w:vAlign w:val="center"/>
                </w:tcPr>
                <w:p w14:paraId="3BAA3C1E">
                  <w:pPr>
                    <w:widowControl/>
                    <w:wordWrap w:val="0"/>
                    <w:jc w:val="left"/>
                    <w:rPr>
                      <w:rFonts w:ascii="仿宋_GB2312" w:hAnsi="宋体" w:eastAsia="仿宋_GB2312" w:cs="宋体"/>
                      <w:kern w:val="0"/>
                      <w:sz w:val="26"/>
                      <w:szCs w:val="26"/>
                    </w:rPr>
                  </w:pPr>
                  <w:r>
                    <w:rPr>
                      <w:rFonts w:hint="eastAsia" w:ascii="方正仿宋_GBK" w:hAnsi="宋体" w:eastAsia="方正仿宋_GBK" w:cs="宋体"/>
                      <w:kern w:val="0"/>
                      <w:sz w:val="32"/>
                      <w:szCs w:val="32"/>
                    </w:rPr>
                    <w:t> </w:t>
                  </w:r>
                </w:p>
                <w:p w14:paraId="443077AB">
                  <w:pPr>
                    <w:widowControl/>
                    <w:wordWrap w:val="0"/>
                    <w:jc w:val="center"/>
                    <w:rPr>
                      <w:rFonts w:ascii="仿宋_GB2312" w:hAnsi="宋体" w:eastAsia="仿宋_GB2312" w:cs="宋体"/>
                      <w:kern w:val="0"/>
                      <w:sz w:val="26"/>
                      <w:szCs w:val="26"/>
                    </w:rPr>
                  </w:pPr>
                  <w:r>
                    <w:rPr>
                      <w:rFonts w:hint="eastAsia" w:ascii="方正小标宋简体" w:hAnsi="宋体" w:eastAsia="方正小标宋简体" w:cs="宋体"/>
                      <w:kern w:val="0"/>
                      <w:sz w:val="40"/>
                      <w:szCs w:val="40"/>
                    </w:rPr>
                    <w:t>全省公安数字督察三年行动计划</w:t>
                  </w:r>
                </w:p>
                <w:p w14:paraId="376E906A">
                  <w:pPr>
                    <w:widowControl/>
                    <w:wordWrap w:val="0"/>
                    <w:jc w:val="center"/>
                    <w:rPr>
                      <w:rFonts w:ascii="仿宋_GB2312" w:hAnsi="宋体" w:eastAsia="仿宋_GB2312" w:cs="宋体"/>
                      <w:kern w:val="0"/>
                      <w:sz w:val="26"/>
                      <w:szCs w:val="26"/>
                    </w:rPr>
                  </w:pPr>
                  <w:r>
                    <w:rPr>
                      <w:rFonts w:hint="eastAsia" w:ascii="方正小标宋简体" w:hAnsi="宋体" w:eastAsia="方正小标宋简体" w:cs="宋体"/>
                      <w:kern w:val="0"/>
                      <w:sz w:val="40"/>
                      <w:szCs w:val="40"/>
                    </w:rPr>
                    <w:t>（2023-2025年）</w:t>
                  </w:r>
                </w:p>
                <w:p w14:paraId="1D767A2E">
                  <w:pPr>
                    <w:widowControl/>
                    <w:wordWrap w:val="0"/>
                    <w:jc w:val="center"/>
                    <w:rPr>
                      <w:rFonts w:ascii="仿宋_GB2312" w:hAnsi="宋体" w:eastAsia="仿宋_GB2312" w:cs="宋体"/>
                      <w:kern w:val="0"/>
                      <w:sz w:val="26"/>
                      <w:szCs w:val="26"/>
                    </w:rPr>
                  </w:pPr>
                  <w:r>
                    <w:rPr>
                      <w:rFonts w:hint="eastAsia" w:ascii="方正小标宋简体" w:hAnsi="宋体" w:eastAsia="方正小标宋简体" w:cs="宋体"/>
                      <w:kern w:val="0"/>
                      <w:sz w:val="40"/>
                      <w:szCs w:val="40"/>
                    </w:rPr>
                    <w:t> </w:t>
                  </w:r>
                </w:p>
                <w:p w14:paraId="6AD1A1C3">
                  <w:pPr>
                    <w:widowControl/>
                    <w:wordWrap w:val="0"/>
                    <w:ind w:firstLine="640"/>
                    <w:jc w:val="left"/>
                    <w:rPr>
                      <w:rFonts w:ascii="仿宋_GB2312" w:hAnsi="宋体" w:eastAsia="仿宋_GB2312" w:cs="宋体"/>
                      <w:kern w:val="0"/>
                      <w:sz w:val="26"/>
                      <w:szCs w:val="26"/>
                    </w:rPr>
                  </w:pPr>
                  <w:r>
                    <w:rPr>
                      <w:rFonts w:ascii="仿宋_GB2312" w:hAnsi="Times New Roman" w:eastAsia="仿宋_GB2312" w:cs="Times New Roman"/>
                      <w:kern w:val="0"/>
                      <w:sz w:val="32"/>
                      <w:szCs w:val="32"/>
                    </w:rPr>
                    <w:t>为深入贯彻《公安部关于印发〈关于全面推进公安数字督察的指导意见〉的通知》（</w:t>
                  </w:r>
                  <w:r>
                    <w:rPr>
                      <w:rFonts w:ascii="楷体_GB2312" w:hAnsi="Times New Roman" w:eastAsia="楷体_GB2312" w:cs="Times New Roman"/>
                      <w:kern w:val="0"/>
                      <w:sz w:val="32"/>
                      <w:szCs w:val="32"/>
                    </w:rPr>
                    <w:t>公通字〔</w:t>
                  </w:r>
                  <w:r>
                    <w:rPr>
                      <w:rFonts w:ascii="Times New Roman" w:hAnsi="Times New Roman" w:eastAsia="仿宋_GB2312" w:cs="Times New Roman"/>
                      <w:kern w:val="0"/>
                      <w:sz w:val="32"/>
                      <w:szCs w:val="32"/>
                    </w:rPr>
                    <w:t>2023</w:t>
                  </w:r>
                  <w:r>
                    <w:rPr>
                      <w:rFonts w:ascii="楷体_GB2312" w:hAnsi="Times New Roman" w:eastAsia="楷体_GB2312" w:cs="Times New Roman"/>
                      <w:kern w:val="0"/>
                      <w:sz w:val="32"/>
                      <w:szCs w:val="32"/>
                    </w:rPr>
                    <w:t>〕</w:t>
                  </w:r>
                  <w:r>
                    <w:rPr>
                      <w:rFonts w:ascii="Times New Roman" w:hAnsi="Times New Roman" w:eastAsia="仿宋_GB2312" w:cs="Times New Roman"/>
                      <w:kern w:val="0"/>
                      <w:sz w:val="32"/>
                      <w:szCs w:val="32"/>
                    </w:rPr>
                    <w:t>10</w:t>
                  </w:r>
                  <w:r>
                    <w:rPr>
                      <w:rFonts w:ascii="楷体_GB2312" w:hAnsi="Times New Roman" w:eastAsia="楷体_GB2312" w:cs="Times New Roman"/>
                      <w:kern w:val="0"/>
                      <w:sz w:val="32"/>
                      <w:szCs w:val="32"/>
                    </w:rPr>
                    <w:t>号</w:t>
                  </w:r>
                  <w:r>
                    <w:rPr>
                      <w:rFonts w:ascii="仿宋_GB2312" w:hAnsi="Times New Roman" w:eastAsia="仿宋_GB2312" w:cs="Times New Roman"/>
                      <w:kern w:val="0"/>
                      <w:sz w:val="32"/>
                      <w:szCs w:val="32"/>
                    </w:rPr>
                    <w:t>），构建</w:t>
                  </w:r>
                  <w:r>
                    <w:rPr>
                      <w:rFonts w:ascii="Times New Roman" w:hAnsi="Times New Roman" w:eastAsia="仿宋_GB2312" w:cs="Times New Roman"/>
                      <w:kern w:val="0"/>
                      <w:sz w:val="32"/>
                      <w:szCs w:val="32"/>
                    </w:rPr>
                    <w:t>“112N”</w:t>
                  </w:r>
                  <w:r>
                    <w:rPr>
                      <w:rFonts w:ascii="仿宋_GB2312" w:hAnsi="Times New Roman" w:eastAsia="仿宋_GB2312" w:cs="Times New Roman"/>
                      <w:kern w:val="0"/>
                      <w:sz w:val="32"/>
                      <w:szCs w:val="32"/>
                    </w:rPr>
                    <w:t>浙江公安数字督察工作体系（</w:t>
                  </w:r>
                  <w:r>
                    <w:rPr>
                      <w:rFonts w:ascii="楷体_GB2312" w:hAnsi="Times New Roman" w:eastAsia="楷体_GB2312" w:cs="Times New Roman"/>
                      <w:kern w:val="0"/>
                      <w:sz w:val="32"/>
                      <w:szCs w:val="32"/>
                    </w:rPr>
                    <w:t>厅督察委员会、</w:t>
                  </w:r>
                  <w:r>
                    <w:rPr>
                      <w:rFonts w:ascii="Times New Roman" w:hAnsi="Times New Roman" w:eastAsia="仿宋_GB2312" w:cs="Times New Roman"/>
                      <w:kern w:val="0"/>
                      <w:sz w:val="32"/>
                      <w:szCs w:val="32"/>
                    </w:rPr>
                    <w:t>“</w:t>
                  </w:r>
                  <w:r>
                    <w:rPr>
                      <w:rFonts w:ascii="楷体_GB2312" w:hAnsi="Times New Roman" w:eastAsia="楷体_GB2312" w:cs="Times New Roman"/>
                      <w:kern w:val="0"/>
                      <w:sz w:val="32"/>
                      <w:szCs w:val="32"/>
                    </w:rPr>
                    <w:t>浙警智督</w:t>
                  </w:r>
                  <w:r>
                    <w:rPr>
                      <w:rFonts w:ascii="Times New Roman" w:hAnsi="Times New Roman" w:eastAsia="仿宋_GB2312" w:cs="Times New Roman"/>
                      <w:kern w:val="0"/>
                      <w:sz w:val="32"/>
                      <w:szCs w:val="32"/>
                    </w:rPr>
                    <w:t>”</w:t>
                  </w:r>
                  <w:r>
                    <w:rPr>
                      <w:rFonts w:ascii="楷体_GB2312" w:hAnsi="Times New Roman" w:eastAsia="楷体_GB2312" w:cs="Times New Roman"/>
                      <w:kern w:val="0"/>
                      <w:sz w:val="32"/>
                      <w:szCs w:val="32"/>
                    </w:rPr>
                    <w:t>系统、公安网浙政钉两端、</w:t>
                  </w:r>
                  <w:r>
                    <w:rPr>
                      <w:rFonts w:ascii="Times New Roman" w:hAnsi="Times New Roman" w:eastAsia="仿宋_GB2312" w:cs="Times New Roman"/>
                      <w:kern w:val="0"/>
                      <w:sz w:val="32"/>
                      <w:szCs w:val="32"/>
                    </w:rPr>
                    <w:t>N</w:t>
                  </w:r>
                  <w:r>
                    <w:rPr>
                      <w:rFonts w:ascii="楷体_GB2312" w:hAnsi="Times New Roman" w:eastAsia="楷体_GB2312" w:cs="Times New Roman"/>
                      <w:kern w:val="0"/>
                      <w:sz w:val="32"/>
                      <w:szCs w:val="32"/>
                    </w:rPr>
                    <w:t>个应用）</w:t>
                  </w:r>
                  <w:r>
                    <w:rPr>
                      <w:rFonts w:ascii="仿宋_GB2312" w:hAnsi="Times New Roman" w:eastAsia="仿宋_GB2312" w:cs="Times New Roman"/>
                      <w:kern w:val="0"/>
                      <w:sz w:val="32"/>
                      <w:szCs w:val="32"/>
                    </w:rPr>
                    <w:t>，全面提升新时代警务督察履职能力，形成</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数字引领、数字决策、数字监督、数字创新</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的现代警务督察新模式，助力浙江公安工作高质量发展，特制定本行动计划。</w:t>
                  </w:r>
                </w:p>
                <w:p w14:paraId="5AF3BE4F">
                  <w:pPr>
                    <w:widowControl/>
                    <w:wordWrap w:val="0"/>
                    <w:ind w:firstLine="640"/>
                    <w:jc w:val="left"/>
                    <w:rPr>
                      <w:rFonts w:ascii="仿宋_GB2312" w:hAnsi="宋体" w:eastAsia="仿宋_GB2312" w:cs="宋体"/>
                      <w:kern w:val="0"/>
                      <w:sz w:val="26"/>
                      <w:szCs w:val="26"/>
                    </w:rPr>
                  </w:pPr>
                  <w:r>
                    <w:rPr>
                      <w:rFonts w:hint="eastAsia" w:ascii="黑体" w:hAnsi="黑体" w:eastAsia="黑体" w:cs="宋体"/>
                      <w:kern w:val="0"/>
                      <w:sz w:val="32"/>
                      <w:szCs w:val="32"/>
                    </w:rPr>
                    <w:t>一、总体要求</w:t>
                  </w:r>
                </w:p>
                <w:p w14:paraId="4E8AA238">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（一）指导思想。</w:t>
                  </w:r>
                  <w:r>
                    <w:rPr>
                      <w:rFonts w:ascii="仿宋_GB2312" w:hAnsi="Times New Roman" w:eastAsia="仿宋_GB2312" w:cs="Times New Roman"/>
                      <w:kern w:val="0"/>
                      <w:sz w:val="32"/>
                      <w:szCs w:val="32"/>
                    </w:rPr>
                    <w:t>以习近平新时代中国特色社会主义思想为指导，深入贯彻党的二十大精神，按照公安部、科技部《科技兴警三年行动计划（</w:t>
                  </w:r>
                  <w:r>
                    <w:rPr>
                      <w:rFonts w:ascii="Times New Roman" w:hAnsi="Times New Roman" w:eastAsia="仿宋_GB2312" w:cs="Times New Roman"/>
                      <w:kern w:val="0"/>
                      <w:sz w:val="32"/>
                      <w:szCs w:val="32"/>
                    </w:rPr>
                    <w:t>2023—2025</w:t>
                  </w:r>
                  <w:r>
                    <w:rPr>
                      <w:rFonts w:ascii="楷体_GB2312" w:hAnsi="Times New Roman" w:eastAsia="楷体_GB2312" w:cs="Times New Roman"/>
                      <w:kern w:val="0"/>
                      <w:sz w:val="32"/>
                      <w:szCs w:val="32"/>
                    </w:rPr>
                    <w:t>年</w:t>
                  </w:r>
                  <w:r>
                    <w:rPr>
                      <w:rFonts w:ascii="仿宋_GB2312" w:hAnsi="Times New Roman" w:eastAsia="仿宋_GB2312" w:cs="Times New Roman"/>
                      <w:kern w:val="0"/>
                      <w:sz w:val="32"/>
                      <w:szCs w:val="32"/>
                    </w:rPr>
                    <w:t>）》要求和省厅党委关于</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公安大脑</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建设决策部署，牢牢把握警务督察职责使命，坚持改革创新、系统推进、贯通协同，强化各警种部门各层级联动的数字督察模式，以效率变革、动力变革，促进质量变革，推进形成符合浙江公安可持续的高质量发展体制机制。</w:t>
                  </w:r>
                </w:p>
                <w:p w14:paraId="41181BF3">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（二）行动目标。</w:t>
                  </w:r>
                  <w:r>
                    <w:rPr>
                      <w:rFonts w:ascii="仿宋_GB2312" w:hAnsi="Times New Roman" w:eastAsia="仿宋_GB2312" w:cs="Times New Roman"/>
                      <w:kern w:val="0"/>
                      <w:sz w:val="32"/>
                      <w:szCs w:val="32"/>
                    </w:rPr>
                    <w:t>到</w:t>
                  </w:r>
                  <w:r>
                    <w:rPr>
                      <w:rFonts w:ascii="Times New Roman" w:hAnsi="Times New Roman" w:eastAsia="仿宋_GB2312" w:cs="Times New Roman"/>
                      <w:kern w:val="0"/>
                      <w:sz w:val="32"/>
                      <w:szCs w:val="32"/>
                    </w:rPr>
                    <w:t>2025</w:t>
                  </w:r>
                  <w:r>
                    <w:rPr>
                      <w:rFonts w:ascii="仿宋_GB2312" w:hAnsi="Times New Roman" w:eastAsia="仿宋_GB2312" w:cs="Times New Roman"/>
                      <w:kern w:val="0"/>
                      <w:sz w:val="32"/>
                      <w:szCs w:val="32"/>
                    </w:rPr>
                    <w:t>年底，深度融入</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公安大脑</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建设，坚持</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三轮驱动</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打造一批具有浙江公安辨识度和全国影响力的新时代数字督察示范中心，推动数字督察工作组织领导更加有力、职责体系更加明晰、制度机制更加完善、支撑保障更加到位、人才队伍更加专业、常态应用更加高效，确保浙江公安数字督察工作走在全国前列。</w:t>
                  </w:r>
                </w:p>
                <w:p w14:paraId="218D2690">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（三）实现路径。</w:t>
                  </w:r>
                  <w:r>
                    <w:rPr>
                      <w:rFonts w:ascii="仿宋_GB2312" w:hAnsi="Times New Roman" w:eastAsia="仿宋_GB2312" w:cs="Times New Roman"/>
                      <w:kern w:val="0"/>
                      <w:sz w:val="32"/>
                      <w:szCs w:val="32"/>
                    </w:rPr>
                    <w:t>以数字督察中心建设为抓手，以</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浙警智治</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平台为支撑，以模型技战法为牵引，聚焦领导关注、群众关心、民警关切事项，紧扣公安业务工作和队伍管理，建设</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浙警智督</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系统，切实推动数字督察赋能各项警务实战，并在实战中不断促进数字督察新发展，全面构建督察工作新格局。</w:t>
                  </w:r>
                </w:p>
                <w:p w14:paraId="60645AB4">
                  <w:pPr>
                    <w:widowControl/>
                    <w:wordWrap w:val="0"/>
                    <w:ind w:firstLine="640"/>
                    <w:jc w:val="left"/>
                    <w:rPr>
                      <w:rFonts w:ascii="仿宋_GB2312" w:hAnsi="宋体" w:eastAsia="仿宋_GB2312" w:cs="宋体"/>
                      <w:kern w:val="0"/>
                      <w:sz w:val="26"/>
                      <w:szCs w:val="26"/>
                    </w:rPr>
                  </w:pPr>
                  <w:r>
                    <w:rPr>
                      <w:rFonts w:hint="eastAsia" w:ascii="黑体" w:hAnsi="黑体" w:eastAsia="黑体" w:cs="宋体"/>
                      <w:kern w:val="0"/>
                      <w:sz w:val="32"/>
                      <w:szCs w:val="32"/>
                    </w:rPr>
                    <w:t>二、主要措施</w:t>
                  </w:r>
                </w:p>
                <w:p w14:paraId="7D52C56E">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（一）完善顶层设计夯根基</w:t>
                  </w:r>
                </w:p>
                <w:p w14:paraId="5AF023A0">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w:t>
                  </w:r>
                  <w:r>
                    <w:rPr>
                      <w:rFonts w:ascii="仿宋_GB2312" w:hAnsi="Times New Roman" w:eastAsia="仿宋_GB2312" w:cs="Times New Roman"/>
                      <w:b/>
                      <w:bCs/>
                      <w:kern w:val="0"/>
                      <w:sz w:val="32"/>
                      <w:szCs w:val="32"/>
                    </w:rPr>
                    <w:t>强化组织领导。</w:t>
                  </w:r>
                  <w:r>
                    <w:rPr>
                      <w:rFonts w:ascii="仿宋_GB2312" w:hAnsi="Times New Roman" w:eastAsia="仿宋_GB2312" w:cs="Times New Roman"/>
                      <w:kern w:val="0"/>
                      <w:sz w:val="32"/>
                      <w:szCs w:val="32"/>
                    </w:rPr>
                    <w:t>成立由各级公安机关督察长任组长，分管警务督察工作的领导任副组长，相关警种部门主要领导为成员的数字督察领导小组，加强对数字督察集中统一领导，及时研究解决影响数字督察建设的重大问题。领导小组办公室设在同级警务督察部门，具体负责数字督察的组织实施。</w:t>
                  </w:r>
                </w:p>
                <w:p w14:paraId="2C3F3A69">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2.</w:t>
                  </w:r>
                  <w:r>
                    <w:rPr>
                      <w:rFonts w:ascii="仿宋_GB2312" w:hAnsi="Times New Roman" w:eastAsia="仿宋_GB2312" w:cs="Times New Roman"/>
                      <w:b/>
                      <w:bCs/>
                      <w:kern w:val="0"/>
                      <w:sz w:val="32"/>
                      <w:szCs w:val="32"/>
                    </w:rPr>
                    <w:t>明晰职责体系。</w:t>
                  </w:r>
                  <w:r>
                    <w:rPr>
                      <w:rFonts w:ascii="仿宋_GB2312" w:hAnsi="Times New Roman" w:eastAsia="仿宋_GB2312" w:cs="Times New Roman"/>
                      <w:kern w:val="0"/>
                      <w:sz w:val="32"/>
                      <w:szCs w:val="32"/>
                    </w:rPr>
                    <w:t>在各级公安机关党委领导下，落实</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省级主责、市县主战</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要求，厘清省、市、县三级警务督察部门、管理监督警种部门、职能监督部门、协调保障部门职责。各相关警种部门各司其职、协同发力，在政策制度、平台建设、数据共享、经费保障、组织实施、人员配备等方面提供必要支持和保障。</w:t>
                  </w:r>
                </w:p>
                <w:p w14:paraId="39331373">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3.</w:t>
                  </w:r>
                  <w:r>
                    <w:rPr>
                      <w:rFonts w:ascii="仿宋_GB2312" w:hAnsi="Times New Roman" w:eastAsia="仿宋_GB2312" w:cs="Times New Roman"/>
                      <w:b/>
                      <w:bCs/>
                      <w:kern w:val="0"/>
                      <w:sz w:val="32"/>
                      <w:szCs w:val="32"/>
                    </w:rPr>
                    <w:t>完善制度机制。</w:t>
                  </w:r>
                  <w:r>
                    <w:rPr>
                      <w:rFonts w:ascii="仿宋_GB2312" w:hAnsi="Times New Roman" w:eastAsia="仿宋_GB2312" w:cs="Times New Roman"/>
                      <w:kern w:val="0"/>
                      <w:sz w:val="32"/>
                      <w:szCs w:val="32"/>
                    </w:rPr>
                    <w:t>积极完善数字督察配套制度机制建设，制定出台《全省公安机关数字督察工作规范》，完善数字督察靶向发起、联动支撑、协同处置、结果共享、绩效评价机制。依托科技兴警人才培育工作，健全完善常态化跟班轮训、集中培训机制，建立健全数字督察教官、数字督察战队管理办法。密切与公安院校联系，加强实践基础上的数字督察软科学研究和理论创新。严格落实数字督察建设应用安全管理规范，坚决守住安全底线。</w:t>
                  </w:r>
                </w:p>
                <w:p w14:paraId="0B640003">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（二）聚焦党委中心抓质效</w:t>
                  </w:r>
                </w:p>
                <w:p w14:paraId="2564A4EF">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4.</w:t>
                  </w:r>
                  <w:r>
                    <w:rPr>
                      <w:rFonts w:ascii="仿宋_GB2312" w:hAnsi="Times New Roman" w:eastAsia="仿宋_GB2312" w:cs="Times New Roman"/>
                      <w:b/>
                      <w:bCs/>
                      <w:kern w:val="0"/>
                      <w:sz w:val="32"/>
                      <w:szCs w:val="32"/>
                    </w:rPr>
                    <w:t>助力党委科学决策。</w:t>
                  </w:r>
                  <w:r>
                    <w:rPr>
                      <w:rFonts w:ascii="仿宋_GB2312" w:hAnsi="Times New Roman" w:eastAsia="仿宋_GB2312" w:cs="Times New Roman"/>
                      <w:kern w:val="0"/>
                      <w:sz w:val="32"/>
                      <w:szCs w:val="32"/>
                    </w:rPr>
                    <w:t>坚持问题导向，警务督察部门定期会同责任警种部门对公安中心工作、执法办案、服务群众、队伍建设等领域的热点、难点、堵点问题开展数字督察分析研判，找准薄弱环节，剖析问题成因，提出对策推动源头治理、协同治理，建立专项模型，实行数字督察</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一专项一分析一报告</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，为各级公安机关党委科学决策提供有效参考。</w:t>
                  </w:r>
                </w:p>
                <w:p w14:paraId="1233CFB7">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5.</w:t>
                  </w:r>
                  <w:r>
                    <w:rPr>
                      <w:rFonts w:ascii="仿宋_GB2312" w:hAnsi="Times New Roman" w:eastAsia="仿宋_GB2312" w:cs="Times New Roman"/>
                      <w:b/>
                      <w:bCs/>
                      <w:kern w:val="0"/>
                      <w:sz w:val="32"/>
                      <w:szCs w:val="32"/>
                    </w:rPr>
                    <w:t>助力重大部署落实。</w:t>
                  </w:r>
                  <w:r>
                    <w:rPr>
                      <w:rFonts w:ascii="仿宋_GB2312" w:hAnsi="Times New Roman" w:eastAsia="仿宋_GB2312" w:cs="Times New Roman"/>
                      <w:kern w:val="0"/>
                      <w:sz w:val="32"/>
                      <w:szCs w:val="32"/>
                    </w:rPr>
                    <w:t>将数字督察贯穿公安中心工作、重大警务部署落实全过程，聚焦</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公安大脑</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建设、加强新时代公安派出所工作等中心工作及扫黑除恶常态化、打击治理电信网络诈骗、跨境赌博等重大警务部署，精准建立数字督察模型，实现事前事中事后全链条、全领域监督，切实推动防风险、保安全、护稳定各项部署在各级公安机关落到实处、取得实效。</w:t>
                  </w:r>
                </w:p>
                <w:p w14:paraId="3B9B8709">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6.</w:t>
                  </w:r>
                  <w:r>
                    <w:rPr>
                      <w:rFonts w:ascii="仿宋_GB2312" w:hAnsi="Times New Roman" w:eastAsia="仿宋_GB2312" w:cs="Times New Roman"/>
                      <w:b/>
                      <w:bCs/>
                      <w:kern w:val="0"/>
                      <w:sz w:val="32"/>
                      <w:szCs w:val="32"/>
                    </w:rPr>
                    <w:t>助力重点任务落地。</w:t>
                  </w:r>
                  <w:r>
                    <w:rPr>
                      <w:rFonts w:ascii="仿宋_GB2312" w:hAnsi="Times New Roman" w:eastAsia="仿宋_GB2312" w:cs="Times New Roman"/>
                      <w:kern w:val="0"/>
                      <w:sz w:val="32"/>
                      <w:szCs w:val="32"/>
                    </w:rPr>
                    <w:t>深化</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综合督察一件事</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场景应用，以年度公安工作重点任务和各警种部门绩效量化指标为重点，结合每季度综合督察、专项督察等方式，通过数据感知、智能分析、可视管理、动态监控、流程闭环、监督考核等功能，精准项目建设、提高业务协同、提升工作效能，实现数字督察工作标准化、常态化、立体化，减轻基层负担的同时，推动各项重点任务落地落实。</w:t>
                  </w:r>
                </w:p>
                <w:p w14:paraId="259711A0">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（三）聚焦执法执勤促规范</w:t>
                  </w:r>
                </w:p>
                <w:p w14:paraId="00067AEE">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7.</w:t>
                  </w:r>
                  <w:r>
                    <w:rPr>
                      <w:rFonts w:ascii="仿宋_GB2312" w:hAnsi="Times New Roman" w:eastAsia="仿宋_GB2312" w:cs="Times New Roman"/>
                      <w:b/>
                      <w:bCs/>
                      <w:kern w:val="0"/>
                      <w:sz w:val="32"/>
                      <w:szCs w:val="32"/>
                    </w:rPr>
                    <w:t>强化执法办案全过程监督。</w:t>
                  </w:r>
                  <w:r>
                    <w:rPr>
                      <w:rFonts w:ascii="仿宋_GB2312" w:hAnsi="Times New Roman" w:eastAsia="仿宋_GB2312" w:cs="Times New Roman"/>
                      <w:kern w:val="0"/>
                      <w:sz w:val="32"/>
                      <w:szCs w:val="32"/>
                    </w:rPr>
                    <w:t>始终将公安执法作为数字督察核心内容，不断创新和共享技战法，紧盯执法不规范、不作为、乱作为等突出问题，常态化运行各类数字督察模型，进一步提升执法规范化水平和执法公信力。深化推进防止干预司法</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三个规定</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、禁止逐利执法</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七项规定</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、异地办案协作</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六个严禁</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等制度规定落实。</w:t>
                  </w:r>
                </w:p>
                <w:p w14:paraId="02ED279E">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8.</w:t>
                  </w:r>
                  <w:r>
                    <w:rPr>
                      <w:rFonts w:ascii="仿宋_GB2312" w:hAnsi="Times New Roman" w:eastAsia="仿宋_GB2312" w:cs="Times New Roman"/>
                      <w:b/>
                      <w:bCs/>
                      <w:kern w:val="0"/>
                      <w:sz w:val="32"/>
                      <w:szCs w:val="32"/>
                    </w:rPr>
                    <w:t>强化执法办案管理场所监督。</w:t>
                  </w:r>
                  <w:r>
                    <w:rPr>
                      <w:rFonts w:ascii="仿宋_GB2312" w:hAnsi="Times New Roman" w:eastAsia="仿宋_GB2312" w:cs="Times New Roman"/>
                      <w:kern w:val="0"/>
                      <w:sz w:val="32"/>
                      <w:szCs w:val="32"/>
                    </w:rPr>
                    <w:t>综合运用数字督察手段，依托执法办案管理信息系统、全过程执法视音频等系统数据，及时发现消除执法办案管理中心执法办案和管理使用及涉案财物管理中存在的各类风险隐患，确保执法办案管理中心安全、规范、有序、高效运行，从源头上规范公正文明执法，助力执法办案管理中心提档升级。</w:t>
                  </w:r>
                </w:p>
                <w:p w14:paraId="7CF7B943">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9.</w:t>
                  </w:r>
                  <w:r>
                    <w:rPr>
                      <w:rFonts w:ascii="仿宋_GB2312" w:hAnsi="Times New Roman" w:eastAsia="仿宋_GB2312" w:cs="Times New Roman"/>
                      <w:b/>
                      <w:bCs/>
                      <w:kern w:val="0"/>
                      <w:sz w:val="32"/>
                      <w:szCs w:val="32"/>
                    </w:rPr>
                    <w:t>健全涉警举报投诉处置机制。</w:t>
                  </w:r>
                  <w:r>
                    <w:rPr>
                      <w:rFonts w:ascii="仿宋_GB2312" w:hAnsi="Times New Roman" w:eastAsia="仿宋_GB2312" w:cs="Times New Roman"/>
                      <w:kern w:val="0"/>
                      <w:sz w:val="32"/>
                      <w:szCs w:val="32"/>
                    </w:rPr>
                    <w:t>深化</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投诉核查一件事</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场景应用，建立健全涉警举报投诉研判联动机制，畅通涉警举报投诉线索受理渠道，严格规范核查、督办、转办等工作。健全完善投诉反馈、跟踪问效等制度机制及综合立体评定办法，全面提升核查结论的客观性和权威性。强化涉警举报投诉问题的趋势性、普遍性分析研判，靶向发起专项督察。加强同各级党风政风警风监督员沟通，深化外部监督。</w:t>
                  </w:r>
                </w:p>
                <w:p w14:paraId="7567B62A">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（四）聚焦内部管理严纪律</w:t>
                  </w:r>
                </w:p>
                <w:p w14:paraId="60B549CF">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10.</w:t>
                  </w:r>
                  <w:r>
                    <w:rPr>
                      <w:rFonts w:ascii="仿宋_GB2312" w:hAnsi="Times New Roman" w:eastAsia="仿宋_GB2312" w:cs="Times New Roman"/>
                      <w:b/>
                      <w:bCs/>
                      <w:kern w:val="0"/>
                      <w:sz w:val="32"/>
                      <w:szCs w:val="32"/>
                    </w:rPr>
                    <w:t>深化队伍内部管理。</w:t>
                  </w:r>
                  <w:r>
                    <w:rPr>
                      <w:rFonts w:ascii="仿宋_GB2312" w:hAnsi="Times New Roman" w:eastAsia="仿宋_GB2312" w:cs="Times New Roman"/>
                      <w:kern w:val="0"/>
                      <w:sz w:val="32"/>
                      <w:szCs w:val="32"/>
                    </w:rPr>
                    <w:t>综合运用数字督察手段，加强队伍内部管理风险隐患预警研判，最大限度减少和防止</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枪车酒赌毒密网</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等重点问题发生。深化</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浙督码</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拓展应用，狠抓《公安机关人民警察内务条令》、公安部</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六项规定</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及《全省公安机关人民警察违反</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六项规定</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暂行处理办法》等贯彻落实，进一步压实全面从严管党治警主体责任，推进队伍管理精细化、监督常态化。</w:t>
                  </w:r>
                </w:p>
                <w:p w14:paraId="0C0B7A0E">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11.</w:t>
                  </w:r>
                  <w:r>
                    <w:rPr>
                      <w:rFonts w:ascii="仿宋_GB2312" w:hAnsi="Times New Roman" w:eastAsia="仿宋_GB2312" w:cs="Times New Roman"/>
                      <w:b/>
                      <w:bCs/>
                      <w:kern w:val="0"/>
                      <w:sz w:val="32"/>
                      <w:szCs w:val="32"/>
                    </w:rPr>
                    <w:t>加强风险隐患感知。</w:t>
                  </w:r>
                  <w:r>
                    <w:rPr>
                      <w:rFonts w:ascii="仿宋_GB2312" w:hAnsi="Times New Roman" w:eastAsia="仿宋_GB2312" w:cs="Times New Roman"/>
                      <w:kern w:val="0"/>
                      <w:sz w:val="32"/>
                      <w:szCs w:val="32"/>
                    </w:rPr>
                    <w:t>依托数字督察模型，推动实现公安队伍内部风险隐患的动态感知、预测预警、防范处置，对违规违纪违法单位及人员予以精准问责。试点建立公安机关内部组织、人员数字督察全息档案，一档展示组织机构及民辅警在队伍管理、执法执勤、举报投诉、维权减负等方面问题情况，服务日常管理、辅助领导决策。</w:t>
                  </w:r>
                </w:p>
                <w:p w14:paraId="165E88EA">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12.</w:t>
                  </w:r>
                  <w:r>
                    <w:rPr>
                      <w:rFonts w:ascii="仿宋_GB2312" w:hAnsi="Times New Roman" w:eastAsia="仿宋_GB2312" w:cs="Times New Roman"/>
                      <w:b/>
                      <w:bCs/>
                      <w:kern w:val="0"/>
                      <w:sz w:val="32"/>
                      <w:szCs w:val="32"/>
                    </w:rPr>
                    <w:t>维护民警执法权威。</w:t>
                  </w:r>
                  <w:r>
                    <w:rPr>
                      <w:rFonts w:ascii="仿宋_GB2312" w:hAnsi="Times New Roman" w:eastAsia="仿宋_GB2312" w:cs="Times New Roman"/>
                      <w:kern w:val="0"/>
                      <w:sz w:val="32"/>
                      <w:szCs w:val="32"/>
                    </w:rPr>
                    <w:t>深化</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民警维权一件事</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场景应用，动态跟踪、指导、督办民警维权案事件，实现全流程、全链条闭环监管，确保案件严格依法规范办理。深化维权数据应用，变</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被动</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为</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主动</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，打造预警预测新模式，精准研判维权态势，实现维权工作领导更加重视、流程更加规范、责任更加清晰、效率更加明显、民警更加满意。</w:t>
                  </w:r>
                </w:p>
                <w:p w14:paraId="0C0CFC0E">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（五）完善支撑保障强能力</w:t>
                  </w:r>
                </w:p>
                <w:p w14:paraId="69F8348F">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13.</w:t>
                  </w:r>
                  <w:r>
                    <w:rPr>
                      <w:rFonts w:ascii="仿宋_GB2312" w:hAnsi="Times New Roman" w:eastAsia="仿宋_GB2312" w:cs="Times New Roman"/>
                      <w:b/>
                      <w:bCs/>
                      <w:kern w:val="0"/>
                      <w:sz w:val="32"/>
                      <w:szCs w:val="32"/>
                    </w:rPr>
                    <w:t>强化专业人才建设。</w:t>
                  </w:r>
                  <w:r>
                    <w:rPr>
                      <w:rFonts w:ascii="仿宋_GB2312" w:hAnsi="Times New Roman" w:eastAsia="仿宋_GB2312" w:cs="Times New Roman"/>
                      <w:kern w:val="0"/>
                      <w:sz w:val="32"/>
                      <w:szCs w:val="32"/>
                    </w:rPr>
                    <w:t>加快提升各级公安机关数字督察理念、数字督察素养、数字督察能力。省、市两级警务督察部门应广泛吸纳数字督察专业人才，配齐配强专门力量，承担常态化数字督察、数据建模、运维保障等任务。加强专业教育培训，深化练兵比武，持续提升在新形势、新任务、新领域开展数字督察的技术支撑和实战能力。</w:t>
                  </w:r>
                </w:p>
                <w:p w14:paraId="1C1EBC41">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14.</w:t>
                  </w:r>
                  <w:r>
                    <w:rPr>
                      <w:rFonts w:ascii="仿宋_GB2312" w:hAnsi="Times New Roman" w:eastAsia="仿宋_GB2312" w:cs="Times New Roman"/>
                      <w:b/>
                      <w:bCs/>
                      <w:kern w:val="0"/>
                      <w:sz w:val="32"/>
                      <w:szCs w:val="32"/>
                    </w:rPr>
                    <w:t>深化数字督察建设应用。</w:t>
                  </w:r>
                  <w:r>
                    <w:rPr>
                      <w:rFonts w:ascii="仿宋_GB2312" w:hAnsi="Times New Roman" w:eastAsia="仿宋_GB2312" w:cs="Times New Roman"/>
                      <w:kern w:val="0"/>
                      <w:sz w:val="32"/>
                      <w:szCs w:val="32"/>
                    </w:rPr>
                    <w:t>建成省、市、县三级上下贯通、全警共用的</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浙警智督</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系统，主动对接</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浙警智治</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、公安大数据、视频信息联网等系统平台。分类分级开放数字督察业务数据和使用权限，坚持实战引领，支撑数字督察全业务场景，实现数字督察全领域、全流程、全方位闭环管理。</w:t>
                  </w:r>
                </w:p>
                <w:p w14:paraId="5B7B3CF7">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15.</w:t>
                  </w:r>
                  <w:r>
                    <w:rPr>
                      <w:rFonts w:ascii="仿宋_GB2312" w:hAnsi="Times New Roman" w:eastAsia="仿宋_GB2312" w:cs="Times New Roman"/>
                      <w:b/>
                      <w:bCs/>
                      <w:kern w:val="0"/>
                      <w:sz w:val="32"/>
                      <w:szCs w:val="32"/>
                    </w:rPr>
                    <w:t>迭代数字督察中心。</w:t>
                  </w:r>
                  <w:r>
                    <w:rPr>
                      <w:rFonts w:ascii="仿宋_GB2312" w:hAnsi="Times New Roman" w:eastAsia="仿宋_GB2312" w:cs="Times New Roman"/>
                      <w:kern w:val="0"/>
                      <w:sz w:val="32"/>
                      <w:szCs w:val="32"/>
                    </w:rPr>
                    <w:t>省、市两级公安机关要全面建成标准化数字督察中心（</w:t>
                  </w:r>
                  <w:r>
                    <w:rPr>
                      <w:rFonts w:ascii="楷体" w:hAnsi="楷体" w:eastAsia="楷体" w:cs="Times New Roman"/>
                      <w:kern w:val="0"/>
                      <w:sz w:val="32"/>
                      <w:szCs w:val="32"/>
                    </w:rPr>
                    <w:t>网上督察中心</w:t>
                  </w:r>
                  <w:r>
                    <w:rPr>
                      <w:rFonts w:ascii="仿宋_GB2312" w:hAnsi="Times New Roman" w:eastAsia="仿宋_GB2312" w:cs="Times New Roman"/>
                      <w:kern w:val="0"/>
                      <w:sz w:val="32"/>
                      <w:szCs w:val="32"/>
                    </w:rPr>
                    <w:t>），将数字督察中心纳入各级公安业务技术用房保障，配备满足工作需要的通信网络、视频会议系统、计算机终端及存储硬件设施。县级公安机关参照建设本级数字督察中心，视情配备专、兼职力量。</w:t>
                  </w:r>
                </w:p>
                <w:p w14:paraId="12A0790A">
                  <w:pPr>
                    <w:widowControl/>
                    <w:wordWrap w:val="0"/>
                    <w:ind w:firstLine="643"/>
                    <w:jc w:val="left"/>
                    <w:rPr>
                      <w:rFonts w:ascii="仿宋_GB2312" w:hAnsi="宋体" w:eastAsia="仿宋_GB2312" w:cs="宋体"/>
                      <w:kern w:val="0"/>
                      <w:sz w:val="26"/>
                      <w:szCs w:val="26"/>
                    </w:rPr>
                  </w:pPr>
                  <w:r>
                    <w:rPr>
                      <w:rFonts w:ascii="Times New Roman" w:hAnsi="Times New Roman" w:eastAsia="仿宋_GB2312" w:cs="Times New Roman"/>
                      <w:b/>
                      <w:bCs/>
                      <w:kern w:val="0"/>
                      <w:sz w:val="32"/>
                      <w:szCs w:val="32"/>
                    </w:rPr>
                    <w:t>16.</w:t>
                  </w:r>
                  <w:r>
                    <w:rPr>
                      <w:rFonts w:ascii="仿宋_GB2312" w:hAnsi="Times New Roman" w:eastAsia="仿宋_GB2312" w:cs="Times New Roman"/>
                      <w:b/>
                      <w:bCs/>
                      <w:kern w:val="0"/>
                      <w:sz w:val="32"/>
                      <w:szCs w:val="32"/>
                    </w:rPr>
                    <w:t>加强示范创新引领。</w:t>
                  </w:r>
                  <w:r>
                    <w:rPr>
                      <w:rFonts w:ascii="仿宋_GB2312" w:hAnsi="Times New Roman" w:eastAsia="仿宋_GB2312" w:cs="Times New Roman"/>
                      <w:kern w:val="0"/>
                      <w:sz w:val="32"/>
                      <w:szCs w:val="32"/>
                    </w:rPr>
                    <w:t>依托科技兴警示范工作及</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公安大脑</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实验室体系建设，鼓励先行先试，大胆探索建设数字督察实验室。深化警企合作、警校合作，开展实战创新、应用创新、机制创新和模式创新。结合实际，遴选</w:t>
                  </w:r>
                  <w:r>
                    <w:rPr>
                      <w:rFonts w:ascii="Times New Roman" w:hAnsi="Times New Roman" w:eastAsia="仿宋_GB2312" w:cs="Times New Roman"/>
                      <w:kern w:val="0"/>
                      <w:sz w:val="32"/>
                      <w:szCs w:val="32"/>
                    </w:rPr>
                    <w:t>3</w:t>
                  </w:r>
                  <w:r>
                    <w:rPr>
                      <w:rFonts w:ascii="仿宋_GB2312" w:hAnsi="Times New Roman" w:eastAsia="仿宋_GB2312" w:cs="Times New Roman"/>
                      <w:kern w:val="0"/>
                      <w:sz w:val="32"/>
                      <w:szCs w:val="32"/>
                    </w:rPr>
                    <w:t>个优秀市级公安机关数字督察中心和</w:t>
                  </w:r>
                  <w:r>
                    <w:rPr>
                      <w:rFonts w:ascii="Times New Roman" w:hAnsi="Times New Roman" w:eastAsia="仿宋_GB2312" w:cs="Times New Roman"/>
                      <w:kern w:val="0"/>
                      <w:sz w:val="32"/>
                      <w:szCs w:val="32"/>
                    </w:rPr>
                    <w:t>20</w:t>
                  </w:r>
                  <w:r>
                    <w:rPr>
                      <w:rFonts w:ascii="仿宋_GB2312" w:hAnsi="Times New Roman" w:eastAsia="仿宋_GB2312" w:cs="Times New Roman"/>
                      <w:kern w:val="0"/>
                      <w:sz w:val="32"/>
                      <w:szCs w:val="32"/>
                    </w:rPr>
                    <w:t>个县级公安机关，以点带面推广创新经验做法。</w:t>
                  </w:r>
                </w:p>
                <w:p w14:paraId="4C7F9E2F">
                  <w:pPr>
                    <w:widowControl/>
                    <w:wordWrap w:val="0"/>
                    <w:ind w:firstLine="640"/>
                    <w:jc w:val="left"/>
                    <w:rPr>
                      <w:rFonts w:ascii="仿宋_GB2312" w:hAnsi="宋体" w:eastAsia="仿宋_GB2312" w:cs="宋体"/>
                      <w:kern w:val="0"/>
                      <w:sz w:val="26"/>
                      <w:szCs w:val="26"/>
                    </w:rPr>
                  </w:pPr>
                  <w:r>
                    <w:rPr>
                      <w:rFonts w:hint="eastAsia" w:ascii="黑体" w:hAnsi="黑体" w:eastAsia="黑体" w:cs="宋体"/>
                      <w:kern w:val="0"/>
                      <w:sz w:val="32"/>
                      <w:szCs w:val="32"/>
                    </w:rPr>
                    <w:t>三、警种部门职责</w:t>
                  </w:r>
                </w:p>
                <w:p w14:paraId="6FAC600E">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（一）警务督察部门。</w:t>
                  </w:r>
                  <w:r>
                    <w:rPr>
                      <w:rFonts w:ascii="仿宋_GB2312" w:hAnsi="Times New Roman" w:eastAsia="仿宋_GB2312" w:cs="Times New Roman"/>
                      <w:kern w:val="0"/>
                      <w:sz w:val="32"/>
                      <w:szCs w:val="32"/>
                    </w:rPr>
                    <w:t>省级公安机关警务督察部门负责数字督察系统规划建设、统筹指导、数据汇聚、督办落实、人才培养等，为市、县两级提供平台、数据和业务支持。市级公安机关警务督察部门负责围绕上级部署和本地警情社情，坚持问题导向、实战引领，全面加强警种部门协作，深入开展数字督察，持续加强创新攻坚，提炼固化经验做法，发挥好主力军作用。县级公安机关警务督察部门负责加快提升数据应用能力，积极开展各类数字督察实战，发挥属地同级同步、实时高效的优势，落实好守土尽责要求。</w:t>
                  </w:r>
                </w:p>
                <w:p w14:paraId="7630061C">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（二）负责管理监督的警种部门。</w:t>
                  </w:r>
                  <w:r>
                    <w:rPr>
                      <w:rFonts w:ascii="仿宋_GB2312" w:hAnsi="Times New Roman" w:eastAsia="仿宋_GB2312" w:cs="Times New Roman"/>
                      <w:kern w:val="0"/>
                      <w:sz w:val="32"/>
                      <w:szCs w:val="32"/>
                    </w:rPr>
                    <w:t>各警种部门根据数字督察需求，依托公安大数据平台或其他安全可靠的方式共享警情、执法办案、服务群众、队伍管理等必要数据。根据数字督察预警问题，配合做好本警种部门条线的督办整改，研究制定、推动出台加强和改进业务工作、条线管理的制度机制，必要时会同警务督察部门对突出问题开展联合专项治理。</w:t>
                  </w:r>
                </w:p>
                <w:p w14:paraId="2111FA21">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（三）负责职能监督的部门。</w:t>
                  </w:r>
                  <w:r>
                    <w:rPr>
                      <w:rFonts w:ascii="仿宋_GB2312" w:hAnsi="Times New Roman" w:eastAsia="仿宋_GB2312" w:cs="Times New Roman"/>
                      <w:kern w:val="0"/>
                      <w:sz w:val="32"/>
                      <w:szCs w:val="32"/>
                    </w:rPr>
                    <w:t>组织人事、法制、机关党委（</w:t>
                  </w:r>
                  <w:r>
                    <w:rPr>
                      <w:rFonts w:ascii="楷体" w:hAnsi="楷体" w:eastAsia="楷体" w:cs="Times New Roman"/>
                      <w:kern w:val="0"/>
                      <w:sz w:val="32"/>
                      <w:szCs w:val="32"/>
                    </w:rPr>
                    <w:t>机关纪委</w:t>
                  </w:r>
                  <w:r>
                    <w:rPr>
                      <w:rFonts w:ascii="仿宋_GB2312" w:hAnsi="Times New Roman" w:eastAsia="仿宋_GB2312" w:cs="Times New Roman"/>
                      <w:kern w:val="0"/>
                      <w:sz w:val="32"/>
                      <w:szCs w:val="32"/>
                    </w:rPr>
                    <w:t>）、审计等部门充分共享公安监督数据资源，根据数字督察结果进一步强化职能监督职责履行，并会同警务督察部门对数字督察发现的涉违规违纪违法问题线索，按照相关规定和干部管理权限开展调查和问责。</w:t>
                  </w:r>
                </w:p>
                <w:p w14:paraId="5B66EE5F">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（四）负责协调保障的部门。</w:t>
                  </w:r>
                  <w:r>
                    <w:rPr>
                      <w:rFonts w:ascii="仿宋_GB2312" w:hAnsi="Times New Roman" w:eastAsia="仿宋_GB2312" w:cs="Times New Roman"/>
                      <w:kern w:val="0"/>
                      <w:sz w:val="32"/>
                      <w:szCs w:val="32"/>
                    </w:rPr>
                    <w:t>情报指挥部门依托</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情指行</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一体化运行机制，参与数字督察信息研判、协调指挥、联勤响应。警务保障部门对通过立项评审的数字督察建设项目，及时纳入预算保障。科技信息化部门加强专业技术指导，提供运行环境支撑，协助开展相关项目建设，在安全可靠的条件下提供动态更新的公安内外部数据资源服务。</w:t>
                  </w:r>
                </w:p>
                <w:p w14:paraId="4698EF65">
                  <w:pPr>
                    <w:widowControl/>
                    <w:wordWrap w:val="0"/>
                    <w:ind w:firstLine="640"/>
                    <w:jc w:val="left"/>
                    <w:rPr>
                      <w:rFonts w:ascii="仿宋_GB2312" w:hAnsi="宋体" w:eastAsia="仿宋_GB2312" w:cs="宋体"/>
                      <w:kern w:val="0"/>
                      <w:sz w:val="26"/>
                      <w:szCs w:val="26"/>
                    </w:rPr>
                  </w:pPr>
                  <w:r>
                    <w:rPr>
                      <w:rFonts w:hint="eastAsia" w:ascii="黑体" w:hAnsi="黑体" w:eastAsia="黑体" w:cs="宋体"/>
                      <w:kern w:val="0"/>
                      <w:sz w:val="32"/>
                      <w:szCs w:val="32"/>
                    </w:rPr>
                    <w:t>四、实施步骤</w:t>
                  </w:r>
                </w:p>
                <w:p w14:paraId="509F0691">
                  <w:pPr>
                    <w:widowControl/>
                    <w:wordWrap w:val="0"/>
                    <w:ind w:firstLine="640"/>
                    <w:jc w:val="left"/>
                    <w:rPr>
                      <w:rFonts w:ascii="仿宋_GB2312" w:hAnsi="宋体" w:eastAsia="仿宋_GB2312" w:cs="宋体"/>
                      <w:kern w:val="0"/>
                      <w:sz w:val="26"/>
                      <w:szCs w:val="26"/>
                    </w:rPr>
                  </w:pPr>
                  <w:r>
                    <w:rPr>
                      <w:rFonts w:ascii="楷体_GB2312" w:hAnsi="Times New Roman" w:eastAsia="楷体_GB2312" w:cs="Times New Roman"/>
                      <w:kern w:val="0"/>
                      <w:sz w:val="32"/>
                      <w:szCs w:val="32"/>
                    </w:rPr>
                    <w:t>（一）动员部署阶段（</w:t>
                  </w:r>
                  <w:r>
                    <w:rPr>
                      <w:rFonts w:ascii="Times New Roman" w:hAnsi="Times New Roman" w:eastAsia="仿宋_GB2312" w:cs="Times New Roman"/>
                      <w:kern w:val="0"/>
                      <w:sz w:val="32"/>
                      <w:szCs w:val="32"/>
                    </w:rPr>
                    <w:t>2023</w:t>
                  </w:r>
                  <w:r>
                    <w:rPr>
                      <w:rFonts w:ascii="楷体_GB2312" w:hAnsi="Times New Roman" w:eastAsia="楷体_GB2312" w:cs="Times New Roman"/>
                      <w:kern w:val="0"/>
                      <w:sz w:val="32"/>
                      <w:szCs w:val="32"/>
                    </w:rPr>
                    <w:t>年</w:t>
                  </w:r>
                  <w:r>
                    <w:rPr>
                      <w:rFonts w:ascii="Times New Roman" w:hAnsi="Times New Roman" w:eastAsia="仿宋_GB2312" w:cs="Times New Roman"/>
                      <w:kern w:val="0"/>
                      <w:sz w:val="32"/>
                      <w:szCs w:val="32"/>
                    </w:rPr>
                    <w:t>10</w:t>
                  </w:r>
                  <w:r>
                    <w:rPr>
                      <w:rFonts w:ascii="楷体_GB2312" w:hAnsi="Times New Roman" w:eastAsia="楷体_GB2312" w:cs="Times New Roman"/>
                      <w:kern w:val="0"/>
                      <w:sz w:val="32"/>
                      <w:szCs w:val="32"/>
                    </w:rPr>
                    <w:t>月底前）。</w:t>
                  </w:r>
                  <w:r>
                    <w:rPr>
                      <w:rFonts w:ascii="仿宋_GB2312" w:hAnsi="Times New Roman" w:eastAsia="仿宋_GB2312" w:cs="Times New Roman"/>
                      <w:kern w:val="0"/>
                      <w:sz w:val="32"/>
                      <w:szCs w:val="32"/>
                    </w:rPr>
                    <w:t>制定下发全省公安数字督察三年行动计划，各级公安机关对照要求，全面排查梳理本地数字督察的短板弱项，有针对性地研究提出具体工作措施，并积极动员部署推进。</w:t>
                  </w:r>
                </w:p>
                <w:p w14:paraId="672FAA21">
                  <w:pPr>
                    <w:widowControl/>
                    <w:wordWrap w:val="0"/>
                    <w:ind w:firstLine="640"/>
                    <w:jc w:val="left"/>
                    <w:rPr>
                      <w:rFonts w:ascii="仿宋_GB2312" w:hAnsi="宋体" w:eastAsia="仿宋_GB2312" w:cs="宋体"/>
                      <w:kern w:val="0"/>
                      <w:sz w:val="26"/>
                      <w:szCs w:val="26"/>
                    </w:rPr>
                  </w:pPr>
                  <w:r>
                    <w:rPr>
                      <w:rFonts w:ascii="楷体_GB2312" w:hAnsi="Times New Roman" w:eastAsia="楷体_GB2312" w:cs="Times New Roman"/>
                      <w:kern w:val="0"/>
                      <w:sz w:val="32"/>
                      <w:szCs w:val="32"/>
                    </w:rPr>
                    <w:t>（二）深入推进阶段（</w:t>
                  </w:r>
                  <w:r>
                    <w:rPr>
                      <w:rFonts w:ascii="Times New Roman" w:hAnsi="Times New Roman" w:eastAsia="仿宋_GB2312" w:cs="Times New Roman"/>
                      <w:kern w:val="0"/>
                      <w:sz w:val="32"/>
                      <w:szCs w:val="32"/>
                    </w:rPr>
                    <w:t>2023</w:t>
                  </w:r>
                  <w:r>
                    <w:rPr>
                      <w:rFonts w:ascii="楷体_GB2312" w:hAnsi="Times New Roman" w:eastAsia="楷体_GB2312" w:cs="Times New Roman"/>
                      <w:kern w:val="0"/>
                      <w:sz w:val="32"/>
                      <w:szCs w:val="32"/>
                    </w:rPr>
                    <w:t>年</w:t>
                  </w:r>
                  <w:r>
                    <w:rPr>
                      <w:rFonts w:ascii="Times New Roman" w:hAnsi="Times New Roman" w:eastAsia="仿宋_GB2312" w:cs="Times New Roman"/>
                      <w:kern w:val="0"/>
                      <w:sz w:val="32"/>
                      <w:szCs w:val="32"/>
                    </w:rPr>
                    <w:t>11</w:t>
                  </w:r>
                  <w:r>
                    <w:rPr>
                      <w:rFonts w:ascii="楷体_GB2312" w:hAnsi="Times New Roman" w:eastAsia="楷体_GB2312" w:cs="Times New Roman"/>
                      <w:kern w:val="0"/>
                      <w:sz w:val="32"/>
                      <w:szCs w:val="32"/>
                    </w:rPr>
                    <w:t>月至</w:t>
                  </w:r>
                  <w:r>
                    <w:rPr>
                      <w:rFonts w:ascii="Times New Roman" w:hAnsi="Times New Roman" w:eastAsia="仿宋_GB2312" w:cs="Times New Roman"/>
                      <w:kern w:val="0"/>
                      <w:sz w:val="32"/>
                      <w:szCs w:val="32"/>
                    </w:rPr>
                    <w:t>2024</w:t>
                  </w:r>
                  <w:r>
                    <w:rPr>
                      <w:rFonts w:ascii="楷体_GB2312" w:hAnsi="Times New Roman" w:eastAsia="楷体_GB2312" w:cs="Times New Roman"/>
                      <w:kern w:val="0"/>
                      <w:sz w:val="32"/>
                      <w:szCs w:val="32"/>
                    </w:rPr>
                    <w:t>年</w:t>
                  </w:r>
                  <w:r>
                    <w:rPr>
                      <w:rFonts w:ascii="Times New Roman" w:hAnsi="Times New Roman" w:eastAsia="仿宋_GB2312" w:cs="Times New Roman"/>
                      <w:kern w:val="0"/>
                      <w:sz w:val="32"/>
                      <w:szCs w:val="32"/>
                    </w:rPr>
                    <w:t>12</w:t>
                  </w:r>
                  <w:r>
                    <w:rPr>
                      <w:rFonts w:ascii="楷体_GB2312" w:hAnsi="Times New Roman" w:eastAsia="楷体_GB2312" w:cs="Times New Roman"/>
                      <w:kern w:val="0"/>
                      <w:sz w:val="32"/>
                      <w:szCs w:val="32"/>
                    </w:rPr>
                    <w:t>月）。</w:t>
                  </w:r>
                  <w:r>
                    <w:rPr>
                      <w:rFonts w:ascii="仿宋_GB2312" w:hAnsi="Times New Roman" w:eastAsia="仿宋_GB2312" w:cs="Times New Roman"/>
                      <w:kern w:val="0"/>
                      <w:sz w:val="32"/>
                      <w:szCs w:val="32"/>
                    </w:rPr>
                    <w:t>各地各警种部门进一步细化任务清单，明确责任警种部门、责任人，倒排时间进度，通过挂图作战、挂账销号，确保我省公安数字督察顺利推进。适时组织开展</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全省公安数字督察示范中心</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全省公安数字督察示范单位</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创建活动及比武竞赛，进一步浓厚工作氛围。</w:t>
                  </w:r>
                </w:p>
                <w:p w14:paraId="3D1E24B2">
                  <w:pPr>
                    <w:widowControl/>
                    <w:wordWrap w:val="0"/>
                    <w:ind w:firstLine="640"/>
                    <w:jc w:val="left"/>
                    <w:rPr>
                      <w:rFonts w:ascii="仿宋_GB2312" w:hAnsi="宋体" w:eastAsia="仿宋_GB2312" w:cs="宋体"/>
                      <w:kern w:val="0"/>
                      <w:sz w:val="26"/>
                      <w:szCs w:val="26"/>
                    </w:rPr>
                  </w:pPr>
                  <w:r>
                    <w:rPr>
                      <w:rFonts w:ascii="楷体_GB2312" w:hAnsi="Times New Roman" w:eastAsia="楷体_GB2312" w:cs="Times New Roman"/>
                      <w:kern w:val="0"/>
                      <w:sz w:val="32"/>
                      <w:szCs w:val="32"/>
                    </w:rPr>
                    <w:t>（三）巩固提升阶段（</w:t>
                  </w:r>
                  <w:r>
                    <w:rPr>
                      <w:rFonts w:ascii="Times New Roman" w:hAnsi="Times New Roman" w:eastAsia="仿宋_GB2312" w:cs="Times New Roman"/>
                      <w:kern w:val="0"/>
                      <w:sz w:val="32"/>
                      <w:szCs w:val="32"/>
                    </w:rPr>
                    <w:t>2025</w:t>
                  </w:r>
                  <w:r>
                    <w:rPr>
                      <w:rFonts w:ascii="楷体_GB2312" w:hAnsi="Times New Roman" w:eastAsia="楷体_GB2312" w:cs="Times New Roman"/>
                      <w:kern w:val="0"/>
                      <w:sz w:val="32"/>
                      <w:szCs w:val="32"/>
                    </w:rPr>
                    <w:t>年</w:t>
                  </w:r>
                  <w:r>
                    <w:rPr>
                      <w:rFonts w:ascii="Times New Roman" w:hAnsi="Times New Roman" w:eastAsia="仿宋_GB2312" w:cs="Times New Roman"/>
                      <w:kern w:val="0"/>
                      <w:sz w:val="32"/>
                      <w:szCs w:val="32"/>
                    </w:rPr>
                    <w:t>1</w:t>
                  </w:r>
                  <w:r>
                    <w:rPr>
                      <w:rFonts w:ascii="楷体_GB2312" w:hAnsi="Times New Roman" w:eastAsia="楷体_GB2312" w:cs="Times New Roman"/>
                      <w:kern w:val="0"/>
                      <w:sz w:val="32"/>
                      <w:szCs w:val="32"/>
                    </w:rPr>
                    <w:t>月至</w:t>
                  </w:r>
                  <w:r>
                    <w:rPr>
                      <w:rFonts w:ascii="Times New Roman" w:hAnsi="Times New Roman" w:eastAsia="仿宋_GB2312" w:cs="Times New Roman"/>
                      <w:kern w:val="0"/>
                      <w:sz w:val="32"/>
                      <w:szCs w:val="32"/>
                    </w:rPr>
                    <w:t>2025</w:t>
                  </w:r>
                  <w:r>
                    <w:rPr>
                      <w:rFonts w:ascii="楷体_GB2312" w:hAnsi="Times New Roman" w:eastAsia="楷体_GB2312" w:cs="Times New Roman"/>
                      <w:kern w:val="0"/>
                      <w:sz w:val="32"/>
                      <w:szCs w:val="32"/>
                    </w:rPr>
                    <w:t>年</w:t>
                  </w:r>
                  <w:r>
                    <w:rPr>
                      <w:rFonts w:ascii="Times New Roman" w:hAnsi="Times New Roman" w:eastAsia="仿宋_GB2312" w:cs="Times New Roman"/>
                      <w:kern w:val="0"/>
                      <w:sz w:val="32"/>
                      <w:szCs w:val="32"/>
                    </w:rPr>
                    <w:t>12</w:t>
                  </w:r>
                  <w:r>
                    <w:rPr>
                      <w:rFonts w:ascii="楷体_GB2312" w:hAnsi="Times New Roman" w:eastAsia="楷体_GB2312" w:cs="Times New Roman"/>
                      <w:kern w:val="0"/>
                      <w:sz w:val="32"/>
                      <w:szCs w:val="32"/>
                    </w:rPr>
                    <w:t>月）。</w:t>
                  </w:r>
                  <w:r>
                    <w:rPr>
                      <w:rFonts w:ascii="仿宋_GB2312" w:hAnsi="Times New Roman" w:eastAsia="仿宋_GB2312" w:cs="Times New Roman"/>
                      <w:kern w:val="0"/>
                      <w:sz w:val="32"/>
                      <w:szCs w:val="32"/>
                    </w:rPr>
                    <w:t>各地各警种部门按照工作进度，认真盘点前期经验做法和不足，全力补齐弱项，全面巩固成果，形成一批可复制、可推广的经验及做法。</w:t>
                  </w:r>
                </w:p>
                <w:p w14:paraId="4B0DD284">
                  <w:pPr>
                    <w:widowControl/>
                    <w:wordWrap w:val="0"/>
                    <w:ind w:firstLine="640"/>
                    <w:jc w:val="left"/>
                    <w:rPr>
                      <w:rFonts w:ascii="仿宋_GB2312" w:hAnsi="宋体" w:eastAsia="仿宋_GB2312" w:cs="宋体"/>
                      <w:kern w:val="0"/>
                      <w:sz w:val="26"/>
                      <w:szCs w:val="26"/>
                    </w:rPr>
                  </w:pPr>
                  <w:r>
                    <w:rPr>
                      <w:rFonts w:hint="eastAsia" w:ascii="黑体" w:hAnsi="黑体" w:eastAsia="黑体" w:cs="宋体"/>
                      <w:kern w:val="0"/>
                      <w:sz w:val="32"/>
                      <w:szCs w:val="32"/>
                    </w:rPr>
                    <w:t>五、工作要求</w:t>
                  </w:r>
                </w:p>
                <w:p w14:paraId="00ACCE07">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（一）切实提高思想认识。</w:t>
                  </w:r>
                  <w:r>
                    <w:rPr>
                      <w:rFonts w:ascii="仿宋_GB2312" w:hAnsi="Times New Roman" w:eastAsia="仿宋_GB2312" w:cs="Times New Roman"/>
                      <w:kern w:val="0"/>
                      <w:sz w:val="32"/>
                      <w:szCs w:val="32"/>
                    </w:rPr>
                    <w:t>各级公安机关</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一把手</w:t>
                  </w:r>
                  <w:r>
                    <w:rPr>
                      <w:rFonts w:ascii="Times New Roman" w:hAnsi="Times New Roman" w:eastAsia="仿宋_GB2312" w:cs="Times New Roman"/>
                      <w:kern w:val="0"/>
                      <w:sz w:val="32"/>
                      <w:szCs w:val="32"/>
                    </w:rPr>
                    <w:t>”</w:t>
                  </w:r>
                  <w:r>
                    <w:rPr>
                      <w:rFonts w:ascii="仿宋_GB2312" w:hAnsi="Times New Roman" w:eastAsia="仿宋_GB2312" w:cs="Times New Roman"/>
                      <w:kern w:val="0"/>
                      <w:sz w:val="32"/>
                      <w:szCs w:val="32"/>
                    </w:rPr>
                    <w:t>是落实全省公安数字督察三年行动计划的第一责任人，要负起总责、亲自过问、常抓不懈。要充分发挥各级数字督察领导小组作用，结合实际研究制定具体实施举措，细化任务分工、明确时间节点，级级压实责任、层层抓好落实。</w:t>
                  </w:r>
                </w:p>
                <w:p w14:paraId="1015F78A">
                  <w:pPr>
                    <w:widowControl/>
                    <w:wordWrap w:val="0"/>
                    <w:ind w:firstLine="640"/>
                    <w:jc w:val="left"/>
                    <w:rPr>
                      <w:rFonts w:ascii="仿宋_GB2312" w:hAnsi="宋体" w:eastAsia="仿宋_GB2312" w:cs="宋体"/>
                      <w:kern w:val="0"/>
                      <w:sz w:val="26"/>
                      <w:szCs w:val="26"/>
                    </w:rPr>
                  </w:pPr>
                  <w:r>
                    <w:rPr>
                      <w:rFonts w:hint="eastAsia" w:ascii="楷体_GB2312" w:hAnsi="宋体" w:eastAsia="楷体_GB2312" w:cs="宋体"/>
                      <w:kern w:val="0"/>
                      <w:sz w:val="32"/>
                      <w:szCs w:val="32"/>
                    </w:rPr>
                    <w:t>（二）切实强化工作合力。</w:t>
                  </w:r>
                  <w:r>
                    <w:rPr>
                      <w:rFonts w:ascii="仿宋_GB2312" w:hAnsi="Times New Roman" w:eastAsia="仿宋_GB2312" w:cs="Times New Roman"/>
                      <w:kern w:val="0"/>
                      <w:sz w:val="32"/>
                      <w:szCs w:val="32"/>
                    </w:rPr>
                    <w:t>要加大全省公安数字督察三年行动计划宣贯力度，统筹协调警种部门加强落实情况的调度指导。各级公安机关相关责任警种部门要站在全局高度融入数字督察，密切协作配合、强化支持保障，推动形成强大工作合力。</w:t>
                  </w:r>
                </w:p>
                <w:p w14:paraId="73056B3C">
                  <w:pPr>
                    <w:widowControl/>
                    <w:wordWrap w:val="0"/>
                    <w:jc w:val="left"/>
                    <w:rPr>
                      <w:rFonts w:ascii="宋体" w:hAnsi="宋体" w:eastAsia="宋体" w:cs="宋体"/>
                      <w:kern w:val="0"/>
                      <w:sz w:val="24"/>
                      <w:szCs w:val="24"/>
                    </w:rPr>
                  </w:pPr>
                  <w:r>
                    <w:rPr>
                      <w:rFonts w:hint="eastAsia" w:ascii="楷体_GB2312" w:hAnsi="宋体" w:eastAsia="楷体_GB2312" w:cs="宋体"/>
                      <w:kern w:val="0"/>
                      <w:sz w:val="32"/>
                      <w:szCs w:val="32"/>
                    </w:rPr>
                    <w:t>   （三）切实加强督导检查。</w:t>
                  </w:r>
                  <w:r>
                    <w:rPr>
                      <w:rFonts w:ascii="仿宋_GB2312" w:hAnsi="Times New Roman" w:eastAsia="仿宋_GB2312" w:cs="Times New Roman"/>
                      <w:kern w:val="0"/>
                      <w:sz w:val="32"/>
                      <w:szCs w:val="32"/>
                    </w:rPr>
                    <w:t>各级数字督察领导小组要建立三年行动计划实施进展情况定期评估、通报、调度机制，加强三年行动计划的督促落实，通过交叉检查、专项督导加大推进力度。要坚持问题导向，敢啃硬骨头，对重点地区、薄弱地区加强指导检查、约谈通报、挂牌整治，确保各项措施落实到位。</w:t>
                  </w:r>
                </w:p>
              </w:tc>
            </w:tr>
            <w:tr w14:paraId="01106E0E">
              <w:tblPrEx>
                <w:tblCellMar>
                  <w:top w:w="15" w:type="dxa"/>
                  <w:left w:w="15" w:type="dxa"/>
                  <w:bottom w:w="15" w:type="dxa"/>
                  <w:right w:w="15" w:type="dxa"/>
                </w:tblCellMar>
              </w:tblPrEx>
              <w:trPr>
                <w:tblCellSpacing w:w="15" w:type="dxa"/>
                <w:jc w:val="center"/>
              </w:trPr>
              <w:tc>
                <w:tcPr>
                  <w:tcW w:w="0" w:type="auto"/>
                  <w:tcMar>
                    <w:top w:w="15" w:type="dxa"/>
                    <w:left w:w="480" w:type="dxa"/>
                    <w:bottom w:w="15" w:type="dxa"/>
                    <w:right w:w="15" w:type="dxa"/>
                  </w:tcMar>
                  <w:vAlign w:val="center"/>
                </w:tcPr>
                <w:p w14:paraId="7E7F1A64">
                  <w:pPr>
                    <w:widowControl/>
                    <w:jc w:val="left"/>
                    <w:rPr>
                      <w:rFonts w:ascii="宋体" w:hAnsi="宋体" w:eastAsia="宋体" w:cs="宋体"/>
                      <w:kern w:val="0"/>
                      <w:sz w:val="24"/>
                      <w:szCs w:val="24"/>
                    </w:rPr>
                  </w:pPr>
                </w:p>
              </w:tc>
            </w:tr>
          </w:tbl>
          <w:p w14:paraId="18A2DE67">
            <w:pPr>
              <w:widowControl/>
              <w:jc w:val="left"/>
              <w:rPr>
                <w:rFonts w:ascii="微软雅黑" w:hAnsi="微软雅黑" w:eastAsia="微软雅黑" w:cs="宋体"/>
                <w:kern w:val="0"/>
                <w:sz w:val="24"/>
                <w:szCs w:val="24"/>
              </w:rPr>
            </w:pPr>
          </w:p>
        </w:tc>
      </w:tr>
      <w:tr w14:paraId="083A4228">
        <w:tblPrEx>
          <w:tblCellMar>
            <w:top w:w="0" w:type="dxa"/>
            <w:left w:w="0" w:type="dxa"/>
            <w:bottom w:w="0" w:type="dxa"/>
            <w:right w:w="0" w:type="dxa"/>
          </w:tblCellMar>
        </w:tblPrEx>
        <w:trPr>
          <w:tblCellSpacing w:w="0" w:type="dxa"/>
          <w:jc w:val="center"/>
        </w:trPr>
        <w:tc>
          <w:tcPr>
            <w:tcW w:w="0" w:type="auto"/>
            <w:tcBorders>
              <w:top w:val="nil"/>
              <w:left w:val="nil"/>
              <w:bottom w:val="nil"/>
              <w:right w:val="nil"/>
            </w:tcBorders>
            <w:shd w:val="clear" w:color="auto" w:fill="FFFFFF"/>
            <w:vAlign w:val="center"/>
          </w:tcPr>
          <w:tbl>
            <w:tblPr>
              <w:tblStyle w:val="4"/>
              <w:tblW w:w="9000" w:type="dxa"/>
              <w:jc w:val="center"/>
              <w:tblCellSpacing w:w="15" w:type="dxa"/>
              <w:tblLayout w:type="autofit"/>
              <w:tblCellMar>
                <w:top w:w="15" w:type="dxa"/>
                <w:left w:w="15" w:type="dxa"/>
                <w:bottom w:w="15" w:type="dxa"/>
                <w:right w:w="15" w:type="dxa"/>
              </w:tblCellMar>
            </w:tblPr>
            <w:tblGrid>
              <w:gridCol w:w="9000"/>
            </w:tblGrid>
            <w:tr w14:paraId="1AD315C3">
              <w:tblPrEx>
                <w:tblCellMar>
                  <w:top w:w="15" w:type="dxa"/>
                  <w:left w:w="15" w:type="dxa"/>
                  <w:bottom w:w="15" w:type="dxa"/>
                  <w:right w:w="15" w:type="dxa"/>
                </w:tblCellMar>
              </w:tblPrEx>
              <w:trPr>
                <w:tblCellSpacing w:w="15" w:type="dxa"/>
                <w:jc w:val="center"/>
              </w:trPr>
              <w:tc>
                <w:tcPr>
                  <w:tcW w:w="0" w:type="auto"/>
                  <w:vAlign w:val="center"/>
                </w:tcPr>
                <w:p w14:paraId="783347E4">
                  <w:pPr>
                    <w:widowControl/>
                    <w:jc w:val="left"/>
                    <w:rPr>
                      <w:rFonts w:ascii="Times New Roman" w:hAnsi="Times New Roman" w:eastAsia="Times New Roman" w:cs="Times New Roman"/>
                      <w:kern w:val="0"/>
                      <w:sz w:val="20"/>
                      <w:szCs w:val="20"/>
                    </w:rPr>
                  </w:pPr>
                </w:p>
              </w:tc>
            </w:tr>
          </w:tbl>
          <w:p w14:paraId="444C745C">
            <w:pPr>
              <w:widowControl/>
              <w:jc w:val="left"/>
              <w:rPr>
                <w:rFonts w:ascii="微软雅黑" w:hAnsi="微软雅黑" w:eastAsia="微软雅黑" w:cs="宋体"/>
                <w:kern w:val="0"/>
                <w:sz w:val="24"/>
                <w:szCs w:val="24"/>
              </w:rPr>
            </w:pPr>
          </w:p>
        </w:tc>
      </w:tr>
      <w:tr w14:paraId="202CF1FD">
        <w:trPr>
          <w:tblCellSpacing w:w="0" w:type="dxa"/>
          <w:jc w:val="center"/>
        </w:trPr>
        <w:tc>
          <w:tcPr>
            <w:tcW w:w="0" w:type="auto"/>
            <w:tcBorders>
              <w:top w:val="nil"/>
              <w:left w:val="nil"/>
              <w:bottom w:val="nil"/>
              <w:right w:val="nil"/>
            </w:tcBorders>
            <w:shd w:val="clear" w:color="auto" w:fill="FFFFFF"/>
            <w:vAlign w:val="center"/>
          </w:tcPr>
          <w:tbl>
            <w:tblPr>
              <w:tblStyle w:val="4"/>
              <w:tblW w:w="9000" w:type="dxa"/>
              <w:jc w:val="center"/>
              <w:tblCellSpacing w:w="15" w:type="dxa"/>
              <w:tblLayout w:type="autofit"/>
              <w:tblCellMar>
                <w:top w:w="15" w:type="dxa"/>
                <w:left w:w="15" w:type="dxa"/>
                <w:bottom w:w="15" w:type="dxa"/>
                <w:right w:w="15" w:type="dxa"/>
              </w:tblCellMar>
            </w:tblPr>
            <w:tblGrid>
              <w:gridCol w:w="9000"/>
            </w:tblGrid>
            <w:tr w14:paraId="4B0631B7">
              <w:trPr>
                <w:tblCellSpacing w:w="15" w:type="dxa"/>
                <w:jc w:val="center"/>
              </w:trPr>
              <w:tc>
                <w:tcPr>
                  <w:tcW w:w="0" w:type="auto"/>
                  <w:vAlign w:val="center"/>
                </w:tcPr>
                <w:p w14:paraId="0E36FB78">
                  <w:pPr>
                    <w:widowControl/>
                    <w:jc w:val="right"/>
                    <w:rPr>
                      <w:rFonts w:ascii="宋体" w:hAnsi="宋体" w:eastAsia="宋体" w:cs="宋体"/>
                      <w:kern w:val="0"/>
                      <w:sz w:val="24"/>
                      <w:szCs w:val="24"/>
                    </w:rPr>
                  </w:pPr>
                  <w:r>
                    <w:rPr>
                      <w:rFonts w:ascii="宋体" w:hAnsi="宋体" w:eastAsia="宋体" w:cs="宋体"/>
                      <w:kern w:val="0"/>
                      <w:sz w:val="24"/>
                      <w:szCs w:val="24"/>
                    </w:rPr>
                    <w:t>2023-10-24 10:03</w:t>
                  </w:r>
                </w:p>
              </w:tc>
            </w:tr>
            <w:tr w14:paraId="5B1E4BFE">
              <w:tblPrEx>
                <w:tblCellMar>
                  <w:top w:w="15" w:type="dxa"/>
                  <w:left w:w="15" w:type="dxa"/>
                  <w:bottom w:w="15" w:type="dxa"/>
                  <w:right w:w="15" w:type="dxa"/>
                </w:tblCellMar>
              </w:tblPrEx>
              <w:trPr>
                <w:tblCellSpacing w:w="15" w:type="dxa"/>
                <w:jc w:val="center"/>
              </w:trPr>
              <w:tc>
                <w:tcPr>
                  <w:tcW w:w="0" w:type="auto"/>
                  <w:vAlign w:val="center"/>
                </w:tcPr>
                <w:p w14:paraId="336D1A67">
                  <w:pPr>
                    <w:widowControl/>
                    <w:jc w:val="right"/>
                    <w:rPr>
                      <w:rFonts w:ascii="宋体" w:hAnsi="宋体" w:eastAsia="宋体" w:cs="宋体"/>
                      <w:kern w:val="0"/>
                      <w:sz w:val="24"/>
                      <w:szCs w:val="24"/>
                    </w:rPr>
                  </w:pPr>
                  <w:r>
                    <w:rPr>
                      <w:rFonts w:ascii="宋体" w:hAnsi="宋体" w:eastAsia="宋体" w:cs="宋体"/>
                      <w:kern w:val="0"/>
                      <w:sz w:val="24"/>
                      <w:szCs w:val="24"/>
                    </w:rPr>
                    <w:t>总共阅读  次</w:t>
                  </w:r>
                </w:p>
              </w:tc>
            </w:tr>
          </w:tbl>
          <w:p w14:paraId="68C73EAD">
            <w:pPr>
              <w:widowControl/>
              <w:jc w:val="left"/>
              <w:rPr>
                <w:rFonts w:ascii="微软雅黑" w:hAnsi="微软雅黑" w:eastAsia="微软雅黑" w:cs="宋体"/>
                <w:kern w:val="0"/>
                <w:sz w:val="24"/>
                <w:szCs w:val="24"/>
              </w:rPr>
            </w:pPr>
          </w:p>
        </w:tc>
      </w:tr>
    </w:tbl>
    <w:p w14:paraId="72EA13F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7DB"/>
    <w:rsid w:val="00A637DB"/>
    <w:rsid w:val="00A97FDE"/>
    <w:rsid w:val="00ED098A"/>
    <w:rsid w:val="3D655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Plain Text"/>
    <w:basedOn w:val="1"/>
    <w:link w:val="6"/>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纯文本 Char"/>
    <w:basedOn w:val="5"/>
    <w:link w:val="2"/>
    <w:semiHidden/>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4641</Words>
  <Characters>4751</Characters>
  <Lines>35</Lines>
  <Paragraphs>9</Paragraphs>
  <TotalTime>0</TotalTime>
  <ScaleCrop>false</ScaleCrop>
  <LinksUpToDate>false</LinksUpToDate>
  <CharactersWithSpaces>4860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2025-02-18T02:00:00Z</dcterms:created>
  <dc:creator>IBM</dc:creator>
  <cp:lastModifiedBy>马丽娜</cp:lastModifiedBy>
  <dcterms:modified xsi:type="dcterms:W3CDTF">2025-03-24T08:14:37Z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403FB09E29BE419286761C316B253D3E_12</vt:lpwstr>
  </property>
</Properties>
</file>