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4027" w:type="pct"/>
        <w:jc w:val="center"/>
        <w:tblCellSpacing w:w="0" w:type="dxa"/>
        <w:shd w:val="clear" w:color="auto" w:fill="FFFFFF"/>
        <w:tblLayout w:type="autofit"/>
        <w:tblCellMar>
          <w:top w:w="0" w:type="dxa"/>
          <w:left w:w="0" w:type="dxa"/>
          <w:bottom w:w="0" w:type="dxa"/>
          <w:right w:w="0" w:type="dxa"/>
        </w:tblCellMar>
      </w:tblPr>
      <w:tblGrid>
        <w:gridCol w:w="6690"/>
      </w:tblGrid>
      <w:tr w14:paraId="19824E8A">
        <w:trPr>
          <w:tblCellSpacing w:w="0" w:type="dxa"/>
          <w:jc w:val="center"/>
        </w:trPr>
        <w:tc>
          <w:tcPr>
            <w:tcW w:w="5000" w:type="pct"/>
            <w:shd w:val="clear" w:color="auto" w:fill="FFFFFF"/>
          </w:tcPr>
          <w:tbl>
            <w:tblPr>
              <w:tblStyle w:val="6"/>
              <w:tblW w:w="5000" w:type="pct"/>
              <w:jc w:val="center"/>
              <w:tblCellSpacing w:w="11" w:type="dxa"/>
              <w:tblLayout w:type="autofit"/>
              <w:tblCellMar>
                <w:top w:w="0" w:type="dxa"/>
                <w:left w:w="0" w:type="dxa"/>
                <w:bottom w:w="0" w:type="dxa"/>
                <w:right w:w="0" w:type="dxa"/>
              </w:tblCellMar>
            </w:tblPr>
            <w:tblGrid>
              <w:gridCol w:w="6690"/>
            </w:tblGrid>
            <w:tr w14:paraId="02620E9D">
              <w:tblPrEx>
                <w:tblCellMar>
                  <w:top w:w="0" w:type="dxa"/>
                  <w:left w:w="0" w:type="dxa"/>
                  <w:bottom w:w="0" w:type="dxa"/>
                  <w:right w:w="0" w:type="dxa"/>
                </w:tblCellMar>
              </w:tblPrEx>
              <w:trPr>
                <w:tblCellSpacing w:w="11" w:type="dxa"/>
                <w:jc w:val="center"/>
              </w:trPr>
              <w:tc>
                <w:tcPr>
                  <w:tcW w:w="0" w:type="auto"/>
                </w:tcPr>
                <w:tbl>
                  <w:tblPr>
                    <w:tblStyle w:val="6"/>
                    <w:tblW w:w="6646" w:type="dxa"/>
                    <w:jc w:val="center"/>
                    <w:tblCellSpacing w:w="0" w:type="dxa"/>
                    <w:tblLayout w:type="autofit"/>
                    <w:tblCellMar>
                      <w:top w:w="0" w:type="dxa"/>
                      <w:left w:w="0" w:type="dxa"/>
                      <w:bottom w:w="0" w:type="dxa"/>
                      <w:right w:w="0" w:type="dxa"/>
                    </w:tblCellMar>
                  </w:tblPr>
                  <w:tblGrid>
                    <w:gridCol w:w="6646"/>
                  </w:tblGrid>
                  <w:tr w14:paraId="7FA2E96B">
                    <w:trPr>
                      <w:trHeight w:val="443" w:hRule="atLeast"/>
                      <w:tblCellSpacing w:w="0" w:type="dxa"/>
                      <w:jc w:val="center"/>
                    </w:trPr>
                    <w:tc>
                      <w:tcPr>
                        <w:tcW w:w="0" w:type="auto"/>
                        <w:vAlign w:val="center"/>
                      </w:tcPr>
                      <w:p w14:paraId="3660CE7C">
                        <w:pPr>
                          <w:widowControl/>
                          <w:spacing w:line="403" w:lineRule="atLeast"/>
                          <w:jc w:val="center"/>
                          <w:rPr>
                            <w:rFonts w:ascii="宋体" w:hAnsi="宋体" w:eastAsia="宋体" w:cs="宋体"/>
                            <w:kern w:val="0"/>
                            <w:sz w:val="24"/>
                            <w:szCs w:val="24"/>
                          </w:rPr>
                        </w:pPr>
                        <w:r>
                          <w:rPr>
                            <w:rFonts w:ascii="黑体" w:hAnsi="黑体" w:eastAsia="黑体" w:cs="宋体"/>
                            <w:kern w:val="0"/>
                            <w:sz w:val="36"/>
                            <w:szCs w:val="36"/>
                          </w:rPr>
                          <w:t>全省公安机关人民警察执法过错责任追究及依法履职免责若干规定</w:t>
                        </w:r>
                        <w:bookmarkStart w:id="0" w:name="_GoBack"/>
                        <w:bookmarkEnd w:id="0"/>
                      </w:p>
                    </w:tc>
                  </w:tr>
                  <w:tr w14:paraId="21C49F13">
                    <w:tblPrEx>
                      <w:tblCellMar>
                        <w:top w:w="0" w:type="dxa"/>
                        <w:left w:w="0" w:type="dxa"/>
                        <w:bottom w:w="0" w:type="dxa"/>
                        <w:right w:w="0" w:type="dxa"/>
                      </w:tblCellMar>
                    </w:tblPrEx>
                    <w:trPr>
                      <w:tblCellSpacing w:w="0" w:type="dxa"/>
                      <w:jc w:val="center"/>
                    </w:trPr>
                    <w:tc>
                      <w:tcPr>
                        <w:tcW w:w="0" w:type="auto"/>
                        <w:vAlign w:val="center"/>
                      </w:tcPr>
                      <w:tbl>
                        <w:tblPr>
                          <w:tblStyle w:val="6"/>
                          <w:tblW w:w="6646" w:type="dxa"/>
                          <w:jc w:val="center"/>
                          <w:tblCellSpacing w:w="0" w:type="dxa"/>
                          <w:shd w:val="clear" w:color="auto" w:fill="FFFFFF"/>
                          <w:tblLayout w:type="autofit"/>
                          <w:tblCellMar>
                            <w:top w:w="0" w:type="dxa"/>
                            <w:left w:w="0" w:type="dxa"/>
                            <w:bottom w:w="0" w:type="dxa"/>
                            <w:right w:w="0" w:type="dxa"/>
                          </w:tblCellMar>
                        </w:tblPr>
                        <w:tblGrid>
                          <w:gridCol w:w="6646"/>
                        </w:tblGrid>
                        <w:tr w14:paraId="71FB5AAE">
                          <w:tblPrEx>
                            <w:tblCellMar>
                              <w:top w:w="0" w:type="dxa"/>
                              <w:left w:w="0" w:type="dxa"/>
                              <w:bottom w:w="0" w:type="dxa"/>
                              <w:right w:w="0" w:type="dxa"/>
                            </w:tblCellMar>
                          </w:tblPrEx>
                          <w:trPr>
                            <w:tblCellSpacing w:w="0" w:type="dxa"/>
                            <w:jc w:val="center"/>
                          </w:trPr>
                          <w:tc>
                            <w:tcPr>
                              <w:tcW w:w="0" w:type="auto"/>
                              <w:tcBorders>
                                <w:top w:val="nil"/>
                                <w:left w:val="nil"/>
                                <w:bottom w:val="nil"/>
                                <w:right w:val="nil"/>
                              </w:tcBorders>
                              <w:shd w:val="clear" w:color="auto" w:fill="FFFFFF"/>
                              <w:vAlign w:val="center"/>
                            </w:tcPr>
                            <w:tbl>
                              <w:tblPr>
                                <w:tblStyle w:val="6"/>
                                <w:tblW w:w="6646" w:type="dxa"/>
                                <w:jc w:val="center"/>
                                <w:tblCellSpacing w:w="15" w:type="dxa"/>
                                <w:tblLayout w:type="autofit"/>
                                <w:tblCellMar>
                                  <w:top w:w="15" w:type="dxa"/>
                                  <w:left w:w="15" w:type="dxa"/>
                                  <w:bottom w:w="15" w:type="dxa"/>
                                  <w:right w:w="15" w:type="dxa"/>
                                </w:tblCellMar>
                              </w:tblPr>
                              <w:tblGrid>
                                <w:gridCol w:w="6646"/>
                              </w:tblGrid>
                              <w:tr w14:paraId="733B7F99">
                                <w:tblPrEx>
                                  <w:tblCellMar>
                                    <w:top w:w="15" w:type="dxa"/>
                                    <w:left w:w="15" w:type="dxa"/>
                                    <w:bottom w:w="15" w:type="dxa"/>
                                    <w:right w:w="15" w:type="dxa"/>
                                  </w:tblCellMar>
                                </w:tblPrEx>
                                <w:trPr>
                                  <w:tblCellSpacing w:w="15" w:type="dxa"/>
                                  <w:jc w:val="center"/>
                                </w:trPr>
                                <w:tc>
                                  <w:tcPr>
                                    <w:tcW w:w="0" w:type="auto"/>
                                    <w:vAlign w:val="center"/>
                                  </w:tcPr>
                                  <w:p w14:paraId="066F1FBA">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为切实落实执法责任制，充分保障和有效促进广大人民警察依法履行职责，根据公安部《公安机关人民警察执法过错责任追究规定》及其他有关规定，结合本省公安实际，现就全省公安机关人民警察执法过错责任追究及依法履职免责有关事项作如下规定。</w:t>
                                    </w:r>
                                    <w:r>
                                      <w:rPr>
                                        <w:rFonts w:hint="eastAsia" w:ascii="宋体" w:hAnsi="宋体" w:eastAsia="宋体" w:cs="宋体"/>
                                        <w:kern w:val="0"/>
                                        <w:sz w:val="32"/>
                                        <w:szCs w:val="32"/>
                                      </w:rPr>
                                      <w:t></w:t>
                                    </w:r>
                                  </w:p>
                                  <w:p w14:paraId="438A687B">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一、职责分工</w:t>
                                    </w:r>
                                    <w:r>
                                      <w:rPr>
                                        <w:rFonts w:hint="eastAsia" w:ascii="宋体" w:hAnsi="宋体" w:eastAsia="宋体" w:cs="宋体"/>
                                        <w:kern w:val="0"/>
                                        <w:sz w:val="32"/>
                                        <w:szCs w:val="32"/>
                                      </w:rPr>
                                      <w:t></w:t>
                                    </w:r>
                                  </w:p>
                                  <w:p w14:paraId="0111E7C1">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（一）各级公安机关执法管理委员会负责执法过错责任和依法履职免责的认定和处理工作，执法管理委员会下设的办公室具体负责日常事务性工作。</w:t>
                                    </w:r>
                                    <w:r>
                                      <w:rPr>
                                        <w:rFonts w:hint="eastAsia" w:ascii="宋体" w:hAnsi="宋体" w:eastAsia="宋体" w:cs="宋体"/>
                                        <w:kern w:val="0"/>
                                        <w:sz w:val="32"/>
                                        <w:szCs w:val="32"/>
                                      </w:rPr>
                                      <w:t></w:t>
                                    </w:r>
                                  </w:p>
                                  <w:p w14:paraId="5B2671CE">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二）公安纪检监察、督察、审计、信访、法制以及有关业务部门，在各自职责范围内负责调查执法过错追究和依法履职免责的案（事）件。对重大复杂疑难或者影响较大的案（事）件，公安机关应当成立专门的调查小组，开展专案调查。</w:t>
                                    </w:r>
                                    <w:r>
                                      <w:rPr>
                                        <w:rFonts w:hint="eastAsia" w:ascii="宋体" w:hAnsi="宋体" w:eastAsia="宋体" w:cs="宋体"/>
                                        <w:kern w:val="0"/>
                                        <w:sz w:val="32"/>
                                        <w:szCs w:val="32"/>
                                      </w:rPr>
                                      <w:t></w:t>
                                    </w:r>
                                  </w:p>
                                  <w:p w14:paraId="331872ED">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1.有下列情形之一，可能追究执法过错责任的，由纪检监察部门负责调查：</w:t>
                                    </w:r>
                                    <w:r>
                                      <w:rPr>
                                        <w:rFonts w:hint="eastAsia" w:ascii="宋体" w:hAnsi="宋体" w:eastAsia="宋体" w:cs="宋体"/>
                                        <w:kern w:val="0"/>
                                        <w:sz w:val="32"/>
                                        <w:szCs w:val="32"/>
                                      </w:rPr>
                                      <w:t></w:t>
                                    </w:r>
                                  </w:p>
                                  <w:p w14:paraId="4C689D9C">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(1)公安机关领导人员违法违纪的；</w:t>
                                    </w:r>
                                    <w:r>
                                      <w:rPr>
                                        <w:rFonts w:hint="eastAsia" w:ascii="宋体" w:hAnsi="宋体" w:eastAsia="宋体" w:cs="宋体"/>
                                        <w:kern w:val="0"/>
                                        <w:sz w:val="32"/>
                                        <w:szCs w:val="32"/>
                                      </w:rPr>
                                      <w:t></w:t>
                                    </w:r>
                                  </w:p>
                                  <w:p w14:paraId="629917B6">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(2)涉嫌刑讯逼供或者殴打、体罚、虐待涉案人员的；</w:t>
                                    </w:r>
                                    <w:r>
                                      <w:rPr>
                                        <w:rFonts w:hint="eastAsia" w:ascii="宋体" w:hAnsi="宋体" w:eastAsia="宋体" w:cs="宋体"/>
                                        <w:kern w:val="0"/>
                                        <w:sz w:val="32"/>
                                        <w:szCs w:val="32"/>
                                      </w:rPr>
                                      <w:t></w:t>
                                    </w:r>
                                  </w:p>
                                  <w:p w14:paraId="3790CC51">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(3)被看管、监管涉案人员非正常死亡、脱逃的；</w:t>
                                    </w:r>
                                    <w:r>
                                      <w:rPr>
                                        <w:rFonts w:hint="eastAsia" w:ascii="宋体" w:hAnsi="宋体" w:eastAsia="宋体" w:cs="宋体"/>
                                        <w:kern w:val="0"/>
                                        <w:sz w:val="32"/>
                                        <w:szCs w:val="32"/>
                                      </w:rPr>
                                      <w:t></w:t>
                                    </w:r>
                                  </w:p>
                                  <w:p w14:paraId="361A9300">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(4)其他违反《公安机关人民警察纪律条令》规定的情形。</w:t>
                                    </w:r>
                                    <w:r>
                                      <w:rPr>
                                        <w:rFonts w:hint="eastAsia" w:ascii="宋体" w:hAnsi="宋体" w:eastAsia="宋体" w:cs="宋体"/>
                                        <w:kern w:val="0"/>
                                        <w:sz w:val="32"/>
                                        <w:szCs w:val="32"/>
                                      </w:rPr>
                                      <w:t></w:t>
                                    </w:r>
                                  </w:p>
                                  <w:p w14:paraId="25287EAA">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2.有下列情形之一，可能追究执法过错责任的，由督察部门负责调查：</w:t>
                                    </w:r>
                                    <w:r>
                                      <w:rPr>
                                        <w:rFonts w:hint="eastAsia" w:ascii="宋体" w:hAnsi="宋体" w:eastAsia="宋体" w:cs="宋体"/>
                                        <w:kern w:val="0"/>
                                        <w:sz w:val="32"/>
                                        <w:szCs w:val="32"/>
                                      </w:rPr>
                                      <w:t></w:t>
                                    </w:r>
                                  </w:p>
                                  <w:p w14:paraId="325E4C3A">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(1)现场执法处置不当，造成一定危害后果或不良影响的；</w:t>
                                    </w:r>
                                    <w:r>
                                      <w:rPr>
                                        <w:rFonts w:hint="eastAsia" w:ascii="宋体" w:hAnsi="宋体" w:eastAsia="宋体" w:cs="宋体"/>
                                        <w:kern w:val="0"/>
                                        <w:sz w:val="32"/>
                                        <w:szCs w:val="32"/>
                                      </w:rPr>
                                      <w:t></w:t>
                                    </w:r>
                                  </w:p>
                                  <w:p w14:paraId="58001088">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(2)涉嫌违规使用警械、武器致人伤亡的；</w:t>
                                    </w:r>
                                    <w:r>
                                      <w:rPr>
                                        <w:rFonts w:hint="eastAsia" w:ascii="宋体" w:hAnsi="宋体" w:eastAsia="宋体" w:cs="宋体"/>
                                        <w:kern w:val="0"/>
                                        <w:sz w:val="32"/>
                                        <w:szCs w:val="32"/>
                                      </w:rPr>
                                      <w:t></w:t>
                                    </w:r>
                                  </w:p>
                                  <w:p w14:paraId="52C95C29">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(3)其他依照《公安机关督察条例》的规定，应当由督察部门负责调查的情形。</w:t>
                                    </w:r>
                                    <w:r>
                                      <w:rPr>
                                        <w:rFonts w:hint="eastAsia" w:ascii="宋体" w:hAnsi="宋体" w:eastAsia="宋体" w:cs="宋体"/>
                                        <w:kern w:val="0"/>
                                        <w:sz w:val="32"/>
                                        <w:szCs w:val="32"/>
                                      </w:rPr>
                                      <w:t></w:t>
                                    </w:r>
                                  </w:p>
                                  <w:p w14:paraId="5FC1D649">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3.审计部门负责调查执法办案中发生的涉案财物管理方面的执法过错问题。</w:t>
                                    </w:r>
                                    <w:r>
                                      <w:rPr>
                                        <w:rFonts w:hint="eastAsia" w:ascii="宋体" w:hAnsi="宋体" w:eastAsia="宋体" w:cs="宋体"/>
                                        <w:kern w:val="0"/>
                                        <w:sz w:val="32"/>
                                        <w:szCs w:val="32"/>
                                      </w:rPr>
                                      <w:t></w:t>
                                    </w:r>
                                  </w:p>
                                  <w:p w14:paraId="6E0AB975">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4.信访部门负责调查被列入信访责任倒查的信访事项中存在的执法过错问题。</w:t>
                                    </w:r>
                                    <w:r>
                                      <w:rPr>
                                        <w:rFonts w:hint="eastAsia" w:ascii="宋体" w:hAnsi="宋体" w:eastAsia="宋体" w:cs="宋体"/>
                                        <w:kern w:val="0"/>
                                        <w:sz w:val="32"/>
                                        <w:szCs w:val="32"/>
                                      </w:rPr>
                                      <w:t></w:t>
                                    </w:r>
                                  </w:p>
                                  <w:p w14:paraId="44FBF618">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5.有以下情形之一，可能追究执法过错责任的，由法制部门负责调查：</w:t>
                                    </w:r>
                                    <w:r>
                                      <w:rPr>
                                        <w:rFonts w:hint="eastAsia" w:ascii="宋体" w:hAnsi="宋体" w:eastAsia="宋体" w:cs="宋体"/>
                                        <w:kern w:val="0"/>
                                        <w:sz w:val="32"/>
                                        <w:szCs w:val="32"/>
                                      </w:rPr>
                                      <w:t></w:t>
                                    </w:r>
                                  </w:p>
                                  <w:p w14:paraId="0C4D0591">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(1)行政复议、行政诉讼中被撤销案件或责令限期履行的；</w:t>
                                    </w:r>
                                    <w:r>
                                      <w:rPr>
                                        <w:rFonts w:hint="eastAsia" w:ascii="宋体" w:hAnsi="宋体" w:eastAsia="宋体" w:cs="宋体"/>
                                        <w:kern w:val="0"/>
                                        <w:sz w:val="32"/>
                                        <w:szCs w:val="32"/>
                                      </w:rPr>
                                      <w:t></w:t>
                                    </w:r>
                                  </w:p>
                                  <w:p w14:paraId="506535B4">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(2)办理的刑事案件因不构成犯罪，被检察机关决定不起诉或被人民法院判决无罪的；</w:t>
                                    </w:r>
                                    <w:r>
                                      <w:rPr>
                                        <w:rFonts w:hint="eastAsia" w:ascii="宋体" w:hAnsi="宋体" w:eastAsia="宋体" w:cs="宋体"/>
                                        <w:kern w:val="0"/>
                                        <w:sz w:val="32"/>
                                        <w:szCs w:val="32"/>
                                      </w:rPr>
                                      <w:t></w:t>
                                    </w:r>
                                  </w:p>
                                  <w:p w14:paraId="7B13756B">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(3)发生国家赔偿案件的；</w:t>
                                    </w:r>
                                    <w:r>
                                      <w:rPr>
                                        <w:rFonts w:hint="eastAsia" w:ascii="宋体" w:hAnsi="宋体" w:eastAsia="宋体" w:cs="宋体"/>
                                        <w:kern w:val="0"/>
                                        <w:sz w:val="32"/>
                                        <w:szCs w:val="32"/>
                                      </w:rPr>
                                      <w:t></w:t>
                                    </w:r>
                                  </w:p>
                                  <w:p w14:paraId="61F70846">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(4)因执法问题被检察机关、人民法院发出司法建议的；</w:t>
                                    </w:r>
                                    <w:r>
                                      <w:rPr>
                                        <w:rFonts w:hint="eastAsia" w:ascii="宋体" w:hAnsi="宋体" w:eastAsia="宋体" w:cs="宋体"/>
                                        <w:kern w:val="0"/>
                                        <w:sz w:val="32"/>
                                        <w:szCs w:val="32"/>
                                      </w:rPr>
                                      <w:t></w:t>
                                    </w:r>
                                  </w:p>
                                  <w:p w14:paraId="4955CED4">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(5)日常执法监督考评中发现严重执法问题的；</w:t>
                                    </w:r>
                                    <w:r>
                                      <w:rPr>
                                        <w:rFonts w:hint="eastAsia" w:ascii="宋体" w:hAnsi="宋体" w:eastAsia="宋体" w:cs="宋体"/>
                                        <w:kern w:val="0"/>
                                        <w:sz w:val="32"/>
                                        <w:szCs w:val="32"/>
                                      </w:rPr>
                                      <w:t></w:t>
                                    </w:r>
                                  </w:p>
                                  <w:p w14:paraId="5DF2AC50">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(6)其他应当由法制部门负责调查的情形。</w:t>
                                    </w:r>
                                    <w:r>
                                      <w:rPr>
                                        <w:rFonts w:hint="eastAsia" w:ascii="宋体" w:hAnsi="宋体" w:eastAsia="宋体" w:cs="宋体"/>
                                        <w:kern w:val="0"/>
                                        <w:sz w:val="32"/>
                                        <w:szCs w:val="32"/>
                                      </w:rPr>
                                      <w:t></w:t>
                                    </w:r>
                                  </w:p>
                                  <w:p w14:paraId="1B325DEA">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6.业务部门在工作中发现需要追究执法过错责任的，应当及时移交纪检监察、督察、法制等部门调查处理。认为本部门开展调查处理更为合适的，经报公安机关负责人同意后，开展调查处理。</w:t>
                                    </w:r>
                                    <w:r>
                                      <w:rPr>
                                        <w:rFonts w:hint="eastAsia" w:ascii="宋体" w:hAnsi="宋体" w:eastAsia="宋体" w:cs="宋体"/>
                                        <w:kern w:val="0"/>
                                        <w:sz w:val="32"/>
                                        <w:szCs w:val="32"/>
                                      </w:rPr>
                                      <w:t></w:t>
                                    </w:r>
                                  </w:p>
                                  <w:p w14:paraId="03112E66">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二、过错认定</w:t>
                                    </w:r>
                                    <w:r>
                                      <w:rPr>
                                        <w:rFonts w:hint="eastAsia" w:ascii="宋体" w:hAnsi="宋体" w:eastAsia="宋体" w:cs="宋体"/>
                                        <w:kern w:val="0"/>
                                        <w:sz w:val="32"/>
                                        <w:szCs w:val="32"/>
                                      </w:rPr>
                                      <w:t></w:t>
                                    </w:r>
                                  </w:p>
                                  <w:p w14:paraId="75EB6DAA">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（一）同时具备下列条件的，应当认定有执法过错：</w:t>
                                    </w:r>
                                    <w:r>
                                      <w:rPr>
                                        <w:rFonts w:hint="eastAsia" w:ascii="宋体" w:hAnsi="宋体" w:eastAsia="宋体" w:cs="宋体"/>
                                        <w:kern w:val="0"/>
                                        <w:sz w:val="32"/>
                                        <w:szCs w:val="32"/>
                                      </w:rPr>
                                      <w:t></w:t>
                                    </w:r>
                                  </w:p>
                                  <w:p w14:paraId="2053A55B">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1.履职人民警察主观上具有故意或者过失；</w:t>
                                    </w:r>
                                    <w:r>
                                      <w:rPr>
                                        <w:rFonts w:hint="eastAsia" w:ascii="宋体" w:hAnsi="宋体" w:eastAsia="宋体" w:cs="宋体"/>
                                        <w:kern w:val="0"/>
                                        <w:sz w:val="32"/>
                                        <w:szCs w:val="32"/>
                                      </w:rPr>
                                      <w:t></w:t>
                                    </w:r>
                                  </w:p>
                                  <w:p w14:paraId="25A2936B">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2.履职过程存在违反法律法规规章规定或者公安机关内部管理要求的行为；</w:t>
                                    </w:r>
                                    <w:r>
                                      <w:rPr>
                                        <w:rFonts w:hint="eastAsia" w:ascii="宋体" w:hAnsi="宋体" w:eastAsia="宋体" w:cs="宋体"/>
                                        <w:kern w:val="0"/>
                                        <w:sz w:val="32"/>
                                        <w:szCs w:val="32"/>
                                      </w:rPr>
                                      <w:t></w:t>
                                    </w:r>
                                  </w:p>
                                  <w:p w14:paraId="45BBF5B6">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3.履职行为对相关当事人人身权、财产权等权益已造成实际损害，或者已造成社会负面影响，损害公安机关执法声誉。</w:t>
                                    </w:r>
                                    <w:r>
                                      <w:rPr>
                                        <w:rFonts w:hint="eastAsia" w:ascii="宋体" w:hAnsi="宋体" w:eastAsia="宋体" w:cs="宋体"/>
                                        <w:kern w:val="0"/>
                                        <w:sz w:val="32"/>
                                        <w:szCs w:val="32"/>
                                      </w:rPr>
                                      <w:t></w:t>
                                    </w:r>
                                  </w:p>
                                  <w:p w14:paraId="5B3981BA">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（二）有下列情形之一的，应当认定为执法瑕疵，不予追究执法过错责任：</w:t>
                                    </w:r>
                                    <w:r>
                                      <w:rPr>
                                        <w:rFonts w:hint="eastAsia" w:ascii="宋体" w:hAnsi="宋体" w:eastAsia="宋体" w:cs="宋体"/>
                                        <w:kern w:val="0"/>
                                        <w:sz w:val="32"/>
                                        <w:szCs w:val="32"/>
                                      </w:rPr>
                                      <w:t></w:t>
                                    </w:r>
                                  </w:p>
                                  <w:p w14:paraId="6B7C81CF">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1.事实表述、法条引用、文书制作等方面存在执法问题，但不影响案件处理结果的合法性、公正性及效力的；</w:t>
                                    </w:r>
                                    <w:r>
                                      <w:rPr>
                                        <w:rFonts w:hint="eastAsia" w:ascii="宋体" w:hAnsi="宋体" w:eastAsia="宋体" w:cs="宋体"/>
                                        <w:kern w:val="0"/>
                                        <w:sz w:val="32"/>
                                        <w:szCs w:val="32"/>
                                      </w:rPr>
                                      <w:t></w:t>
                                    </w:r>
                                  </w:p>
                                  <w:p w14:paraId="4B2905C1">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2.违反法定程序，但不影响案件处理结果的合法性、公正性及效力的；</w:t>
                                    </w:r>
                                    <w:r>
                                      <w:rPr>
                                        <w:rFonts w:hint="eastAsia" w:ascii="宋体" w:hAnsi="宋体" w:eastAsia="宋体" w:cs="宋体"/>
                                        <w:kern w:val="0"/>
                                        <w:sz w:val="32"/>
                                        <w:szCs w:val="32"/>
                                      </w:rPr>
                                      <w:t></w:t>
                                    </w:r>
                                  </w:p>
                                  <w:p w14:paraId="0E4F7BED">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3.违反法律法规规章规定或者公安机关内部执法管理要求，但对造成的损害后果无直接影响，或者情节后果轻微的。</w:t>
                                    </w:r>
                                    <w:r>
                                      <w:rPr>
                                        <w:rFonts w:hint="eastAsia" w:ascii="宋体" w:hAnsi="宋体" w:eastAsia="宋体" w:cs="宋体"/>
                                        <w:kern w:val="0"/>
                                        <w:sz w:val="32"/>
                                        <w:szCs w:val="32"/>
                                      </w:rPr>
                                      <w:t></w:t>
                                    </w:r>
                                  </w:p>
                                  <w:p w14:paraId="2133FBD0">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对较严重的执法瑕疵，可以根据公安机关内部管理规定作出相应处理。</w:t>
                                    </w:r>
                                    <w:r>
                                      <w:rPr>
                                        <w:rFonts w:hint="eastAsia" w:ascii="宋体" w:hAnsi="宋体" w:eastAsia="宋体" w:cs="宋体"/>
                                        <w:kern w:val="0"/>
                                        <w:sz w:val="32"/>
                                        <w:szCs w:val="32"/>
                                      </w:rPr>
                                      <w:t></w:t>
                                    </w:r>
                                  </w:p>
                                  <w:p w14:paraId="432C9BE6">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三、免责认定</w:t>
                                    </w:r>
                                    <w:r>
                                      <w:rPr>
                                        <w:rFonts w:hint="eastAsia" w:ascii="宋体" w:hAnsi="宋体" w:eastAsia="宋体" w:cs="宋体"/>
                                        <w:kern w:val="0"/>
                                        <w:sz w:val="32"/>
                                        <w:szCs w:val="32"/>
                                      </w:rPr>
                                      <w:t></w:t>
                                    </w:r>
                                  </w:p>
                                  <w:p w14:paraId="55B06D53">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一）人民警察履职符合法律法规规章和执法管理规定，或者因不可抗力、难以预见等非主观因素引发损害后果或负面影响的，不承担责任。不得以批示、舆论炒作、信访投诉、复议诉讼、维护稳定等为由，不当追究人民警察责任。</w:t>
                                    </w:r>
                                    <w:r>
                                      <w:rPr>
                                        <w:rFonts w:hint="eastAsia" w:ascii="宋体" w:hAnsi="宋体" w:eastAsia="宋体" w:cs="宋体"/>
                                        <w:kern w:val="0"/>
                                        <w:sz w:val="32"/>
                                        <w:szCs w:val="32"/>
                                      </w:rPr>
                                      <w:t></w:t>
                                    </w:r>
                                  </w:p>
                                  <w:p w14:paraId="17ACC270">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（二）下列情形属于依法履行职责，不予追究人民警察执法过错责任：</w:t>
                                    </w:r>
                                    <w:r>
                                      <w:rPr>
                                        <w:rFonts w:hint="eastAsia" w:ascii="宋体" w:hAnsi="宋体" w:eastAsia="宋体" w:cs="宋体"/>
                                        <w:kern w:val="0"/>
                                        <w:sz w:val="32"/>
                                        <w:szCs w:val="32"/>
                                      </w:rPr>
                                      <w:t></w:t>
                                    </w:r>
                                  </w:p>
                                  <w:p w14:paraId="09DBE6A2">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1.执法现场因执法对象自身行为，如自伤自残，或逃跑过程中跳楼、跳河、跳桥等，导致伤亡的情形。执法行为合法、履职到位，无滥用职权和违法失职等情形，事前或者事中已采取必要防范措施，且事后及时施救避免损害后果扩大的；</w:t>
                                    </w:r>
                                    <w:r>
                                      <w:rPr>
                                        <w:rFonts w:hint="eastAsia" w:ascii="宋体" w:hAnsi="宋体" w:eastAsia="宋体" w:cs="宋体"/>
                                        <w:kern w:val="0"/>
                                        <w:sz w:val="32"/>
                                        <w:szCs w:val="32"/>
                                      </w:rPr>
                                      <w:t></w:t>
                                    </w:r>
                                  </w:p>
                                  <w:p w14:paraId="6927A69B">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2.执法现场因人民警察制止妨碍执行公务行为，或者实施强制传唤、抓捕、制服违法犯罪嫌疑人行为造成执法对象伤亡的情形。执法行为合法，动作和措施基本适度，无滥用职权和违法失职等情形，且事后及时施救避免损害后果扩大的；</w:t>
                                    </w:r>
                                    <w:r>
                                      <w:rPr>
                                        <w:rFonts w:hint="eastAsia" w:ascii="宋体" w:hAnsi="宋体" w:eastAsia="宋体" w:cs="宋体"/>
                                        <w:kern w:val="0"/>
                                        <w:sz w:val="32"/>
                                        <w:szCs w:val="32"/>
                                      </w:rPr>
                                      <w:t></w:t>
                                    </w:r>
                                  </w:p>
                                  <w:p w14:paraId="4E77F00A">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3.执法现场因人民警察使用武器、警械造成执法对象或者其他人员伤亡的情形。使用武器、警械合法有据、程序到位，遵守比例原则和适度原则，使用武器、警械以有效制止违法犯罪行为为限度，无滥用情形，且事后报告及时、施救措施到位的；</w:t>
                                    </w:r>
                                    <w:r>
                                      <w:rPr>
                                        <w:rFonts w:hint="eastAsia" w:ascii="宋体" w:hAnsi="宋体" w:eastAsia="宋体" w:cs="宋体"/>
                                        <w:kern w:val="0"/>
                                        <w:sz w:val="32"/>
                                        <w:szCs w:val="32"/>
                                      </w:rPr>
                                      <w:t></w:t>
                                    </w:r>
                                  </w:p>
                                  <w:p w14:paraId="2B2EB15B">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4.看管、羁押对象因自身疾病、自残自杀等导致伤亡的情形。限制人身自由措施合法，人身安全检查到位，场所设置安全规范，看管措施落实到位，无滥用职权和违法失职等情形，且事后及时采取必要的救治措施避免损害后果扩大的；</w:t>
                                    </w:r>
                                    <w:r>
                                      <w:rPr>
                                        <w:rFonts w:hint="eastAsia" w:ascii="宋体" w:hAnsi="宋体" w:eastAsia="宋体" w:cs="宋体"/>
                                        <w:kern w:val="0"/>
                                        <w:sz w:val="32"/>
                                        <w:szCs w:val="32"/>
                                      </w:rPr>
                                      <w:t></w:t>
                                    </w:r>
                                  </w:p>
                                  <w:p w14:paraId="575BD4EA">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5.执行上级错误或者不当的决定和命令，造成一定损害后果，无滥用职权、违法失职情形的。但超越法律、法规规定的人民警察职责范围的指令除外；</w:t>
                                    </w:r>
                                    <w:r>
                                      <w:rPr>
                                        <w:rFonts w:hint="eastAsia" w:ascii="宋体" w:hAnsi="宋体" w:eastAsia="宋体" w:cs="宋体"/>
                                        <w:kern w:val="0"/>
                                        <w:sz w:val="32"/>
                                        <w:szCs w:val="32"/>
                                      </w:rPr>
                                      <w:t></w:t>
                                    </w:r>
                                  </w:p>
                                  <w:p w14:paraId="68E1DB03">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6.因协助其他政府部门开展工作，造成一定损害后果，无滥用职权、违法失职情形的。</w:t>
                                    </w:r>
                                    <w:r>
                                      <w:rPr>
                                        <w:rFonts w:hint="eastAsia" w:ascii="宋体" w:hAnsi="宋体" w:eastAsia="宋体" w:cs="宋体"/>
                                        <w:kern w:val="0"/>
                                        <w:sz w:val="32"/>
                                        <w:szCs w:val="32"/>
                                      </w:rPr>
                                      <w:t></w:t>
                                    </w:r>
                                  </w:p>
                                  <w:p w14:paraId="1DCC0A14">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三）人民警察履行职责行为虽对公民的人身权或者公民、法人、其他组织的财产权造成实际侵害等后果，但具有公安部《公安机关人民警察执法过错责任追究规定》第二十一条规定情形的，不予追究执法过错责任。</w:t>
                                    </w:r>
                                    <w:r>
                                      <w:rPr>
                                        <w:rFonts w:hint="eastAsia" w:ascii="宋体" w:hAnsi="宋体" w:eastAsia="宋体" w:cs="宋体"/>
                                        <w:kern w:val="0"/>
                                        <w:sz w:val="32"/>
                                        <w:szCs w:val="32"/>
                                      </w:rPr>
                                      <w:t></w:t>
                                    </w:r>
                                  </w:p>
                                  <w:p w14:paraId="56124703">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四、处理程序</w:t>
                                    </w:r>
                                    <w:r>
                                      <w:rPr>
                                        <w:rFonts w:hint="eastAsia" w:ascii="宋体" w:hAnsi="宋体" w:eastAsia="宋体" w:cs="宋体"/>
                                        <w:kern w:val="0"/>
                                        <w:sz w:val="32"/>
                                        <w:szCs w:val="32"/>
                                      </w:rPr>
                                      <w:t></w:t>
                                    </w:r>
                                  </w:p>
                                  <w:p w14:paraId="14976B4B">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（一）纪检监察、督察、审计、信访、法制及有关业务部门启动调查执法过错责任案（事）件，应当报经同级公安机关负责人批准。</w:t>
                                    </w:r>
                                    <w:r>
                                      <w:rPr>
                                        <w:rFonts w:hint="eastAsia" w:ascii="宋体" w:hAnsi="宋体" w:eastAsia="宋体" w:cs="宋体"/>
                                        <w:kern w:val="0"/>
                                        <w:sz w:val="32"/>
                                        <w:szCs w:val="32"/>
                                      </w:rPr>
                                      <w:t></w:t>
                                    </w:r>
                                  </w:p>
                                  <w:p w14:paraId="1A15BE66">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（二）涉及重大疑难复杂或者造成重大社会影响的案（事）件，可能存在执法过错的，经公安机关负责人批准，指定相关部门或者成立专门调查组开展专案调查。</w:t>
                                    </w:r>
                                    <w:r>
                                      <w:rPr>
                                        <w:rFonts w:hint="eastAsia" w:ascii="宋体" w:hAnsi="宋体" w:eastAsia="宋体" w:cs="宋体"/>
                                        <w:kern w:val="0"/>
                                        <w:sz w:val="32"/>
                                        <w:szCs w:val="32"/>
                                      </w:rPr>
                                      <w:t></w:t>
                                    </w:r>
                                  </w:p>
                                  <w:p w14:paraId="372162F0">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（三）上级公安机关发现下级公安机关对本单位发生的执法过错应当查处未查处的，应当责成下级公安机关查处，必要时也可以直接调查处理，调查启动的要求同上。</w:t>
                                    </w:r>
                                    <w:r>
                                      <w:rPr>
                                        <w:rFonts w:hint="eastAsia" w:ascii="宋体" w:hAnsi="宋体" w:eastAsia="宋体" w:cs="宋体"/>
                                        <w:kern w:val="0"/>
                                        <w:sz w:val="32"/>
                                        <w:szCs w:val="32"/>
                                      </w:rPr>
                                      <w:t></w:t>
                                    </w:r>
                                  </w:p>
                                  <w:p w14:paraId="43F7D137">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（四）调查、认定是否存在执法过错，应当从以下几方面进行：</w:t>
                                    </w:r>
                                    <w:r>
                                      <w:rPr>
                                        <w:rFonts w:hint="eastAsia" w:ascii="宋体" w:hAnsi="宋体" w:eastAsia="宋体" w:cs="宋体"/>
                                        <w:kern w:val="0"/>
                                        <w:sz w:val="32"/>
                                        <w:szCs w:val="32"/>
                                      </w:rPr>
                                      <w:t></w:t>
                                    </w:r>
                                  </w:p>
                                  <w:p w14:paraId="0F7CF42D">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1.合法性。人民警察的执法行为是否符合法律法规规章和相关执法标准等规定。</w:t>
                                    </w:r>
                                    <w:r>
                                      <w:rPr>
                                        <w:rFonts w:hint="eastAsia" w:ascii="宋体" w:hAnsi="宋体" w:eastAsia="宋体" w:cs="宋体"/>
                                        <w:kern w:val="0"/>
                                        <w:sz w:val="32"/>
                                        <w:szCs w:val="32"/>
                                      </w:rPr>
                                      <w:t></w:t>
                                    </w:r>
                                  </w:p>
                                  <w:p w14:paraId="2FB72F72">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2.合理性。人民警察执法行为是否符合比例原则，有无执法过度或者明显不适当的行为等。</w:t>
                                    </w:r>
                                    <w:r>
                                      <w:rPr>
                                        <w:rFonts w:hint="eastAsia" w:ascii="宋体" w:hAnsi="宋体" w:eastAsia="宋体" w:cs="宋体"/>
                                        <w:kern w:val="0"/>
                                        <w:sz w:val="32"/>
                                        <w:szCs w:val="32"/>
                                      </w:rPr>
                                      <w:t></w:t>
                                    </w:r>
                                  </w:p>
                                  <w:p w14:paraId="6D201D9B">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3.主观过错。是否存在故意，或者应当预见、明显可以避免后果发生而未预见、未避免的情形；是否存在因不可抗力、难以预见等非主观因素的情形；结合当时情境，是否存在紧急情形下因判断失误、反应过度造成后果的情形等。</w:t>
                                    </w:r>
                                    <w:r>
                                      <w:rPr>
                                        <w:rFonts w:hint="eastAsia" w:ascii="宋体" w:hAnsi="宋体" w:eastAsia="宋体" w:cs="宋体"/>
                                        <w:kern w:val="0"/>
                                        <w:sz w:val="32"/>
                                        <w:szCs w:val="32"/>
                                      </w:rPr>
                                      <w:t></w:t>
                                    </w:r>
                                  </w:p>
                                  <w:p w14:paraId="52033BA5">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4.损害后果。是否存在相关当事人人身权、财产权受到损害、损害后果的严重程度、社会负面影响、公安机关声誉受损等情况。</w:t>
                                    </w:r>
                                    <w:r>
                                      <w:rPr>
                                        <w:rFonts w:hint="eastAsia" w:ascii="宋体" w:hAnsi="宋体" w:eastAsia="宋体" w:cs="宋体"/>
                                        <w:kern w:val="0"/>
                                        <w:sz w:val="32"/>
                                        <w:szCs w:val="32"/>
                                      </w:rPr>
                                      <w:t></w:t>
                                    </w:r>
                                  </w:p>
                                  <w:p w14:paraId="53686B32">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5.因果关系。执法行为与危害后果之间是否存在直接的因果关系；因果关系的紧密程度等。</w:t>
                                    </w:r>
                                    <w:r>
                                      <w:rPr>
                                        <w:rFonts w:hint="eastAsia" w:ascii="宋体" w:hAnsi="宋体" w:eastAsia="宋体" w:cs="宋体"/>
                                        <w:kern w:val="0"/>
                                        <w:sz w:val="32"/>
                                        <w:szCs w:val="32"/>
                                      </w:rPr>
                                      <w:t></w:t>
                                    </w:r>
                                  </w:p>
                                  <w:p w14:paraId="7F750F59">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6.有无从重、从轻、免予或者不予追究执法过错的情形。</w:t>
                                    </w:r>
                                    <w:r>
                                      <w:rPr>
                                        <w:rFonts w:hint="eastAsia" w:ascii="宋体" w:hAnsi="宋体" w:eastAsia="宋体" w:cs="宋体"/>
                                        <w:kern w:val="0"/>
                                        <w:sz w:val="32"/>
                                        <w:szCs w:val="32"/>
                                      </w:rPr>
                                      <w:t></w:t>
                                    </w:r>
                                  </w:p>
                                  <w:p w14:paraId="07DF9AFD">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执法过错事实基本清楚、责任基本明确的，可以简化相关调查工作。已有上级公安机关对执法过错的认定结论的，或者已有司法机关认定公安机关执法办案中存在执法过错的文件或生效判决、裁定，且相关责任人员没有异议的，可以不再调查。</w:t>
                                    </w:r>
                                    <w:r>
                                      <w:rPr>
                                        <w:rFonts w:hint="eastAsia" w:ascii="宋体" w:hAnsi="宋体" w:eastAsia="宋体" w:cs="宋体"/>
                                        <w:kern w:val="0"/>
                                        <w:sz w:val="32"/>
                                        <w:szCs w:val="32"/>
                                      </w:rPr>
                                      <w:t></w:t>
                                    </w:r>
                                  </w:p>
                                  <w:p w14:paraId="68DDDD7D">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调查、认定工作一般应在三十日内完成。必要时，经公安机关负责人批准，可以延长期限至六十日。</w:t>
                                    </w:r>
                                    <w:r>
                                      <w:rPr>
                                        <w:rFonts w:hint="eastAsia" w:ascii="宋体" w:hAnsi="宋体" w:eastAsia="宋体" w:cs="宋体"/>
                                        <w:kern w:val="0"/>
                                        <w:sz w:val="32"/>
                                        <w:szCs w:val="32"/>
                                      </w:rPr>
                                      <w:t></w:t>
                                    </w:r>
                                  </w:p>
                                  <w:p w14:paraId="7DDCD1F1">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（五）调查结束后，应当将调查认定的事实及拟处理的意见告知被调查的人民警察，听取其陈述和申辩，并对其所提出的事实、理由和证据进行复核。相关过程和是否采信等情况应当记录在案。</w:t>
                                    </w:r>
                                    <w:r>
                                      <w:rPr>
                                        <w:rFonts w:hint="eastAsia" w:ascii="宋体" w:hAnsi="宋体" w:eastAsia="宋体" w:cs="宋体"/>
                                        <w:kern w:val="0"/>
                                        <w:sz w:val="32"/>
                                        <w:szCs w:val="32"/>
                                      </w:rPr>
                                      <w:t></w:t>
                                    </w:r>
                                  </w:p>
                                  <w:p w14:paraId="22252C5E">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（六）调查的情况应当制作调查报告，载明案事件基本情况、执法过错情形、过错责任人，有无从重、从轻、减轻或者免予、不予追究执法过错责任的情形、拟责任追究或者免责意见等内容。</w:t>
                                    </w:r>
                                    <w:r>
                                      <w:rPr>
                                        <w:rFonts w:hint="eastAsia" w:ascii="宋体" w:hAnsi="宋体" w:eastAsia="宋体" w:cs="宋体"/>
                                        <w:kern w:val="0"/>
                                        <w:sz w:val="32"/>
                                        <w:szCs w:val="32"/>
                                      </w:rPr>
                                      <w:t></w:t>
                                    </w:r>
                                  </w:p>
                                  <w:p w14:paraId="16B87B47">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（七）调查认定的执法过错事实、责任无争议的，报请同级公安机关主要负责人审批决定。</w:t>
                                    </w:r>
                                    <w:r>
                                      <w:rPr>
                                        <w:rFonts w:hint="eastAsia" w:ascii="宋体" w:hAnsi="宋体" w:eastAsia="宋体" w:cs="宋体"/>
                                        <w:kern w:val="0"/>
                                        <w:sz w:val="32"/>
                                        <w:szCs w:val="32"/>
                                      </w:rPr>
                                      <w:t></w:t>
                                    </w:r>
                                  </w:p>
                                  <w:p w14:paraId="799F3614">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具有以下情形之一的，应当经公安机关执法管理委员会集体讨论后，报同级公安机关主要负责人批准：</w:t>
                                    </w:r>
                                    <w:r>
                                      <w:rPr>
                                        <w:rFonts w:hint="eastAsia" w:ascii="宋体" w:hAnsi="宋体" w:eastAsia="宋体" w:cs="宋体"/>
                                        <w:kern w:val="0"/>
                                        <w:sz w:val="32"/>
                                        <w:szCs w:val="32"/>
                                      </w:rPr>
                                      <w:t></w:t>
                                    </w:r>
                                  </w:p>
                                  <w:p w14:paraId="7FBF97AC">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1.拟追究执法过错责任的案（事）件重大、疑难、复杂，或者具有重大社会影响的；</w:t>
                                    </w:r>
                                    <w:r>
                                      <w:rPr>
                                        <w:rFonts w:hint="eastAsia" w:ascii="宋体" w:hAnsi="宋体" w:eastAsia="宋体" w:cs="宋体"/>
                                        <w:kern w:val="0"/>
                                        <w:sz w:val="32"/>
                                        <w:szCs w:val="32"/>
                                      </w:rPr>
                                      <w:t></w:t>
                                    </w:r>
                                  </w:p>
                                  <w:p w14:paraId="6ACDDA98">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2.是否追究执法过错责任存在争议的；</w:t>
                                    </w:r>
                                    <w:r>
                                      <w:rPr>
                                        <w:rFonts w:hint="eastAsia" w:ascii="宋体" w:hAnsi="宋体" w:eastAsia="宋体" w:cs="宋体"/>
                                        <w:kern w:val="0"/>
                                        <w:sz w:val="32"/>
                                        <w:szCs w:val="32"/>
                                      </w:rPr>
                                      <w:t></w:t>
                                    </w:r>
                                  </w:p>
                                  <w:p w14:paraId="7FB7A821">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3.拟给予降级、撤职、开除等行政纪律处分，或者拟依照公安部《公安机关人民警察执法过错责任追究规定》第十四条给予延期晋级、晋职、降低警衔以上处理，或者拟追究刑事责任的；</w:t>
                                    </w:r>
                                  </w:p>
                                  <w:p w14:paraId="54771135">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4.不予或者免予追究执法过错责任的。</w:t>
                                    </w:r>
                                    <w:r>
                                      <w:rPr>
                                        <w:rFonts w:hint="eastAsia" w:ascii="宋体" w:hAnsi="宋体" w:eastAsia="宋体" w:cs="宋体"/>
                                        <w:kern w:val="0"/>
                                        <w:sz w:val="32"/>
                                        <w:szCs w:val="32"/>
                                      </w:rPr>
                                      <w:t></w:t>
                                    </w:r>
                                  </w:p>
                                  <w:p w14:paraId="798D5A42">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八）追究人民警察执法过错责任，需要给予行政纪律处分的，移交由政工人事部门或者纪检监察部门依照相关规定依法作出处分决定；需要依照公安部《公安机关人民警察执法过错责任追究规定》第十四条作出其他处理的，由县级以上公安机关作出处理决定，由有关职能管理部门执行；需要追究刑事责任的，移交监察机关或者检察机关处理。</w:t>
                                    </w:r>
                                    <w:r>
                                      <w:rPr>
                                        <w:rFonts w:hint="eastAsia" w:ascii="宋体" w:hAnsi="宋体" w:eastAsia="宋体" w:cs="宋体"/>
                                        <w:kern w:val="0"/>
                                        <w:sz w:val="32"/>
                                        <w:szCs w:val="32"/>
                                      </w:rPr>
                                      <w:t></w:t>
                                    </w:r>
                                  </w:p>
                                  <w:p w14:paraId="08650D84">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九）追究执法过错责任的，按照有关规定通知当事人民警察；不予追究或者免予追究执法过错责任的情况，也应当告知当事人民警察，并以适当形式反馈给控告、申诉、举报人员。相关案（事）件有一定社会影响的，应当向社会公开处理的情况。</w:t>
                                    </w:r>
                                    <w:r>
                                      <w:rPr>
                                        <w:rFonts w:hint="eastAsia" w:ascii="宋体" w:hAnsi="宋体" w:eastAsia="宋体" w:cs="宋体"/>
                                        <w:kern w:val="0"/>
                                        <w:sz w:val="32"/>
                                        <w:szCs w:val="32"/>
                                      </w:rPr>
                                      <w:t></w:t>
                                    </w:r>
                                  </w:p>
                                  <w:p w14:paraId="111FD907">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五、权益保障</w:t>
                                    </w:r>
                                    <w:r>
                                      <w:rPr>
                                        <w:rFonts w:hint="eastAsia" w:ascii="宋体" w:hAnsi="宋体" w:eastAsia="宋体" w:cs="宋体"/>
                                        <w:kern w:val="0"/>
                                        <w:sz w:val="32"/>
                                        <w:szCs w:val="32"/>
                                      </w:rPr>
                                      <w:t></w:t>
                                    </w:r>
                                  </w:p>
                                  <w:p w14:paraId="4D6BE59E">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一）各级公安机关应当加强执法培训，提高人民警察的执法能力和实战技能，强化人民警察执法权益保障，旗帜鲜明地支持和保护人民警察依法履行职责，积极开展正面典型事例宣传，提高公安机关执法的权威性、公信力。</w:t>
                                    </w:r>
                                    <w:r>
                                      <w:rPr>
                                        <w:rFonts w:hint="eastAsia" w:ascii="宋体" w:hAnsi="宋体" w:eastAsia="宋体" w:cs="宋体"/>
                                        <w:kern w:val="0"/>
                                        <w:sz w:val="32"/>
                                        <w:szCs w:val="32"/>
                                      </w:rPr>
                                      <w:t></w:t>
                                    </w:r>
                                  </w:p>
                                  <w:p w14:paraId="2F3A43C2">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按照本规定不予追究执法过错责任的，人民警察在评优评先、表彰奖励以及提拔任用时不受影响。</w:t>
                                    </w:r>
                                    <w:r>
                                      <w:rPr>
                                        <w:rFonts w:hint="eastAsia" w:ascii="宋体" w:hAnsi="宋体" w:eastAsia="宋体" w:cs="宋体"/>
                                        <w:kern w:val="0"/>
                                        <w:sz w:val="32"/>
                                        <w:szCs w:val="32"/>
                                      </w:rPr>
                                      <w:t></w:t>
                                    </w:r>
                                  </w:p>
                                  <w:p w14:paraId="63591EEC">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（二）人民警察应当强化依法履职和自我保护意识，对执法过程中造成或发生损害后果的情况，应当及时报告，并以适当方式记录、提取、固定证明事实经过的相关证据，依法保障自身合法权益。</w:t>
                                    </w:r>
                                    <w:r>
                                      <w:rPr>
                                        <w:rFonts w:hint="eastAsia" w:ascii="宋体" w:hAnsi="宋体" w:eastAsia="宋体" w:cs="宋体"/>
                                        <w:kern w:val="0"/>
                                        <w:sz w:val="32"/>
                                        <w:szCs w:val="32"/>
                                      </w:rPr>
                                      <w:t></w:t>
                                    </w:r>
                                  </w:p>
                                  <w:p w14:paraId="0A51118F">
                                    <w:pPr>
                                      <w:widowControl/>
                                      <w:rPr>
                                        <w:rFonts w:ascii="Times New Roman" w:hAnsi="Times New Roman" w:eastAsia="宋体" w:cs="Times New Roman"/>
                                        <w:kern w:val="0"/>
                                        <w:sz w:val="32"/>
                                        <w:szCs w:val="32"/>
                                      </w:rPr>
                                    </w:pPr>
                                    <w:r>
                                      <w:rPr>
                                        <w:rFonts w:ascii="Times New Roman" w:hAnsi="Times New Roman" w:eastAsia="宋体" w:cs="Times New Roman"/>
                                        <w:kern w:val="0"/>
                                        <w:sz w:val="32"/>
                                        <w:szCs w:val="32"/>
                                      </w:rPr>
                                      <w:t>　　</w:t>
                                    </w:r>
                                    <w:r>
                                      <w:rPr>
                                        <w:rFonts w:hint="eastAsia" w:ascii="宋体" w:hAnsi="宋体" w:eastAsia="宋体" w:cs="Times New Roman"/>
                                        <w:kern w:val="0"/>
                                        <w:sz w:val="32"/>
                                        <w:szCs w:val="32"/>
                                      </w:rPr>
                                      <w:t>本规定自印发之日起实施。2000年</w:t>
                                    </w:r>
                                    <w:r>
                                      <w:rPr>
                                        <w:rFonts w:hint="eastAsia" w:ascii="Calibri" w:hAnsi="Calibri" w:eastAsia="宋体" w:cs="Calibri"/>
                                        <w:kern w:val="0"/>
                                        <w:sz w:val="32"/>
                                        <w:szCs w:val="32"/>
                                      </w:rPr>
                                      <w:t>2</w:t>
                                    </w:r>
                                    <w:r>
                                      <w:rPr>
                                        <w:rFonts w:hint="eastAsia" w:ascii="宋体" w:hAnsi="宋体" w:eastAsia="宋体" w:cs="Times New Roman"/>
                                        <w:kern w:val="0"/>
                                        <w:sz w:val="32"/>
                                        <w:szCs w:val="32"/>
                                      </w:rPr>
                                      <w:t>月</w:t>
                                    </w:r>
                                    <w:r>
                                      <w:rPr>
                                        <w:rFonts w:hint="eastAsia" w:ascii="Calibri" w:hAnsi="Calibri" w:eastAsia="宋体" w:cs="Calibri"/>
                                        <w:kern w:val="0"/>
                                        <w:sz w:val="32"/>
                                        <w:szCs w:val="32"/>
                                      </w:rPr>
                                      <w:t>14</w:t>
                                    </w:r>
                                    <w:r>
                                      <w:rPr>
                                        <w:rFonts w:hint="eastAsia" w:ascii="宋体" w:hAnsi="宋体" w:eastAsia="宋体" w:cs="Times New Roman"/>
                                        <w:kern w:val="0"/>
                                        <w:sz w:val="32"/>
                                        <w:szCs w:val="32"/>
                                      </w:rPr>
                                      <w:t>日印发的《浙江省公安机关人民警察执法过错责任追究办法》（浙公法〔</w:t>
                                    </w:r>
                                    <w:r>
                                      <w:rPr>
                                        <w:rFonts w:hint="eastAsia" w:ascii="Calibri" w:hAnsi="Calibri" w:eastAsia="宋体" w:cs="Calibri"/>
                                        <w:kern w:val="0"/>
                                        <w:sz w:val="32"/>
                                        <w:szCs w:val="32"/>
                                      </w:rPr>
                                      <w:t>2000</w:t>
                                    </w:r>
                                    <w:r>
                                      <w:rPr>
                                        <w:rFonts w:hint="eastAsia" w:ascii="宋体" w:hAnsi="宋体" w:eastAsia="宋体" w:cs="Times New Roman"/>
                                        <w:kern w:val="0"/>
                                        <w:sz w:val="32"/>
                                        <w:szCs w:val="32"/>
                                      </w:rPr>
                                      <w:t>〕</w:t>
                                    </w:r>
                                    <w:r>
                                      <w:rPr>
                                        <w:rFonts w:hint="eastAsia" w:ascii="Calibri" w:hAnsi="Calibri" w:eastAsia="宋体" w:cs="Calibri"/>
                                        <w:kern w:val="0"/>
                                        <w:sz w:val="32"/>
                                        <w:szCs w:val="32"/>
                                      </w:rPr>
                                      <w:t>8</w:t>
                                    </w:r>
                                    <w:r>
                                      <w:rPr>
                                        <w:rFonts w:hint="eastAsia" w:ascii="宋体" w:hAnsi="宋体" w:eastAsia="宋体" w:cs="Times New Roman"/>
                                        <w:kern w:val="0"/>
                                        <w:sz w:val="32"/>
                                        <w:szCs w:val="32"/>
                                      </w:rPr>
                                      <w:t>号）同时废止。</w:t>
                                    </w:r>
                                  </w:p>
                                </w:tc>
                              </w:tr>
                            </w:tbl>
                            <w:p w14:paraId="3B2D96CA">
                              <w:pPr>
                                <w:widowControl/>
                                <w:jc w:val="left"/>
                                <w:rPr>
                                  <w:rFonts w:ascii="宋体" w:hAnsi="宋体" w:eastAsia="宋体" w:cs="宋体"/>
                                  <w:kern w:val="0"/>
                                  <w:sz w:val="24"/>
                                  <w:szCs w:val="24"/>
                                </w:rPr>
                              </w:pPr>
                            </w:p>
                          </w:tc>
                        </w:tr>
                      </w:tbl>
                      <w:p w14:paraId="2EDB3A48">
                        <w:pPr>
                          <w:widowControl/>
                          <w:spacing w:line="302" w:lineRule="atLeast"/>
                          <w:jc w:val="left"/>
                          <w:rPr>
                            <w:rFonts w:ascii="宋体" w:hAnsi="宋体" w:eastAsia="宋体" w:cs="宋体"/>
                            <w:kern w:val="0"/>
                            <w:sz w:val="24"/>
                            <w:szCs w:val="24"/>
                          </w:rPr>
                        </w:pPr>
                      </w:p>
                    </w:tc>
                  </w:tr>
                </w:tbl>
                <w:p w14:paraId="48B52AA3">
                  <w:pPr>
                    <w:widowControl/>
                    <w:jc w:val="left"/>
                    <w:rPr>
                      <w:rFonts w:ascii="宋体" w:hAnsi="宋体" w:eastAsia="宋体" w:cs="宋体"/>
                      <w:kern w:val="0"/>
                      <w:sz w:val="24"/>
                      <w:szCs w:val="24"/>
                    </w:rPr>
                  </w:pPr>
                </w:p>
              </w:tc>
            </w:tr>
          </w:tbl>
          <w:p w14:paraId="01D6D7A9">
            <w:pPr>
              <w:widowControl/>
              <w:jc w:val="left"/>
              <w:rPr>
                <w:rFonts w:ascii="微软雅黑" w:hAnsi="微软雅黑" w:eastAsia="微软雅黑" w:cs="宋体"/>
                <w:kern w:val="0"/>
                <w:sz w:val="24"/>
                <w:szCs w:val="24"/>
              </w:rPr>
            </w:pPr>
          </w:p>
        </w:tc>
      </w:tr>
    </w:tbl>
    <w:p w14:paraId="6584C50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52FD4"/>
    <w:rsid w:val="001E5ECA"/>
    <w:rsid w:val="00280E40"/>
    <w:rsid w:val="006A5AD3"/>
    <w:rsid w:val="00755C57"/>
    <w:rsid w:val="007C1A4B"/>
    <w:rsid w:val="00A006F1"/>
    <w:rsid w:val="00A22F33"/>
    <w:rsid w:val="00F52FD4"/>
    <w:rsid w:val="00F97FC0"/>
    <w:rsid w:val="00FE0DE9"/>
    <w:rsid w:val="01E90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8"/>
    <w:semiHidden/>
    <w:unhideWhenUsed/>
    <w:uiPriority w:val="99"/>
    <w:rPr>
      <w:sz w:val="18"/>
      <w:szCs w:val="18"/>
    </w:rPr>
  </w:style>
  <w:style w:type="paragraph" w:styleId="3">
    <w:name w:val="footer"/>
    <w:basedOn w:val="1"/>
    <w:link w:val="10"/>
    <w:semiHidden/>
    <w:unhideWhenUsed/>
    <w:uiPriority w:val="99"/>
    <w:pPr>
      <w:tabs>
        <w:tab w:val="center" w:pos="4153"/>
        <w:tab w:val="right" w:pos="8306"/>
      </w:tabs>
      <w:snapToGrid w:val="0"/>
      <w:jc w:val="left"/>
    </w:pPr>
    <w:rPr>
      <w:sz w:val="18"/>
      <w:szCs w:val="18"/>
    </w:rPr>
  </w:style>
  <w:style w:type="paragraph" w:styleId="4">
    <w:name w:val="header"/>
    <w:basedOn w:val="1"/>
    <w:link w:val="9"/>
    <w:semiHidden/>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8">
    <w:name w:val="批注框文本 Char"/>
    <w:basedOn w:val="7"/>
    <w:link w:val="2"/>
    <w:semiHidden/>
    <w:uiPriority w:val="99"/>
    <w:rPr>
      <w:sz w:val="18"/>
      <w:szCs w:val="18"/>
    </w:rPr>
  </w:style>
  <w:style w:type="character" w:customStyle="1" w:styleId="9">
    <w:name w:val="页眉 Char"/>
    <w:basedOn w:val="7"/>
    <w:link w:val="4"/>
    <w:semiHidden/>
    <w:uiPriority w:val="99"/>
    <w:rPr>
      <w:sz w:val="18"/>
      <w:szCs w:val="18"/>
    </w:rPr>
  </w:style>
  <w:style w:type="character" w:customStyle="1" w:styleId="10">
    <w:name w:val="页脚 Char"/>
    <w:basedOn w:val="7"/>
    <w:link w:val="3"/>
    <w:semiHidden/>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神州网信技术有限公司</Company>
  <Pages>11</Pages>
  <Words>3870</Words>
  <Characters>3937</Characters>
  <Lines>30</Lines>
  <Paragraphs>8</Paragraphs>
  <TotalTime>1</TotalTime>
  <ScaleCrop>false</ScaleCrop>
  <LinksUpToDate>false</LinksUpToDate>
  <CharactersWithSpaces>4210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2021-09-29T09:48:00Z</dcterms:created>
  <dc:creator>黄龙</dc:creator>
  <cp:lastModifiedBy>马丽娜</cp:lastModifiedBy>
  <cp:lastPrinted>2021-10-12T04:18:00Z</cp:lastPrinted>
  <dcterms:modified xsi:type="dcterms:W3CDTF">2025-03-24T08:17:27Z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eyJoZGlkIjoiZTFhZGJjMjlmMmZjZTNjZDI1YmM2ZTk0YWVjZmI2OTkiLCJ1c2VySWQiOiIxNjUyMjQ2MDYxIn0=</vt:lpwstr>
  </property>
  <property fmtid="{D5CDD505-2E9C-101B-9397-08002B2CF9AE}" pid="3" name="KSOProductBuildVer">
    <vt:lpwstr>2052-12.1.0.19302</vt:lpwstr>
  </property>
  <property fmtid="{D5CDD505-2E9C-101B-9397-08002B2CF9AE}" pid="4" name="ICV">
    <vt:lpwstr>0114253FE1A84E99898B7EC7C2E197EB_12</vt:lpwstr>
  </property>
</Properties>
</file>