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000" w:type="dxa"/>
        <w:jc w:val="center"/>
        <w:tblCellSpacing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456422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" w:hRule="atLeast"/>
          <w:tblCellSpacing w:w="0" w:type="dxa"/>
          <w:jc w:val="center"/>
        </w:trPr>
        <w:tc>
          <w:tcPr>
            <w:tcW w:w="0" w:type="auto"/>
            <w:vAlign w:val="center"/>
          </w:tcPr>
          <w:p w14:paraId="41771B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721AC25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宋体"/>
                <w:kern w:val="0"/>
                <w:sz w:val="36"/>
                <w:szCs w:val="36"/>
              </w:rPr>
              <w:t>浙江省公安厅办公室关于进一步统筹规范督察检查考核工作的通知</w:t>
            </w:r>
          </w:p>
        </w:tc>
      </w:tr>
    </w:tbl>
    <w:p w14:paraId="06B4C12A">
      <w:pPr>
        <w:widowControl/>
        <w:jc w:val="left"/>
        <w:rPr>
          <w:rFonts w:ascii="宋体" w:hAnsi="宋体" w:eastAsia="宋体" w:cs="宋体"/>
          <w:vanish/>
          <w:kern w:val="0"/>
          <w:sz w:val="24"/>
          <w:szCs w:val="24"/>
        </w:rPr>
      </w:pPr>
    </w:p>
    <w:tbl>
      <w:tblPr>
        <w:tblStyle w:val="4"/>
        <w:tblW w:w="9000" w:type="dxa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0"/>
      </w:tblGrid>
      <w:tr w14:paraId="7FBB89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CBF4935"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各市公安局：</w:t>
            </w:r>
          </w:p>
          <w:p w14:paraId="67CE74E1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经前期摸排掌握，部分公安机关督察检查考核工作仍存在不合理、不规范的情形，为深入贯彻落实中央、公安部、省委关于整治形式主义为基层减负的决策部署，按照厅党委相关要求，现就进一步统筹规范督察检查考核事项要求如下：</w:t>
            </w:r>
          </w:p>
          <w:p w14:paraId="3B1084FF">
            <w:pPr>
              <w:widowControl/>
              <w:spacing w:line="600" w:lineRule="atLeast"/>
              <w:ind w:firstLine="640"/>
              <w:jc w:val="left"/>
              <w:rPr>
                <w:rFonts w:ascii="仿宋_GB2312" w:hAnsi="微软雅黑" w:eastAsia="仿宋_GB2312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一、明确归口管理。</w:t>
            </w:r>
            <w:r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  <w:t>各市公安机关要加强督察检查考核事项的统筹，明确牵头部门，建立督察检查考核事项审批备案制度，实行统一归口管理。任何警种部门不得自行开展督察检查考核，不得在警种部门文件中自行规定全市性督察检查考核事项</w:t>
            </w:r>
            <w:r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  <w:shd w:val="clear" w:color="auto" w:fill="FFFFFF"/>
              </w:rPr>
              <w:t>。要</w:t>
            </w:r>
            <w:r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  <w:t>加强对县级公安机关统筹规范督察检查考核事项的监督指导，切实为基层减负增效。</w:t>
            </w:r>
          </w:p>
          <w:p w14:paraId="418EEE35">
            <w:pPr>
              <w:widowControl/>
              <w:spacing w:line="600" w:lineRule="atLeast"/>
              <w:ind w:firstLine="640"/>
              <w:jc w:val="left"/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二、严格审批报备。</w:t>
            </w:r>
            <w:r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  <w:t>任何警种部门开展的各类全市性督察（含督查、督导）、检查(含巡查）、考核（含考评、评估）事项都要纳入审批报备范围，纳入计划的督察检查考核事项要认真制定、细化具体工作方案，合理设置指标，避免“一刀切”，严禁出现负面清单所列情形（详见附件）。要严控督察检查考核事项总量，强化统筹整合、优化合并，防止多头、重复。要提高数字化水平，推广非接触式数字督察，提高督察检查考核的质效，最大限度减少对基层工作的干扰。</w:t>
            </w:r>
          </w:p>
          <w:p w14:paraId="463AFAC0">
            <w:pPr>
              <w:widowControl/>
              <w:spacing w:line="600" w:lineRule="atLeast"/>
              <w:ind w:firstLine="640"/>
              <w:jc w:val="left"/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三、坚决贯彻执行。</w:t>
            </w:r>
            <w:r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  <w:t>各地公安机关要增强底线意识，严格执行中央、公安部、省委及省厅层面整治形式主义关于规范督察检查考核工作的要求，对未经审批备案、不符合上级要求的各类督察检查考核事项坚决予以清理整改。各市公安局贯彻落实情况请于6月18日前报省厅（邮箱地址000279@gat.zj)。</w:t>
            </w:r>
          </w:p>
          <w:p w14:paraId="46CC5DDB">
            <w:pPr>
              <w:widowControl/>
              <w:spacing w:line="600" w:lineRule="atLeast"/>
              <w:ind w:firstLine="640"/>
              <w:jc w:val="left"/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微软雅黑" w:eastAsia="仿宋_GB2312" w:cs="宋体"/>
                <w:color w:val="000000"/>
                <w:kern w:val="0"/>
                <w:sz w:val="32"/>
                <w:szCs w:val="32"/>
              </w:rPr>
              <w:t>联系人：张 涛，0571-87286918；郭 丽，0571-87287033。</w:t>
            </w:r>
          </w:p>
          <w:p w14:paraId="07433F5E">
            <w:pPr>
              <w:widowControl/>
              <w:spacing w:line="600" w:lineRule="atLeast"/>
              <w:ind w:firstLine="64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 </w:t>
            </w:r>
          </w:p>
          <w:p w14:paraId="582B26AF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附件：督察检查考核负面清单</w:t>
            </w:r>
          </w:p>
          <w:p w14:paraId="567EB27A">
            <w:pPr>
              <w:widowControl/>
              <w:spacing w:line="600" w:lineRule="atLeast"/>
              <w:ind w:firstLine="448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 </w:t>
            </w:r>
          </w:p>
          <w:p w14:paraId="52F1F948">
            <w:pPr>
              <w:widowControl/>
              <w:spacing w:line="600" w:lineRule="atLeast"/>
              <w:ind w:firstLine="448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 </w:t>
            </w:r>
          </w:p>
          <w:p w14:paraId="41338E3A"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浙江省公安厅办公室</w:t>
            </w:r>
          </w:p>
          <w:p w14:paraId="756FD921"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2024年5月30日</w:t>
            </w:r>
          </w:p>
          <w:p w14:paraId="2B6AD057">
            <w:pPr>
              <w:widowControl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 </w:t>
            </w:r>
          </w:p>
          <w:p w14:paraId="2C2661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附 件</w:t>
            </w:r>
          </w:p>
          <w:p w14:paraId="0A19ECE7"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32"/>
                <w:szCs w:val="32"/>
              </w:rPr>
              <w:t> </w:t>
            </w:r>
          </w:p>
          <w:p w14:paraId="7FAD7B7E"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  <w:t>督察检查考核负面清单</w:t>
            </w:r>
          </w:p>
          <w:p w14:paraId="7C895FEC"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 </w:t>
            </w:r>
          </w:p>
          <w:p w14:paraId="1E08BACC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一、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严格把关对下开展督察检查考核事项和频次，年度类考核项目阶段性排名频次不多于4次，对必须赴实地开展的督察检查事项，由一个部门牵头统一组织实施，合理确定检查周期，杜绝警种部门随意督导、多头检查。</w:t>
            </w:r>
          </w:p>
          <w:p w14:paraId="2B366E60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二、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考核指标体系不要庞杂、架构复杂，不设置“千分制”考核。</w:t>
            </w:r>
          </w:p>
          <w:p w14:paraId="54075FC4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三、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考核推行“达标式”，设置“跳一跳，够得着”的指标，避免排名式计分指标。</w:t>
            </w:r>
          </w:p>
          <w:p w14:paraId="46F330E6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四、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考核指标要合理，防止大指标套小方案，不得设置“指尖上的形式主义”以及会议开没开、机构建没建、文件发没发等常规性工作或是规范性要求的考核指标。</w:t>
            </w:r>
          </w:p>
          <w:p w14:paraId="0ACE0ED0">
            <w:pPr>
              <w:widowControl/>
              <w:spacing w:line="600" w:lineRule="atLeast"/>
              <w:ind w:firstLine="64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2"/>
                <w:szCs w:val="32"/>
              </w:rPr>
              <w:t>五、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</w:rPr>
              <w:t>日常业务类工作通报、专项行动进展情况（未纳入审批报备范围的）不得以打分、排名式进行晾晒通报。</w:t>
            </w:r>
          </w:p>
        </w:tc>
      </w:tr>
    </w:tbl>
    <w:p w14:paraId="07CB70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F2"/>
    <w:rsid w:val="00713242"/>
    <w:rsid w:val="00CB6DF2"/>
    <w:rsid w:val="00ED098A"/>
    <w:rsid w:val="3CCB1279"/>
    <w:rsid w:val="4E1D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正文文本 Char"/>
    <w:basedOn w:val="5"/>
    <w:link w:val="2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989</Words>
  <Characters>1053</Characters>
  <Lines>7</Lines>
  <Paragraphs>2</Paragraphs>
  <TotalTime>0</TotalTime>
  <ScaleCrop>false</ScaleCrop>
  <LinksUpToDate>false</LinksUpToDate>
  <CharactersWithSpaces>1065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2025-02-18T01:59:00Z</dcterms:created>
  <dc:creator>IBM</dc:creator>
  <cp:lastModifiedBy>马丽娜</cp:lastModifiedBy>
  <dcterms:modified xsi:type="dcterms:W3CDTF">2025-03-24T08:13:08Z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eyJoZGlkIjoiZTFhZGJjMjlmMmZjZTNjZDI1YmM2ZTk0YWVjZmI2OTkiLCJ1c2VySWQiOiIxNjUyMjQ2MDYxIn0=</vt:lpwstr>
  </property>
  <property fmtid="{D5CDD505-2E9C-101B-9397-08002B2CF9AE}" pid="3" name="KSOProductBuildVer">
    <vt:lpwstr>2052-12.1.0.19302</vt:lpwstr>
  </property>
  <property fmtid="{D5CDD505-2E9C-101B-9397-08002B2CF9AE}" pid="4" name="ICV">
    <vt:lpwstr>72254DAA77D74904BA8B9ABEE2DC7480_12</vt:lpwstr>
  </property>
</Properties>
</file>