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rPr>
          <w:rFonts w:hint="eastAsia"/>
        </w:rPr>
      </w:pPr>
      <w:bookmarkStart w:id="4" w:name="_GoBack"/>
      <w:bookmarkStart w:id="0" w:name="_Toc19475"/>
      <w:bookmarkStart w:id="1" w:name="_Toc4663"/>
      <w:r>
        <w:rPr>
          <w:rFonts w:hint="eastAsia"/>
        </w:rPr>
        <w:t>关于国家机关工作人员及离退休人员死亡</w:t>
      </w:r>
      <w:r>
        <w:rPr>
          <w:rFonts w:hint="eastAsia"/>
        </w:rPr>
        <w:br w:type="textWrapping"/>
      </w:r>
      <w:r>
        <w:rPr>
          <w:rFonts w:hint="eastAsia"/>
        </w:rPr>
        <w:t>一次性抚恤金发放有关问题的通知</w:t>
      </w:r>
      <w:bookmarkEnd w:id="0"/>
      <w:bookmarkEnd w:id="1"/>
    </w:p>
    <w:p>
      <w:pPr>
        <w:pStyle w:val="6"/>
        <w:rPr>
          <w:rFonts w:hint="eastAsia"/>
        </w:rPr>
      </w:pPr>
      <w:bookmarkStart w:id="2" w:name="_Toc10504"/>
      <w:bookmarkStart w:id="3" w:name="_Toc29720"/>
      <w:r>
        <w:rPr>
          <w:rFonts w:hint="eastAsia"/>
        </w:rPr>
        <w:t>民发〔2011〕192号</w:t>
      </w:r>
      <w:bookmarkEnd w:id="2"/>
      <w:bookmarkEnd w:id="3"/>
    </w:p>
    <w:bookmarkEnd w:id="4"/>
    <w:p>
      <w:pPr>
        <w:pStyle w:val="7"/>
        <w:rPr>
          <w:rFonts w:hint="eastAsia"/>
        </w:rPr>
      </w:pPr>
      <w:r>
        <w:rPr>
          <w:rFonts w:hint="eastAsia"/>
        </w:rPr>
        <w:t>各省、自治区、直辖市民政厅</w:t>
      </w:r>
      <w:r>
        <w:rPr>
          <w:rFonts w:hint="eastAsia"/>
          <w:lang w:eastAsia="zh-CN"/>
        </w:rPr>
        <w:t>（</w:t>
      </w:r>
      <w:r>
        <w:rPr>
          <w:rFonts w:hint="eastAsia"/>
        </w:rPr>
        <w:t>局</w:t>
      </w:r>
      <w:r>
        <w:rPr>
          <w:rFonts w:hint="eastAsia"/>
          <w:lang w:eastAsia="zh-CN"/>
        </w:rPr>
        <w:t>）</w:t>
      </w:r>
      <w:r>
        <w:rPr>
          <w:rFonts w:hint="eastAsia"/>
        </w:rPr>
        <w:t>、人力资源社会保障厅</w:t>
      </w:r>
      <w:r>
        <w:rPr>
          <w:rFonts w:hint="eastAsia"/>
          <w:lang w:eastAsia="zh-CN"/>
        </w:rPr>
        <w:t>（</w:t>
      </w:r>
      <w:r>
        <w:rPr>
          <w:rFonts w:hint="eastAsia"/>
        </w:rPr>
        <w:t>局</w:t>
      </w:r>
      <w:r>
        <w:rPr>
          <w:rFonts w:hint="eastAsia"/>
          <w:lang w:eastAsia="zh-CN"/>
        </w:rPr>
        <w:t>）</w:t>
      </w:r>
      <w:r>
        <w:rPr>
          <w:rFonts w:hint="eastAsia"/>
        </w:rPr>
        <w:t>、财政厅</w:t>
      </w:r>
      <w:r>
        <w:rPr>
          <w:rFonts w:hint="eastAsia"/>
          <w:lang w:eastAsia="zh-CN"/>
        </w:rPr>
        <w:t>（</w:t>
      </w:r>
      <w:r>
        <w:rPr>
          <w:rFonts w:hint="eastAsia"/>
        </w:rPr>
        <w:t>局</w:t>
      </w:r>
      <w:r>
        <w:rPr>
          <w:rFonts w:hint="eastAsia"/>
          <w:lang w:eastAsia="zh-CN"/>
        </w:rPr>
        <w:t>）</w:t>
      </w:r>
      <w:r>
        <w:rPr>
          <w:rFonts w:hint="eastAsia"/>
        </w:rPr>
        <w:t>、福建省公务员局，新疆生产建设兵团民政局、人事局、劳动保障局、财务局，中央和国家机关各部门、各直属机构人事</w:t>
      </w:r>
      <w:r>
        <w:rPr>
          <w:rFonts w:hint="eastAsia"/>
          <w:lang w:eastAsia="zh-CN"/>
        </w:rPr>
        <w:t>（</w:t>
      </w:r>
      <w:r>
        <w:rPr>
          <w:rFonts w:hint="eastAsia"/>
        </w:rPr>
        <w:t>干部</w:t>
      </w:r>
      <w:r>
        <w:rPr>
          <w:rFonts w:hint="eastAsia"/>
          <w:lang w:eastAsia="zh-CN"/>
        </w:rPr>
        <w:t>）</w:t>
      </w:r>
      <w:r>
        <w:rPr>
          <w:rFonts w:hint="eastAsia"/>
        </w:rPr>
        <w:t>部门：</w:t>
      </w:r>
    </w:p>
    <w:p>
      <w:pPr>
        <w:rPr>
          <w:rFonts w:hint="eastAsia"/>
        </w:rPr>
      </w:pPr>
      <w:r>
        <w:rPr>
          <w:rFonts w:hint="eastAsia"/>
        </w:rPr>
        <w:t>2011年8月1日，国务院公布施行的《烈士褒扬条例》和国务院、中央军委公布施行的《关于修改</w:t>
      </w:r>
      <w:r>
        <w:rPr>
          <w:rFonts w:hint="eastAsia"/>
          <w:lang w:eastAsia="zh-CN"/>
        </w:rPr>
        <w:t>〈</w:t>
      </w:r>
      <w:r>
        <w:rPr>
          <w:rFonts w:hint="eastAsia"/>
        </w:rPr>
        <w:t>军人抚恤优待条例</w:t>
      </w:r>
      <w:r>
        <w:rPr>
          <w:rFonts w:hint="eastAsia"/>
          <w:lang w:eastAsia="zh-CN"/>
        </w:rPr>
        <w:t>〉</w:t>
      </w:r>
      <w:r>
        <w:rPr>
          <w:rFonts w:hint="eastAsia"/>
        </w:rPr>
        <w:t>的决定》调整了一次性抚恤金标准。为适应有关政策的变化，现就国家机关工作人员及离退休人员死亡一次性抚恤金发放有关问题通知如下：</w:t>
      </w:r>
    </w:p>
    <w:p>
      <w:pPr>
        <w:pStyle w:val="8"/>
        <w:rPr>
          <w:rFonts w:hint="eastAsia"/>
        </w:rPr>
      </w:pPr>
      <w:r>
        <w:rPr>
          <w:rFonts w:hint="eastAsia"/>
        </w:rPr>
        <w:t>一、调整一次性抚恤金发放标准</w:t>
      </w:r>
    </w:p>
    <w:p>
      <w:pPr>
        <w:rPr>
          <w:rFonts w:hint="eastAsia"/>
        </w:rPr>
      </w:pPr>
      <w:r>
        <w:rPr>
          <w:rFonts w:hint="eastAsia"/>
        </w:rPr>
        <w:t>自2011年8月1日起，国家机关工作人员及离退休人员死亡，一次性抚恤金发放标准调整为：烈士和因公牺牲的，为上一年度全国城镇居民人均可支配收入的20倍加本人生前40个月基本工资或基本离退休费；病故的，为上一年度全国城镇居民人均可支配收入的2倍加本人生前40个月基本工资或基本离退休费。发放一次性抚恤金所需经费仍按现行渠道解决。</w:t>
      </w:r>
    </w:p>
    <w:p>
      <w:pPr>
        <w:pStyle w:val="8"/>
        <w:rPr>
          <w:rFonts w:hint="eastAsia"/>
        </w:rPr>
      </w:pPr>
      <w:r>
        <w:rPr>
          <w:rFonts w:hint="eastAsia"/>
        </w:rPr>
        <w:t>二、一次性抚恤金计发办法</w:t>
      </w:r>
    </w:p>
    <w:p>
      <w:pPr>
        <w:rPr>
          <w:rFonts w:hint="eastAsia"/>
        </w:rPr>
      </w:pPr>
      <w:r>
        <w:rPr>
          <w:rFonts w:hint="eastAsia"/>
        </w:rPr>
        <w:t>国家机关工作人员及离退休人员死亡一次性抚恤金的计发办法仍按照民政部、人事部、财政部《关于国家机关公作人员及离退休人员死亡一次性抚恤金发放办法的通知》</w:t>
      </w:r>
      <w:r>
        <w:rPr>
          <w:rFonts w:hint="eastAsia"/>
          <w:lang w:eastAsia="zh-CN"/>
        </w:rPr>
        <w:t>（</w:t>
      </w:r>
      <w:r>
        <w:rPr>
          <w:rFonts w:hint="eastAsia"/>
        </w:rPr>
        <w:t>民发</w:t>
      </w:r>
      <w:r>
        <w:rPr>
          <w:rFonts w:hint="eastAsia"/>
          <w:lang w:eastAsia="zh-CN"/>
        </w:rPr>
        <w:t>〔</w:t>
      </w:r>
      <w:r>
        <w:rPr>
          <w:rFonts w:hint="eastAsia"/>
        </w:rPr>
        <w:t>2007</w:t>
      </w:r>
      <w:r>
        <w:rPr>
          <w:rFonts w:hint="eastAsia"/>
          <w:lang w:eastAsia="zh-CN"/>
        </w:rPr>
        <w:t>〕</w:t>
      </w:r>
      <w:r>
        <w:rPr>
          <w:rFonts w:hint="eastAsia"/>
        </w:rPr>
        <w:t>64号</w:t>
      </w:r>
      <w:r>
        <w:rPr>
          <w:rFonts w:hint="eastAsia"/>
          <w:lang w:eastAsia="zh-CN"/>
        </w:rPr>
        <w:t>）</w:t>
      </w:r>
      <w:r>
        <w:rPr>
          <w:rFonts w:hint="eastAsia"/>
        </w:rPr>
        <w:t>的有关规定执行。</w:t>
      </w:r>
    </w:p>
    <w:p>
      <w:pPr>
        <w:rPr>
          <w:rFonts w:hint="eastAsia"/>
        </w:rPr>
      </w:pPr>
    </w:p>
    <w:p>
      <w:pPr>
        <w:pStyle w:val="9"/>
        <w:ind w:firstLine="527" w:firstLineChars="293"/>
        <w:jc w:val="both"/>
        <w:rPr>
          <w:rFonts w:hint="eastAsia"/>
        </w:rPr>
      </w:pPr>
      <w:r>
        <w:rPr>
          <w:rFonts w:hint="eastAsia"/>
        </w:rPr>
        <w:t>民</w:t>
      </w:r>
      <w:r>
        <w:rPr>
          <w:rFonts w:hint="eastAsia"/>
          <w:lang w:val="en-US" w:eastAsia="zh-CN"/>
        </w:rPr>
        <w:t xml:space="preserve"> </w:t>
      </w:r>
      <w:r>
        <w:rPr>
          <w:rFonts w:hint="eastAsia"/>
        </w:rPr>
        <w:t>政</w:t>
      </w:r>
      <w:r>
        <w:rPr>
          <w:rFonts w:hint="eastAsia"/>
          <w:lang w:val="en-US" w:eastAsia="zh-CN"/>
        </w:rPr>
        <w:t xml:space="preserve"> </w:t>
      </w:r>
      <w:r>
        <w:rPr>
          <w:rFonts w:hint="eastAsia"/>
        </w:rPr>
        <w:t>部</w:t>
      </w:r>
    </w:p>
    <w:p>
      <w:pPr>
        <w:pStyle w:val="9"/>
        <w:jc w:val="both"/>
        <w:rPr>
          <w:rFonts w:hint="eastAsia"/>
        </w:rPr>
      </w:pPr>
      <w:r>
        <w:rPr>
          <w:rFonts w:hint="eastAsia"/>
        </w:rPr>
        <w:t>人力资源和社会保障部</w:t>
      </w:r>
    </w:p>
    <w:p>
      <w:pPr>
        <w:pStyle w:val="9"/>
        <w:jc w:val="both"/>
        <w:rPr>
          <w:rFonts w:hint="eastAsia"/>
        </w:rPr>
      </w:pPr>
      <w:r>
        <w:rPr>
          <w:rFonts w:hint="eastAsia"/>
        </w:rPr>
        <w:t>财政部</w:t>
      </w:r>
    </w:p>
    <w:p>
      <w:pPr>
        <w:jc w:val="right"/>
      </w:pPr>
      <w:r>
        <w:rPr>
          <w:rFonts w:hint="eastAsia"/>
        </w:rPr>
        <w:t>二〇一一年十一月十五日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19F" w:csb1="00000000"/>
  </w:font>
  <w:font w:name="Calibri">
    <w:panose1 w:val="020F0502020204030204"/>
    <w:charset w:val="00"/>
    <w:family w:val="swiss"/>
    <w:pitch w:val="default"/>
    <w:sig w:usb0="E10002FF" w:usb1="4000ACFF" w:usb2="00000009" w:usb3="00000000" w:csb0="2000019F" w:csb1="00000000"/>
  </w:font>
  <w:font w:name="方正小标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Times">
    <w:altName w:val="Times New Roman"/>
    <w:panose1 w:val="02020603050405020304"/>
    <w:charset w:val="00"/>
    <w:family w:val="roman"/>
    <w:pitch w:val="default"/>
    <w:sig w:usb0="00000000" w:usb1="00000000" w:usb2="00000009" w:usb3="00000000" w:csb0="000001F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方正书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altName w:val="微软雅黑"/>
    <w:panose1 w:val="03000509000000000000"/>
    <w:charset w:val="86"/>
    <w:family w:val="auto"/>
    <w:pitch w:val="default"/>
    <w:sig w:usb0="00000000" w:usb1="00000000" w:usb2="00000000" w:usb3="00000000" w:csb0="00040000" w:csb1="00000000"/>
  </w:font>
  <w:font w:name="方正细黑一_GBK">
    <w:altName w:val="黑体"/>
    <w:panose1 w:val="03000509000000000000"/>
    <w:charset w:val="86"/>
    <w:family w:val="auto"/>
    <w:pitch w:val="default"/>
    <w:sig w:usb0="00000000" w:usb1="00000000" w:usb2="00000000" w:usb3="00000000" w:csb0="00040000" w:csb1="00000000"/>
  </w:font>
  <w:font w:name="新宋体">
    <w:panose1 w:val="02010609030101010101"/>
    <w:charset w:val="86"/>
    <w:family w:val="modern"/>
    <w:pitch w:val="default"/>
    <w:sig w:usb0="00000003" w:usb1="288F0000" w:usb2="00000006" w:usb3="00000000" w:csb0="00040001" w:csb1="00000000"/>
  </w:font>
  <w:font w:name="FZSSK--GBK1-0">
    <w:altName w:val="宋体"/>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书宋_GBK">
    <w:altName w:val="微软雅黑"/>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642BC9"/>
    <w:rsid w:val="74642BC9"/>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customStyle="1" w:styleId="6">
    <w:name w:val="发文字号"/>
    <w:basedOn w:val="1"/>
    <w:qFormat/>
    <w:uiPriority w:val="0"/>
    <w:pPr>
      <w:spacing w:before="160" w:after="160"/>
      <w:ind w:firstLine="0" w:firstLineChars="0"/>
      <w:jc w:val="center"/>
    </w:pPr>
    <w:rPr>
      <w:rFonts w:eastAsia="方正楷体_GBK"/>
      <w:sz w:val="20"/>
    </w:rPr>
  </w:style>
  <w:style w:type="paragraph" w:customStyle="1" w:styleId="7">
    <w:name w:val="有关单位"/>
    <w:basedOn w:val="1"/>
    <w:qFormat/>
    <w:uiPriority w:val="0"/>
    <w:pPr>
      <w:ind w:firstLine="0" w:firstLineChars="0"/>
    </w:pPr>
  </w:style>
  <w:style w:type="paragraph" w:customStyle="1" w:styleId="8">
    <w:name w:val="副标题3"/>
    <w:basedOn w:val="1"/>
    <w:next w:val="1"/>
    <w:qFormat/>
    <w:uiPriority w:val="0"/>
    <w:pPr>
      <w:keepNext w:val="0"/>
      <w:keepLines/>
      <w:widowControl/>
      <w:spacing w:before="160" w:after="100"/>
      <w:ind w:firstLine="360" w:firstLineChars="200"/>
      <w:jc w:val="left"/>
      <w:outlineLvl w:val="2"/>
    </w:pPr>
    <w:rPr>
      <w:rFonts w:hint="eastAsia" w:ascii="方正黑体_GBK" w:hAnsi="方正黑体_GBK" w:eastAsia="方正黑体_GBK"/>
      <w:sz w:val="20"/>
      <w:szCs w:val="24"/>
    </w:rPr>
  </w:style>
  <w:style w:type="paragraph" w:customStyle="1" w:styleId="9">
    <w:name w:val="落款单位"/>
    <w:basedOn w:val="1"/>
    <w:qFormat/>
    <w:uiPriority w:val="0"/>
    <w:pPr>
      <w:bidi/>
      <w:ind w:left="360" w:leftChars="200" w:right="360" w:rightChars="200" w:firstLine="0" w:firstLineChars="0"/>
      <w:jc w:val="lef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Office_10.8.0.5950_F1E327BC-269C-435d-A152-05C5408002CA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2021-12-29T07:36:00Z</dcterms:created>
  <dc:creator>Administrator</dc:creator>
  <cp:lastModifiedBy>Administrator</cp:lastModifiedBy>
  <dcterms:modified xsi:type="dcterms:W3CDTF">2021-12-29T07:37:34Z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2052-10.8.0.5950</vt:lpwstr>
  </property>
</Properties>
</file>