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9000" w:type="dxa"/>
        <w:jc w:val="center"/>
        <w:tblCellSpacing w:w="0" w:type="dxa"/>
        <w:shd w:val="clear" w:color="auto" w:fill="FFFFFF"/>
        <w:tblLayout w:type="autofit"/>
        <w:tblCellMar>
          <w:top w:w="0" w:type="dxa"/>
          <w:left w:w="0" w:type="dxa"/>
          <w:bottom w:w="0" w:type="dxa"/>
          <w:right w:w="0" w:type="dxa"/>
        </w:tblCellMar>
      </w:tblPr>
      <w:tblGrid>
        <w:gridCol w:w="9000"/>
      </w:tblGrid>
      <w:tr w14:paraId="0B2A5128">
        <w:tblPrEx>
          <w:shd w:val="clear" w:color="auto" w:fill="FFFFFF"/>
          <w:tblCellMar>
            <w:top w:w="0" w:type="dxa"/>
            <w:left w:w="0" w:type="dxa"/>
            <w:bottom w:w="0" w:type="dxa"/>
            <w:right w:w="0" w:type="dxa"/>
          </w:tblCellMar>
        </w:tblPrEx>
        <w:trPr>
          <w:trHeight w:val="15" w:hRule="atLeast"/>
          <w:tblCellSpacing w:w="0" w:type="dxa"/>
          <w:jc w:val="center"/>
        </w:trPr>
        <w:tc>
          <w:tcPr>
            <w:tcW w:w="0" w:type="auto"/>
            <w:shd w:val="clear" w:color="auto" w:fill="FFFFFF"/>
            <w:vAlign w:val="center"/>
          </w:tcPr>
          <w:p w14:paraId="0E82CC18">
            <w:pPr>
              <w:widowControl/>
              <w:jc w:val="center"/>
              <w:rPr>
                <w:rFonts w:hint="eastAsia" w:ascii="微软雅黑" w:hAnsi="微软雅黑" w:eastAsia="微软雅黑" w:cs="宋体"/>
                <w:kern w:val="0"/>
                <w:sz w:val="24"/>
                <w:szCs w:val="24"/>
              </w:rPr>
            </w:pPr>
            <w:bookmarkStart w:id="0" w:name="_GoBack"/>
            <w:bookmarkEnd w:id="0"/>
            <w:r>
              <w:rPr>
                <w:rFonts w:hint="eastAsia" w:ascii="黑体" w:hAnsi="黑体" w:eastAsia="黑体" w:cs="宋体"/>
                <w:kern w:val="0"/>
                <w:sz w:val="36"/>
                <w:szCs w:val="36"/>
              </w:rPr>
              <w:t>全省公安机关严禁工作日饮酒常态化检查实施办法（试行）</w:t>
            </w:r>
          </w:p>
        </w:tc>
      </w:tr>
    </w:tbl>
    <w:p w14:paraId="4400A0D0">
      <w:pPr>
        <w:widowControl/>
        <w:jc w:val="left"/>
        <w:rPr>
          <w:rFonts w:ascii="宋体" w:hAnsi="宋体" w:eastAsia="宋体" w:cs="宋体"/>
          <w:vanish/>
          <w:kern w:val="0"/>
          <w:sz w:val="24"/>
          <w:szCs w:val="24"/>
        </w:rPr>
      </w:pPr>
    </w:p>
    <w:tbl>
      <w:tblPr>
        <w:tblStyle w:val="3"/>
        <w:tblW w:w="9000" w:type="dxa"/>
        <w:jc w:val="center"/>
        <w:tblCellSpacing w:w="15" w:type="dxa"/>
        <w:shd w:val="clear" w:color="auto" w:fill="FFFFFF"/>
        <w:tblLayout w:type="autofit"/>
        <w:tblCellMar>
          <w:top w:w="15" w:type="dxa"/>
          <w:left w:w="15" w:type="dxa"/>
          <w:bottom w:w="15" w:type="dxa"/>
          <w:right w:w="15" w:type="dxa"/>
        </w:tblCellMar>
      </w:tblPr>
      <w:tblGrid>
        <w:gridCol w:w="9000"/>
      </w:tblGrid>
      <w:tr w14:paraId="39180C20">
        <w:tblPrEx>
          <w:shd w:val="clear" w:color="auto" w:fill="FFFFFF"/>
          <w:tblCellMar>
            <w:top w:w="15" w:type="dxa"/>
            <w:left w:w="15" w:type="dxa"/>
            <w:bottom w:w="15" w:type="dxa"/>
            <w:right w:w="15" w:type="dxa"/>
          </w:tblCellMar>
        </w:tblPrEx>
        <w:trPr>
          <w:tblCellSpacing w:w="15" w:type="dxa"/>
          <w:jc w:val="center"/>
        </w:trPr>
        <w:tc>
          <w:tcPr>
            <w:tcW w:w="0" w:type="auto"/>
            <w:shd w:val="clear" w:color="auto" w:fill="FFFFFF"/>
            <w:vAlign w:val="center"/>
          </w:tcPr>
          <w:p w14:paraId="01F9C64B">
            <w:pPr>
              <w:widowControl/>
              <w:wordWrap w:val="0"/>
              <w:ind w:firstLine="640"/>
              <w:rPr>
                <w:rFonts w:ascii="宋体" w:hAnsi="宋体" w:eastAsia="宋体" w:cs="宋体"/>
                <w:kern w:val="0"/>
                <w:sz w:val="24"/>
                <w:szCs w:val="24"/>
              </w:rPr>
            </w:pPr>
            <w:r>
              <w:rPr>
                <w:rFonts w:hint="eastAsia" w:ascii="黑体" w:hAnsi="黑体" w:eastAsia="黑体" w:cs="宋体"/>
                <w:kern w:val="0"/>
                <w:sz w:val="32"/>
                <w:szCs w:val="32"/>
              </w:rPr>
              <w:t>第一条</w:t>
            </w:r>
            <w:r>
              <w:rPr>
                <w:rFonts w:ascii="Times New Roman" w:hAnsi="Times New Roman" w:eastAsia="宋体" w:cs="Times New Roman"/>
                <w:kern w:val="0"/>
                <w:sz w:val="32"/>
                <w:szCs w:val="32"/>
              </w:rPr>
              <w:t>  </w:t>
            </w:r>
            <w:r>
              <w:rPr>
                <w:rFonts w:ascii="仿宋_GB2312" w:hAnsi="Times New Roman" w:eastAsia="仿宋_GB2312" w:cs="Times New Roman"/>
                <w:kern w:val="0"/>
                <w:sz w:val="32"/>
                <w:szCs w:val="32"/>
              </w:rPr>
              <w:t>为深入推进全省公安机关严格落实《公安部关于严禁违规宴请饮酒的规定》（以下简称《六项规定》）特别是严禁工作日饮酒规定，持续加强队伍正规化建设，进一步规范工作日饮酒检查工作，结合实际，制定本办法。</w:t>
            </w:r>
          </w:p>
          <w:p w14:paraId="3DB63070">
            <w:pPr>
              <w:widowControl/>
              <w:wordWrap w:val="0"/>
              <w:ind w:firstLine="640"/>
              <w:rPr>
                <w:rFonts w:ascii="宋体" w:hAnsi="宋体" w:eastAsia="宋体" w:cs="宋体"/>
                <w:kern w:val="0"/>
                <w:sz w:val="24"/>
                <w:szCs w:val="24"/>
              </w:rPr>
            </w:pPr>
            <w:r>
              <w:rPr>
                <w:rFonts w:hint="eastAsia" w:ascii="黑体" w:hAnsi="黑体" w:eastAsia="黑体" w:cs="宋体"/>
                <w:kern w:val="0"/>
                <w:sz w:val="32"/>
                <w:szCs w:val="32"/>
              </w:rPr>
              <w:t>第二条</w:t>
            </w:r>
            <w:r>
              <w:rPr>
                <w:rFonts w:ascii="Times New Roman" w:hAnsi="Times New Roman" w:eastAsia="宋体" w:cs="Times New Roman"/>
                <w:kern w:val="0"/>
                <w:sz w:val="32"/>
                <w:szCs w:val="32"/>
              </w:rPr>
              <w:t>  </w:t>
            </w:r>
            <w:r>
              <w:rPr>
                <w:rFonts w:ascii="仿宋_GB2312" w:hAnsi="Times New Roman" w:eastAsia="仿宋_GB2312" w:cs="Times New Roman"/>
                <w:kern w:val="0"/>
                <w:sz w:val="32"/>
                <w:szCs w:val="32"/>
              </w:rPr>
              <w:t>严禁饮酒时间按照《六项规定》要求执行。检查对象为全省公安机关在编在职民警，辅警及职工参照执行。已办理年休、长病假等审批手续的人员不列入检查。</w:t>
            </w:r>
          </w:p>
          <w:p w14:paraId="60CDB66A">
            <w:pPr>
              <w:widowControl/>
              <w:wordWrap w:val="0"/>
              <w:ind w:firstLine="640"/>
              <w:rPr>
                <w:rFonts w:ascii="宋体" w:hAnsi="宋体" w:eastAsia="宋体" w:cs="宋体"/>
                <w:kern w:val="0"/>
                <w:sz w:val="24"/>
                <w:szCs w:val="24"/>
              </w:rPr>
            </w:pPr>
            <w:r>
              <w:rPr>
                <w:rFonts w:hint="eastAsia" w:ascii="黑体" w:hAnsi="黑体" w:eastAsia="黑体" w:cs="宋体"/>
                <w:kern w:val="0"/>
                <w:sz w:val="32"/>
                <w:szCs w:val="32"/>
              </w:rPr>
              <w:t>第三条</w:t>
            </w:r>
            <w:r>
              <w:rPr>
                <w:rFonts w:ascii="Times New Roman" w:hAnsi="Times New Roman" w:eastAsia="宋体" w:cs="Times New Roman"/>
                <w:kern w:val="0"/>
                <w:sz w:val="32"/>
                <w:szCs w:val="32"/>
              </w:rPr>
              <w:t>  </w:t>
            </w:r>
            <w:r>
              <w:rPr>
                <w:rFonts w:ascii="仿宋_GB2312" w:hAnsi="Times New Roman" w:eastAsia="仿宋_GB2312" w:cs="Times New Roman"/>
                <w:kern w:val="0"/>
                <w:sz w:val="32"/>
                <w:szCs w:val="32"/>
              </w:rPr>
              <w:t>各级警务督察部门要会同政工、纪检等部门对本级公安机关执行严禁工作日饮酒情况开展常态化检查，原则上每月不少于</w:t>
            </w:r>
            <w:r>
              <w:rPr>
                <w:rFonts w:ascii="Times New Roman" w:hAnsi="Times New Roman" w:eastAsia="宋体" w:cs="Times New Roman"/>
                <w:kern w:val="0"/>
                <w:sz w:val="32"/>
                <w:szCs w:val="32"/>
              </w:rPr>
              <w:t>2</w:t>
            </w:r>
            <w:r>
              <w:rPr>
                <w:rFonts w:ascii="仿宋_GB2312" w:hAnsi="Times New Roman" w:eastAsia="仿宋_GB2312" w:cs="Times New Roman"/>
                <w:kern w:val="0"/>
                <w:sz w:val="32"/>
                <w:szCs w:val="32"/>
              </w:rPr>
              <w:t>次。上级公安机关警务督察部门应适时对下级公安机关进行抽查检查。</w:t>
            </w:r>
          </w:p>
          <w:p w14:paraId="4F6859FE">
            <w:pPr>
              <w:widowControl/>
              <w:wordWrap w:val="0"/>
              <w:ind w:firstLine="640"/>
              <w:rPr>
                <w:rFonts w:ascii="宋体" w:hAnsi="宋体" w:eastAsia="宋体" w:cs="宋体"/>
                <w:kern w:val="0"/>
                <w:sz w:val="24"/>
                <w:szCs w:val="24"/>
              </w:rPr>
            </w:pPr>
            <w:r>
              <w:rPr>
                <w:rFonts w:hint="eastAsia" w:ascii="黑体" w:hAnsi="黑体" w:eastAsia="黑体" w:cs="宋体"/>
                <w:kern w:val="0"/>
                <w:sz w:val="32"/>
                <w:szCs w:val="32"/>
              </w:rPr>
              <w:t>第四条</w:t>
            </w:r>
            <w:r>
              <w:rPr>
                <w:rFonts w:ascii="Calibri" w:hAnsi="Calibri" w:eastAsia="黑体" w:cs="Calibri"/>
                <w:kern w:val="0"/>
                <w:sz w:val="32"/>
                <w:szCs w:val="32"/>
              </w:rPr>
              <w:t> </w:t>
            </w:r>
            <w:r>
              <w:rPr>
                <w:rFonts w:ascii="Times New Roman" w:hAnsi="Times New Roman" w:eastAsia="宋体" w:cs="Times New Roman"/>
                <w:kern w:val="0"/>
                <w:sz w:val="32"/>
                <w:szCs w:val="32"/>
              </w:rPr>
              <w:t> </w:t>
            </w:r>
            <w:r>
              <w:rPr>
                <w:rFonts w:ascii="仿宋_GB2312" w:hAnsi="Times New Roman" w:eastAsia="仿宋_GB2312" w:cs="Times New Roman"/>
                <w:kern w:val="0"/>
                <w:sz w:val="32"/>
                <w:szCs w:val="32"/>
              </w:rPr>
              <w:t>检查指令由警务督察部门发布。被检查单位接到指令后，应当及时通知人员在规定时间内到达指定地点接受检查，提供全体在编人员名单和不列入检查人员相关证明材料，并由主要负责人签字确认。</w:t>
            </w:r>
          </w:p>
          <w:p w14:paraId="75A4C44F">
            <w:pPr>
              <w:widowControl/>
              <w:wordWrap w:val="0"/>
              <w:ind w:firstLine="640"/>
              <w:rPr>
                <w:rFonts w:ascii="宋体" w:hAnsi="宋体" w:eastAsia="宋体" w:cs="宋体"/>
                <w:kern w:val="0"/>
                <w:sz w:val="24"/>
                <w:szCs w:val="24"/>
              </w:rPr>
            </w:pPr>
            <w:r>
              <w:rPr>
                <w:rFonts w:hint="eastAsia" w:ascii="黑体" w:hAnsi="黑体" w:eastAsia="黑体" w:cs="宋体"/>
                <w:kern w:val="0"/>
                <w:sz w:val="32"/>
                <w:szCs w:val="32"/>
              </w:rPr>
              <w:t>第五条</w:t>
            </w:r>
            <w:r>
              <w:rPr>
                <w:rFonts w:ascii="Times New Roman" w:hAnsi="Times New Roman" w:eastAsia="宋体" w:cs="Times New Roman"/>
                <w:kern w:val="0"/>
                <w:sz w:val="32"/>
                <w:szCs w:val="32"/>
              </w:rPr>
              <w:t>  </w:t>
            </w:r>
            <w:r>
              <w:rPr>
                <w:rFonts w:ascii="仿宋_GB2312" w:hAnsi="Times New Roman" w:eastAsia="仿宋_GB2312" w:cs="Times New Roman"/>
                <w:kern w:val="0"/>
                <w:sz w:val="32"/>
                <w:szCs w:val="32"/>
              </w:rPr>
              <w:t>人员前往指定地点接受检查途中应确保自身安全，对因省内出差、路程较远、借调外单位等情况无法及时到达指定地点的，可向检查人员申请到就近公安机关（派出所）接受异地检查。异地检查申请跨县级及以上行政区域的，由被检单位所属地和人员所在地共同上级公安机关警务督察部门负责协调。</w:t>
            </w:r>
          </w:p>
          <w:p w14:paraId="5516A542">
            <w:pPr>
              <w:widowControl/>
              <w:wordWrap w:val="0"/>
              <w:ind w:firstLine="640"/>
              <w:rPr>
                <w:rFonts w:ascii="宋体" w:hAnsi="宋体" w:eastAsia="宋体" w:cs="宋体"/>
                <w:kern w:val="0"/>
                <w:sz w:val="24"/>
                <w:szCs w:val="24"/>
              </w:rPr>
            </w:pPr>
            <w:r>
              <w:rPr>
                <w:rFonts w:hint="eastAsia" w:ascii="黑体" w:hAnsi="黑体" w:eastAsia="黑体" w:cs="宋体"/>
                <w:kern w:val="0"/>
                <w:sz w:val="32"/>
                <w:szCs w:val="32"/>
              </w:rPr>
              <w:t>第六条</w:t>
            </w:r>
            <w:r>
              <w:rPr>
                <w:rFonts w:ascii="Calibri" w:hAnsi="Calibri" w:eastAsia="黑体" w:cs="Calibri"/>
                <w:kern w:val="0"/>
                <w:sz w:val="32"/>
                <w:szCs w:val="32"/>
              </w:rPr>
              <w:t> </w:t>
            </w:r>
            <w:r>
              <w:rPr>
                <w:rFonts w:ascii="Times New Roman" w:hAnsi="Times New Roman" w:eastAsia="宋体" w:cs="Times New Roman"/>
                <w:kern w:val="0"/>
                <w:sz w:val="32"/>
                <w:szCs w:val="32"/>
              </w:rPr>
              <w:t> </w:t>
            </w:r>
            <w:r>
              <w:rPr>
                <w:rFonts w:ascii="仿宋_GB2312" w:hAnsi="Times New Roman" w:eastAsia="仿宋_GB2312" w:cs="Times New Roman"/>
                <w:kern w:val="0"/>
                <w:sz w:val="32"/>
                <w:szCs w:val="32"/>
              </w:rPr>
              <w:t>因生病、省外出差等特殊事由不能到场接受检查的，检查人员应通过视频连线等方式予以记录确认，相关证明材料经被检查单位主要负责人签字后报检查人员备案。</w:t>
            </w:r>
          </w:p>
          <w:p w14:paraId="3981AF94">
            <w:pPr>
              <w:widowControl/>
              <w:wordWrap w:val="0"/>
              <w:ind w:firstLine="640"/>
              <w:rPr>
                <w:rFonts w:ascii="宋体" w:hAnsi="宋体" w:eastAsia="宋体" w:cs="宋体"/>
                <w:kern w:val="0"/>
                <w:sz w:val="24"/>
                <w:szCs w:val="24"/>
              </w:rPr>
            </w:pPr>
            <w:r>
              <w:rPr>
                <w:rFonts w:hint="eastAsia" w:ascii="黑体" w:hAnsi="黑体" w:eastAsia="黑体" w:cs="宋体"/>
                <w:kern w:val="0"/>
                <w:sz w:val="32"/>
                <w:szCs w:val="32"/>
              </w:rPr>
              <w:t>第七条</w:t>
            </w:r>
            <w:r>
              <w:rPr>
                <w:rFonts w:ascii="Calibri" w:hAnsi="Calibri" w:eastAsia="黑体" w:cs="Calibri"/>
                <w:kern w:val="0"/>
                <w:sz w:val="32"/>
                <w:szCs w:val="32"/>
              </w:rPr>
              <w:t>  </w:t>
            </w:r>
            <w:r>
              <w:rPr>
                <w:rFonts w:ascii="仿宋_GB2312" w:hAnsi="Times New Roman" w:eastAsia="仿宋_GB2312" w:cs="Times New Roman"/>
                <w:kern w:val="0"/>
                <w:sz w:val="32"/>
                <w:szCs w:val="32"/>
              </w:rPr>
              <w:t>各级警务督察部门须配备酒精测试仪、</w:t>
            </w:r>
            <w:r>
              <w:rPr>
                <w:rFonts w:ascii="Times New Roman" w:hAnsi="Times New Roman" w:eastAsia="宋体" w:cs="Times New Roman"/>
                <w:kern w:val="0"/>
                <w:sz w:val="32"/>
                <w:szCs w:val="32"/>
              </w:rPr>
              <w:t>4G</w:t>
            </w:r>
            <w:r>
              <w:rPr>
                <w:rFonts w:ascii="仿宋_GB2312" w:hAnsi="Times New Roman" w:eastAsia="仿宋_GB2312" w:cs="Times New Roman"/>
                <w:kern w:val="0"/>
                <w:sz w:val="32"/>
                <w:szCs w:val="32"/>
              </w:rPr>
              <w:t>执法记录仪及其他必要装备。</w:t>
            </w:r>
          </w:p>
          <w:p w14:paraId="7F0E22DD">
            <w:pPr>
              <w:widowControl/>
              <w:wordWrap w:val="0"/>
              <w:ind w:firstLine="640"/>
              <w:rPr>
                <w:rFonts w:ascii="宋体" w:hAnsi="宋体" w:eastAsia="宋体" w:cs="宋体"/>
                <w:kern w:val="0"/>
                <w:sz w:val="24"/>
                <w:szCs w:val="24"/>
              </w:rPr>
            </w:pPr>
            <w:r>
              <w:rPr>
                <w:rFonts w:hint="eastAsia" w:ascii="黑体" w:hAnsi="黑体" w:eastAsia="黑体" w:cs="宋体"/>
                <w:kern w:val="0"/>
                <w:sz w:val="32"/>
                <w:szCs w:val="32"/>
              </w:rPr>
              <w:t>第八条</w:t>
            </w:r>
            <w:r>
              <w:rPr>
                <w:rFonts w:ascii="Times New Roman" w:hAnsi="Times New Roman" w:eastAsia="宋体" w:cs="Times New Roman"/>
                <w:kern w:val="0"/>
                <w:sz w:val="32"/>
                <w:szCs w:val="32"/>
              </w:rPr>
              <w:t>  </w:t>
            </w:r>
            <w:r>
              <w:rPr>
                <w:rFonts w:ascii="仿宋_GB2312" w:hAnsi="Times New Roman" w:eastAsia="仿宋_GB2312" w:cs="Times New Roman"/>
                <w:kern w:val="0"/>
                <w:sz w:val="32"/>
                <w:szCs w:val="32"/>
              </w:rPr>
              <w:t>对检查发现工作日饮酒的，由所属公安机关视情给予批评教育、通报批评、诫勉谈话等处理，并开展</w:t>
            </w:r>
            <w:r>
              <w:rPr>
                <w:rFonts w:ascii="Times New Roman" w:hAnsi="Times New Roman" w:eastAsia="宋体" w:cs="Times New Roman"/>
                <w:kern w:val="0"/>
                <w:sz w:val="32"/>
                <w:szCs w:val="32"/>
              </w:rPr>
              <w:t>“</w:t>
            </w:r>
            <w:r>
              <w:rPr>
                <w:rFonts w:ascii="仿宋_GB2312" w:hAnsi="Times New Roman" w:eastAsia="仿宋_GB2312" w:cs="Times New Roman"/>
                <w:kern w:val="0"/>
                <w:sz w:val="32"/>
                <w:szCs w:val="32"/>
              </w:rPr>
              <w:t>一案三查</w:t>
            </w:r>
            <w:r>
              <w:rPr>
                <w:rFonts w:ascii="Times New Roman" w:hAnsi="Times New Roman" w:eastAsia="宋体" w:cs="Times New Roman"/>
                <w:kern w:val="0"/>
                <w:sz w:val="32"/>
                <w:szCs w:val="32"/>
              </w:rPr>
              <w:t>”</w:t>
            </w:r>
            <w:r>
              <w:rPr>
                <w:rFonts w:ascii="仿宋_GB2312" w:hAnsi="Times New Roman" w:eastAsia="仿宋_GB2312" w:cs="Times New Roman"/>
                <w:kern w:val="0"/>
                <w:sz w:val="32"/>
                <w:szCs w:val="32"/>
              </w:rPr>
              <w:t>，发现有违反中央八项规定精神或《六项规定》其他行为等情形的，根据违纪情节给予组织处理或党纪政务处分；构成违法犯罪的，依法追究相应责任。</w:t>
            </w:r>
          </w:p>
          <w:p w14:paraId="125DAEF0">
            <w:pPr>
              <w:widowControl/>
              <w:wordWrap w:val="0"/>
              <w:ind w:firstLine="640"/>
              <w:rPr>
                <w:rFonts w:ascii="宋体" w:hAnsi="宋体" w:eastAsia="宋体" w:cs="宋体"/>
                <w:kern w:val="0"/>
                <w:sz w:val="24"/>
                <w:szCs w:val="24"/>
              </w:rPr>
            </w:pPr>
            <w:r>
              <w:rPr>
                <w:rFonts w:hint="eastAsia" w:ascii="黑体" w:hAnsi="黑体" w:eastAsia="黑体" w:cs="宋体"/>
                <w:kern w:val="0"/>
                <w:sz w:val="32"/>
                <w:szCs w:val="32"/>
              </w:rPr>
              <w:t>第九条</w:t>
            </w:r>
            <w:r>
              <w:rPr>
                <w:rFonts w:ascii="Times New Roman" w:hAnsi="Times New Roman" w:eastAsia="宋体" w:cs="Times New Roman"/>
                <w:kern w:val="0"/>
                <w:sz w:val="32"/>
                <w:szCs w:val="32"/>
              </w:rPr>
              <w:t>  </w:t>
            </w:r>
            <w:r>
              <w:rPr>
                <w:rFonts w:ascii="仿宋_GB2312" w:hAnsi="Times New Roman" w:eastAsia="仿宋_GB2312" w:cs="Times New Roman"/>
                <w:kern w:val="0"/>
                <w:sz w:val="32"/>
                <w:szCs w:val="32"/>
              </w:rPr>
              <w:t>各级公安机关党委要切实履行主体责任，积极主动配合检查工作，对弄虚作假、执行不力造成不良影响的，予以通报批评；对领导干部履责不力的，按层级管理规定予以问责。</w:t>
            </w:r>
          </w:p>
          <w:p w14:paraId="185D4FFD">
            <w:pPr>
              <w:widowControl/>
              <w:wordWrap w:val="0"/>
              <w:ind w:firstLine="640"/>
              <w:rPr>
                <w:rFonts w:ascii="宋体" w:hAnsi="宋体" w:eastAsia="宋体" w:cs="宋体"/>
                <w:kern w:val="0"/>
                <w:sz w:val="24"/>
                <w:szCs w:val="24"/>
              </w:rPr>
            </w:pPr>
            <w:r>
              <w:rPr>
                <w:rFonts w:hint="eastAsia" w:ascii="黑体" w:hAnsi="黑体" w:eastAsia="黑体" w:cs="宋体"/>
                <w:kern w:val="0"/>
                <w:sz w:val="32"/>
                <w:szCs w:val="32"/>
              </w:rPr>
              <w:t>第十条</w:t>
            </w:r>
            <w:r>
              <w:rPr>
                <w:rFonts w:ascii="Times New Roman" w:hAnsi="Times New Roman" w:eastAsia="宋体" w:cs="Times New Roman"/>
                <w:kern w:val="0"/>
                <w:sz w:val="32"/>
                <w:szCs w:val="32"/>
              </w:rPr>
              <w:t>  </w:t>
            </w:r>
            <w:r>
              <w:rPr>
                <w:rFonts w:ascii="仿宋_GB2312" w:hAnsi="Times New Roman" w:eastAsia="仿宋_GB2312" w:cs="Times New Roman"/>
                <w:kern w:val="0"/>
                <w:sz w:val="32"/>
                <w:szCs w:val="32"/>
              </w:rPr>
              <w:t>本办法自即日起施行，由浙江省公安厅督察委员会办公室负责解释。</w:t>
            </w:r>
          </w:p>
        </w:tc>
      </w:tr>
    </w:tbl>
    <w:p w14:paraId="015B8F4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仿宋_GB2312">
    <w:altName w:val="仿宋"/>
    <w:panose1 w:val="02010609030101010101"/>
    <w:charset w:val="86"/>
    <w:family w:val="modern"/>
    <w:pitch w:val="default"/>
    <w:sig w:usb0="00000000" w:usb1="00000000" w:usb2="00000010" w:usb3="00000000" w:csb0="00040000" w:csb1="00000000"/>
  </w:font>
  <w:font w:name="方正小标宋简体">
    <w:altName w:val="方正舒体"/>
    <w:panose1 w:val="03000509000000000000"/>
    <w:charset w:val="86"/>
    <w:family w:val="script"/>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方正舒体">
    <w:panose1 w:val="02010601030101010101"/>
    <w:charset w:val="86"/>
    <w:family w:val="auto"/>
    <w:pitch w:val="default"/>
    <w:sig w:usb0="00000003"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2280"/>
    <w:rsid w:val="00282280"/>
    <w:rsid w:val="00796BFF"/>
    <w:rsid w:val="00ED098A"/>
    <w:rsid w:val="3D6659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1013</Words>
  <Characters>1039</Characters>
  <Lines>8</Lines>
  <Paragraphs>2</Paragraphs>
  <TotalTime>0</TotalTime>
  <ScaleCrop>false</ScaleCrop>
  <LinksUpToDate>false</LinksUpToDate>
  <CharactersWithSpaces>1145</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2025-02-18T01:55:00Z</dcterms:created>
  <dc:creator>IBM</dc:creator>
  <cp:lastModifiedBy>马丽娜</cp:lastModifiedBy>
  <dcterms:modified xsi:type="dcterms:W3CDTF">2025-03-24T08:10:37Z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eyJoZGlkIjoiZTFhZGJjMjlmMmZjZTNjZDI1YmM2ZTk0YWVjZmI2OTkiLCJ1c2VySWQiOiIxNjUyMjQ2MDYxIn0=</vt:lpwstr>
  </property>
  <property fmtid="{D5CDD505-2E9C-101B-9397-08002B2CF9AE}" pid="3" name="KSOProductBuildVer">
    <vt:lpwstr>2052-12.1.0.19302</vt:lpwstr>
  </property>
  <property fmtid="{D5CDD505-2E9C-101B-9397-08002B2CF9AE}" pid="4" name="ICV">
    <vt:lpwstr>0D42FF23B5274520B5F8957408CCEA1D_12</vt:lpwstr>
  </property>
</Properties>
</file>