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15BAB">
      <w:pPr>
        <w:spacing w:line="600" w:lineRule="exact"/>
        <w:jc w:val="center"/>
        <w:rPr>
          <w:rFonts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rPr>
        <w:t>浙江省公安机关警务督察部门办理</w:t>
      </w:r>
    </w:p>
    <w:p w14:paraId="7A945008">
      <w:pPr>
        <w:spacing w:line="600" w:lineRule="exact"/>
        <w:jc w:val="center"/>
        <w:rPr>
          <w:rFonts w:ascii="方正小标宋简体" w:hAnsi="方正小标宋简体" w:eastAsia="方正小标宋简体" w:cs="方正小标宋简体"/>
          <w:kern w:val="0"/>
          <w:sz w:val="44"/>
          <w:szCs w:val="44"/>
        </w:rPr>
      </w:pPr>
      <w:r>
        <w:rPr>
          <w:rFonts w:hint="eastAsia" w:ascii="方正小标宋简体" w:hAnsi="方正小标宋简体" w:eastAsia="方正小标宋简体" w:cs="方正小标宋简体"/>
          <w:kern w:val="0"/>
          <w:sz w:val="44"/>
          <w:szCs w:val="44"/>
        </w:rPr>
        <w:t>交办案事件程序规定（试行）</w:t>
      </w:r>
    </w:p>
    <w:p w14:paraId="69B1DDCA">
      <w:pPr>
        <w:spacing w:line="600" w:lineRule="exact"/>
        <w:ind w:firstLine="640"/>
        <w:rPr>
          <w:rFonts w:ascii="微软雅黑" w:hAnsi="微软雅黑" w:eastAsia="微软雅黑" w:cs="微软雅黑"/>
          <w:color w:val="000000"/>
          <w:kern w:val="0"/>
          <w:sz w:val="16"/>
          <w:szCs w:val="16"/>
        </w:rPr>
      </w:pPr>
      <w:r>
        <w:rPr>
          <w:rFonts w:hint="eastAsia" w:ascii="黑体" w:hAnsi="黑体" w:eastAsia="黑体" w:cs="黑体"/>
          <w:color w:val="000000"/>
          <w:kern w:val="0"/>
          <w:sz w:val="32"/>
          <w:szCs w:val="32"/>
        </w:rPr>
        <w:t xml:space="preserve">第一条【目的依据】 </w:t>
      </w:r>
      <w:r>
        <w:rPr>
          <w:rFonts w:hint="eastAsia" w:ascii="仿宋_GB2312" w:hAnsi="微软雅黑" w:eastAsia="仿宋_GB2312" w:cs="仿宋_GB2312"/>
          <w:color w:val="000000"/>
          <w:kern w:val="0"/>
          <w:sz w:val="32"/>
          <w:szCs w:val="32"/>
        </w:rPr>
        <w:t>为进一步规范交办案事件办理程序，提高交办案事件核查质量和效率，落实案事件核查工作责任制，根据《公安机关督察条例》《公安机关警务督察部门办理群众举报投诉事项工作规范》《公安机关警务督察部门处理投诉工作指引》等规定，结合全省实际，制定本规定。</w:t>
      </w:r>
      <w:bookmarkStart w:id="0" w:name="_GoBack"/>
      <w:bookmarkEnd w:id="0"/>
    </w:p>
    <w:p w14:paraId="37C651C7">
      <w:pPr>
        <w:spacing w:line="600" w:lineRule="exact"/>
        <w:ind w:firstLine="640"/>
        <w:rPr>
          <w:rFonts w:ascii="微软雅黑" w:hAnsi="微软雅黑" w:eastAsia="微软雅黑" w:cs="微软雅黑"/>
          <w:color w:val="000000"/>
          <w:kern w:val="0"/>
          <w:sz w:val="16"/>
          <w:szCs w:val="16"/>
        </w:rPr>
      </w:pPr>
      <w:r>
        <w:rPr>
          <w:rFonts w:hint="eastAsia" w:ascii="黑体" w:hAnsi="黑体" w:eastAsia="黑体" w:cs="黑体"/>
          <w:color w:val="000000"/>
          <w:kern w:val="0"/>
          <w:sz w:val="32"/>
          <w:szCs w:val="32"/>
        </w:rPr>
        <w:t xml:space="preserve">第二条【交办案事件范围】 </w:t>
      </w:r>
      <w:r>
        <w:rPr>
          <w:rFonts w:hint="eastAsia" w:ascii="仿宋_GB2312" w:hAnsi="微软雅黑" w:eastAsia="仿宋_GB2312" w:cs="仿宋_GB2312"/>
          <w:color w:val="000000"/>
          <w:kern w:val="0"/>
          <w:sz w:val="32"/>
          <w:szCs w:val="32"/>
        </w:rPr>
        <w:t>本规定所称交办案事件，是指厅警务督察总队交各市级公安机关警务督察部门办理的案事件，包括：</w:t>
      </w:r>
    </w:p>
    <w:p w14:paraId="1F059342">
      <w:pPr>
        <w:tabs>
          <w:tab w:val="right" w:pos="8306"/>
        </w:tabs>
        <w:spacing w:line="600" w:lineRule="exact"/>
        <w:ind w:firstLine="640"/>
        <w:rPr>
          <w:rFonts w:ascii="微软雅黑" w:hAnsi="微软雅黑" w:eastAsia="微软雅黑" w:cs="微软雅黑"/>
          <w:color w:val="000000"/>
          <w:kern w:val="0"/>
          <w:sz w:val="16"/>
          <w:szCs w:val="16"/>
        </w:rPr>
      </w:pPr>
      <w:r>
        <w:rPr>
          <w:rFonts w:hint="eastAsia" w:ascii="仿宋_GB2312" w:hAnsi="微软雅黑" w:eastAsia="仿宋_GB2312" w:cs="仿宋_GB2312"/>
          <w:color w:val="000000"/>
          <w:kern w:val="0"/>
          <w:sz w:val="32"/>
          <w:szCs w:val="32"/>
        </w:rPr>
        <w:t>（一）总队督办的案事件；</w:t>
      </w:r>
      <w:r>
        <w:rPr>
          <w:rFonts w:ascii="仿宋_GB2312" w:hAnsi="微软雅黑" w:eastAsia="仿宋_GB2312" w:cs="仿宋_GB2312"/>
          <w:color w:val="000000"/>
          <w:kern w:val="0"/>
          <w:sz w:val="32"/>
          <w:szCs w:val="32"/>
        </w:rPr>
        <w:tab/>
      </w:r>
    </w:p>
    <w:p w14:paraId="35A6DEE2">
      <w:pPr>
        <w:spacing w:line="600" w:lineRule="exact"/>
        <w:ind w:firstLine="640"/>
        <w:rPr>
          <w:rFonts w:ascii="微软雅黑" w:hAnsi="微软雅黑" w:eastAsia="微软雅黑" w:cs="微软雅黑"/>
          <w:color w:val="000000"/>
          <w:kern w:val="0"/>
          <w:sz w:val="16"/>
          <w:szCs w:val="16"/>
        </w:rPr>
      </w:pPr>
      <w:r>
        <w:rPr>
          <w:rFonts w:hint="eastAsia" w:ascii="仿宋_GB2312" w:hAnsi="微软雅黑" w:eastAsia="仿宋_GB2312" w:cs="仿宋_GB2312"/>
          <w:color w:val="000000"/>
          <w:kern w:val="0"/>
          <w:sz w:val="32"/>
          <w:szCs w:val="32"/>
        </w:rPr>
        <w:t>（二）总队转办的案事件；</w:t>
      </w:r>
    </w:p>
    <w:p w14:paraId="3CF62F3D">
      <w:pPr>
        <w:spacing w:line="600" w:lineRule="exact"/>
        <w:ind w:firstLine="640" w:firstLineChars="200"/>
        <w:rPr>
          <w:rFonts w:ascii="仿宋_GB2312" w:hAnsi="微软雅黑" w:eastAsia="仿宋_GB2312" w:cs="仿宋_GB2312"/>
          <w:color w:val="000000"/>
          <w:kern w:val="0"/>
          <w:sz w:val="32"/>
          <w:szCs w:val="32"/>
        </w:rPr>
      </w:pPr>
      <w:r>
        <w:rPr>
          <w:rFonts w:hint="eastAsia" w:ascii="仿宋_GB2312" w:hAnsi="微软雅黑" w:eastAsia="仿宋_GB2312" w:cs="仿宋_GB2312"/>
          <w:color w:val="000000"/>
          <w:kern w:val="0"/>
          <w:sz w:val="32"/>
          <w:szCs w:val="32"/>
        </w:rPr>
        <w:t>（三）总队交由各支队阅处的案事件。</w:t>
      </w:r>
    </w:p>
    <w:p w14:paraId="58EA39C5">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第三条【案事件督办】 </w:t>
      </w:r>
      <w:r>
        <w:rPr>
          <w:rFonts w:hint="eastAsia" w:ascii="仿宋_GB2312" w:hAnsi="微软雅黑" w:eastAsia="仿宋_GB2312" w:cs="仿宋_GB2312"/>
          <w:color w:val="000000"/>
          <w:kern w:val="0"/>
          <w:sz w:val="32"/>
          <w:szCs w:val="32"/>
        </w:rPr>
        <w:t>总队督办的案事件，应当由市级公安机关警务督察部门直接派员核查。</w:t>
      </w:r>
    </w:p>
    <w:p w14:paraId="13C01E8C">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第四条【案事件转办】 </w:t>
      </w:r>
      <w:r>
        <w:rPr>
          <w:rFonts w:hint="eastAsia" w:ascii="仿宋_GB2312" w:hAnsi="微软雅黑" w:eastAsia="仿宋_GB2312" w:cs="仿宋_GB2312"/>
          <w:color w:val="000000"/>
          <w:kern w:val="0"/>
          <w:sz w:val="32"/>
          <w:szCs w:val="32"/>
        </w:rPr>
        <w:t>总队转办的案事件，经市级公安机关警务督察部门负责人批准，可交由县级公安机关警务督察部门核查。</w:t>
      </w:r>
    </w:p>
    <w:p w14:paraId="26DED13D">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第五条【案事件阅处】 </w:t>
      </w:r>
      <w:r>
        <w:rPr>
          <w:rFonts w:hint="eastAsia" w:ascii="仿宋_GB2312" w:hAnsi="微软雅黑" w:eastAsia="仿宋_GB2312" w:cs="仿宋_GB2312"/>
          <w:color w:val="000000"/>
          <w:kern w:val="0"/>
          <w:sz w:val="32"/>
          <w:szCs w:val="32"/>
        </w:rPr>
        <w:t>总队交由市级公安机关警务督察部门阅处的案事件，市级公安机关警务督察部门可以直接派员核查，也可以指令县级公安机关警务督察部门组织核查。</w:t>
      </w:r>
    </w:p>
    <w:p w14:paraId="2893801B">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第六条【禁止层层批转】 </w:t>
      </w:r>
      <w:r>
        <w:rPr>
          <w:rFonts w:hint="eastAsia" w:ascii="仿宋_GB2312" w:hAnsi="微软雅黑" w:eastAsia="仿宋_GB2312" w:cs="仿宋_GB2312"/>
          <w:color w:val="000000"/>
          <w:kern w:val="0"/>
          <w:sz w:val="32"/>
          <w:szCs w:val="32"/>
        </w:rPr>
        <w:t>受领核查任务的警务督察部门不得将案事件层层</w:t>
      </w:r>
      <w:r>
        <w:rPr>
          <w:rFonts w:ascii="仿宋_GB2312" w:hAnsi="微软雅黑" w:eastAsia="仿宋_GB2312" w:cs="仿宋_GB2312"/>
          <w:color w:val="000000"/>
          <w:kern w:val="0"/>
          <w:sz w:val="32"/>
          <w:szCs w:val="32"/>
        </w:rPr>
        <w:t>批转，不得交由</w:t>
      </w:r>
      <w:r>
        <w:rPr>
          <w:rFonts w:hint="eastAsia" w:ascii="仿宋_GB2312" w:hAnsi="微软雅黑" w:eastAsia="仿宋_GB2312" w:cs="仿宋_GB2312"/>
          <w:color w:val="000000"/>
          <w:kern w:val="0"/>
          <w:sz w:val="32"/>
          <w:szCs w:val="32"/>
        </w:rPr>
        <w:t>被举报投诉单位核查。</w:t>
      </w:r>
    </w:p>
    <w:p w14:paraId="200038FC">
      <w:pPr>
        <w:spacing w:line="600" w:lineRule="exact"/>
        <w:ind w:firstLine="64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第七条【核查工作责任制】 </w:t>
      </w:r>
      <w:r>
        <w:rPr>
          <w:rFonts w:hint="eastAsia" w:ascii="仿宋_GB2312" w:hAnsi="微软雅黑" w:eastAsia="仿宋_GB2312" w:cs="仿宋_GB2312"/>
          <w:color w:val="000000"/>
          <w:kern w:val="0"/>
          <w:sz w:val="32"/>
          <w:szCs w:val="32"/>
        </w:rPr>
        <w:t>案事件办理严格落实核查工作责任制，受领核查任务的公安机关警务督察部门应当对核查结果负责。</w:t>
      </w:r>
    </w:p>
    <w:p w14:paraId="43CF7AA1">
      <w:pPr>
        <w:spacing w:line="600" w:lineRule="exact"/>
        <w:ind w:firstLine="64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第八条【回避制度】 </w:t>
      </w:r>
      <w:r>
        <w:rPr>
          <w:rFonts w:hint="eastAsia" w:ascii="仿宋_GB2312" w:hAnsi="微软雅黑" w:eastAsia="仿宋_GB2312" w:cs="仿宋_GB2312"/>
          <w:color w:val="000000"/>
          <w:kern w:val="0"/>
          <w:sz w:val="32"/>
          <w:szCs w:val="32"/>
        </w:rPr>
        <w:t>案事件办理严格执行回避制度：被投诉对象是局领导的，案事件不得交由涉诉局领导所在单位办理；被投诉对象是民警的，案事件不得交由涉诉民警所在部门办理。</w:t>
      </w:r>
    </w:p>
    <w:p w14:paraId="4C312ED7">
      <w:pPr>
        <w:spacing w:line="600" w:lineRule="exact"/>
        <w:ind w:firstLine="64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第九条【核查要求】 </w:t>
      </w:r>
      <w:r>
        <w:rPr>
          <w:rFonts w:hint="eastAsia" w:ascii="仿宋_GB2312" w:hAnsi="微软雅黑" w:eastAsia="仿宋_GB2312" w:cs="仿宋_GB2312"/>
          <w:color w:val="000000"/>
          <w:kern w:val="0"/>
          <w:sz w:val="32"/>
          <w:szCs w:val="32"/>
        </w:rPr>
        <w:t>案事件核查</w:t>
      </w:r>
      <w:r>
        <w:rPr>
          <w:rFonts w:ascii="仿宋_GB2312" w:hAnsi="微软雅黑" w:eastAsia="仿宋_GB2312" w:cs="仿宋_GB2312"/>
          <w:color w:val="000000"/>
          <w:kern w:val="0"/>
          <w:sz w:val="32"/>
          <w:szCs w:val="32"/>
        </w:rPr>
        <w:t>应不少于</w:t>
      </w:r>
      <w:r>
        <w:rPr>
          <w:rFonts w:hint="eastAsia" w:ascii="仿宋_GB2312" w:hAnsi="微软雅黑" w:eastAsia="仿宋_GB2312" w:cs="仿宋_GB2312"/>
          <w:color w:val="000000"/>
          <w:kern w:val="0"/>
          <w:sz w:val="32"/>
          <w:szCs w:val="32"/>
        </w:rPr>
        <w:t>2名</w:t>
      </w:r>
      <w:r>
        <w:rPr>
          <w:rFonts w:ascii="仿宋_GB2312" w:hAnsi="微软雅黑" w:eastAsia="仿宋_GB2312" w:cs="仿宋_GB2312"/>
          <w:color w:val="000000"/>
          <w:kern w:val="0"/>
          <w:sz w:val="32"/>
          <w:szCs w:val="32"/>
        </w:rPr>
        <w:t>督察民警</w:t>
      </w:r>
      <w:r>
        <w:rPr>
          <w:rFonts w:hint="eastAsia" w:ascii="仿宋_GB2312" w:hAnsi="微软雅黑" w:eastAsia="仿宋_GB2312" w:cs="仿宋_GB2312"/>
          <w:color w:val="000000"/>
          <w:kern w:val="0"/>
          <w:sz w:val="32"/>
          <w:szCs w:val="32"/>
        </w:rPr>
        <w:t>，办理工作必须坚持实事求是的原则，严格按照“核查三见面”“结果三落实”的要求开展，在全面了解真实情况基础上作出客观评价，确保案事件核查公平公正。</w:t>
      </w:r>
    </w:p>
    <w:p w14:paraId="05655D79">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第十条【核查时限】 </w:t>
      </w:r>
      <w:r>
        <w:rPr>
          <w:rFonts w:hint="eastAsia" w:ascii="仿宋_GB2312" w:hAnsi="微软雅黑" w:eastAsia="仿宋_GB2312" w:cs="仿宋_GB2312"/>
          <w:color w:val="000000"/>
          <w:kern w:val="0"/>
          <w:sz w:val="32"/>
          <w:szCs w:val="32"/>
        </w:rPr>
        <w:t>交办案事件应当在30日内办结并向上一级公安机关警务督察部门报告核查结果。有明确办理时限的，必须在规定的期限内完成核查并报送核查报告。对不能按期办结的疑难、复杂案事件，应当在办理时限内报告核查阶段情况和下步的工作措施，并说明不能按期办结的原因和延期理由。</w:t>
      </w:r>
    </w:p>
    <w:p w14:paraId="4AEDBA90">
      <w:pPr>
        <w:spacing w:line="600" w:lineRule="exact"/>
        <w:ind w:firstLine="640"/>
        <w:rPr>
          <w:rFonts w:ascii="微软雅黑" w:hAnsi="微软雅黑" w:eastAsia="微软雅黑" w:cs="微软雅黑"/>
          <w:color w:val="000000"/>
          <w:kern w:val="0"/>
          <w:sz w:val="16"/>
          <w:szCs w:val="16"/>
        </w:rPr>
      </w:pPr>
      <w:r>
        <w:rPr>
          <w:rFonts w:hint="eastAsia" w:ascii="黑体" w:hAnsi="黑体" w:eastAsia="黑体" w:cs="黑体"/>
          <w:color w:val="000000"/>
          <w:kern w:val="0"/>
          <w:sz w:val="32"/>
          <w:szCs w:val="32"/>
        </w:rPr>
        <w:t xml:space="preserve">第十一条【核查报告内容】 </w:t>
      </w:r>
      <w:r>
        <w:rPr>
          <w:rFonts w:hint="eastAsia" w:ascii="仿宋_GB2312" w:hAnsi="微软雅黑" w:eastAsia="仿宋_GB2312" w:cs="仿宋_GB2312"/>
          <w:color w:val="000000"/>
          <w:kern w:val="0"/>
          <w:sz w:val="32"/>
          <w:szCs w:val="32"/>
        </w:rPr>
        <w:t>交办案事件核查报告中应包括下列主要内容：</w:t>
      </w:r>
    </w:p>
    <w:p w14:paraId="73EC3568">
      <w:pPr>
        <w:spacing w:line="600" w:lineRule="exact"/>
        <w:ind w:firstLine="640"/>
        <w:rPr>
          <w:rFonts w:ascii="微软雅黑" w:hAnsi="微软雅黑" w:eastAsia="微软雅黑" w:cs="微软雅黑"/>
          <w:color w:val="000000"/>
          <w:kern w:val="0"/>
          <w:sz w:val="16"/>
          <w:szCs w:val="16"/>
        </w:rPr>
      </w:pPr>
      <w:r>
        <w:rPr>
          <w:rFonts w:hint="eastAsia" w:ascii="仿宋_GB2312" w:hAnsi="微软雅黑" w:eastAsia="仿宋_GB2312" w:cs="仿宋_GB2312"/>
          <w:color w:val="000000"/>
          <w:kern w:val="0"/>
          <w:sz w:val="32"/>
          <w:szCs w:val="32"/>
        </w:rPr>
        <w:t>（一）举报投诉人基本情况、</w:t>
      </w:r>
      <w:r>
        <w:rPr>
          <w:rFonts w:ascii="仿宋_GB2312" w:hAnsi="微软雅黑" w:eastAsia="仿宋_GB2312" w:cs="仿宋_GB2312"/>
          <w:color w:val="000000"/>
          <w:kern w:val="0"/>
          <w:sz w:val="32"/>
          <w:szCs w:val="32"/>
        </w:rPr>
        <w:t>举报投诉事项</w:t>
      </w:r>
      <w:r>
        <w:rPr>
          <w:rFonts w:hint="eastAsia" w:ascii="仿宋_GB2312" w:hAnsi="微软雅黑" w:eastAsia="仿宋_GB2312" w:cs="仿宋_GB2312"/>
          <w:color w:val="000000"/>
          <w:kern w:val="0"/>
          <w:sz w:val="32"/>
          <w:szCs w:val="32"/>
        </w:rPr>
        <w:t>；</w:t>
      </w:r>
    </w:p>
    <w:p w14:paraId="12C29FFB">
      <w:pPr>
        <w:spacing w:line="600" w:lineRule="exact"/>
        <w:ind w:firstLine="640"/>
        <w:rPr>
          <w:rFonts w:ascii="仿宋_GB2312" w:hAnsi="微软雅黑" w:eastAsia="仿宋_GB2312" w:cs="仿宋_GB2312"/>
          <w:color w:val="000000"/>
          <w:kern w:val="0"/>
          <w:sz w:val="32"/>
          <w:szCs w:val="32"/>
        </w:rPr>
      </w:pPr>
      <w:r>
        <w:rPr>
          <w:rFonts w:hint="eastAsia" w:ascii="仿宋_GB2312" w:hAnsi="微软雅黑" w:eastAsia="仿宋_GB2312" w:cs="仿宋_GB2312"/>
          <w:color w:val="000000"/>
          <w:kern w:val="0"/>
          <w:sz w:val="32"/>
          <w:szCs w:val="32"/>
        </w:rPr>
        <w:t>（二）所涉案事件基本情况；</w:t>
      </w:r>
    </w:p>
    <w:p w14:paraId="5D1C5B70">
      <w:pPr>
        <w:spacing w:line="600" w:lineRule="exact"/>
        <w:ind w:firstLine="640"/>
        <w:rPr>
          <w:rFonts w:ascii="仿宋_GB2312" w:hAnsi="微软雅黑" w:eastAsia="仿宋_GB2312" w:cs="仿宋_GB2312"/>
          <w:color w:val="000000"/>
          <w:kern w:val="0"/>
          <w:sz w:val="32"/>
          <w:szCs w:val="32"/>
        </w:rPr>
      </w:pPr>
      <w:r>
        <w:rPr>
          <w:rFonts w:hint="eastAsia" w:ascii="仿宋_GB2312" w:hAnsi="微软雅黑" w:eastAsia="仿宋_GB2312" w:cs="仿宋_GB2312"/>
          <w:color w:val="000000"/>
          <w:kern w:val="0"/>
          <w:sz w:val="32"/>
          <w:szCs w:val="32"/>
        </w:rPr>
        <w:t>（三）逐一说明举报投诉事项的核查情况；</w:t>
      </w:r>
    </w:p>
    <w:p w14:paraId="17A421A8">
      <w:pPr>
        <w:spacing w:line="600" w:lineRule="exact"/>
        <w:ind w:firstLine="640"/>
        <w:rPr>
          <w:rFonts w:ascii="仿宋_GB2312" w:hAnsi="微软雅黑" w:eastAsia="仿宋_GB2312" w:cs="仿宋_GB2312"/>
          <w:color w:val="000000"/>
          <w:kern w:val="0"/>
          <w:sz w:val="32"/>
          <w:szCs w:val="32"/>
        </w:rPr>
      </w:pPr>
      <w:r>
        <w:rPr>
          <w:rFonts w:hint="eastAsia" w:ascii="仿宋_GB2312" w:hAnsi="微软雅黑" w:eastAsia="仿宋_GB2312" w:cs="仿宋_GB2312"/>
          <w:color w:val="000000"/>
          <w:kern w:val="0"/>
          <w:sz w:val="32"/>
          <w:szCs w:val="32"/>
        </w:rPr>
        <w:t>（四）作出核查结论的理由及相关法律依据；</w:t>
      </w:r>
    </w:p>
    <w:p w14:paraId="3062A82C">
      <w:pPr>
        <w:spacing w:line="600" w:lineRule="exact"/>
        <w:ind w:firstLine="640"/>
        <w:rPr>
          <w:rFonts w:ascii="微软雅黑" w:hAnsi="微软雅黑" w:eastAsia="微软雅黑" w:cs="微软雅黑"/>
          <w:color w:val="000000"/>
          <w:kern w:val="0"/>
          <w:sz w:val="16"/>
          <w:szCs w:val="16"/>
        </w:rPr>
      </w:pPr>
      <w:r>
        <w:rPr>
          <w:rFonts w:hint="eastAsia" w:ascii="仿宋_GB2312" w:hAnsi="微软雅黑" w:eastAsia="仿宋_GB2312" w:cs="仿宋_GB2312"/>
          <w:color w:val="000000"/>
          <w:kern w:val="0"/>
          <w:sz w:val="32"/>
          <w:szCs w:val="32"/>
        </w:rPr>
        <w:t>（五）处理结果及整改情况；</w:t>
      </w:r>
    </w:p>
    <w:p w14:paraId="36AF6C94">
      <w:pPr>
        <w:spacing w:line="600" w:lineRule="exact"/>
        <w:ind w:firstLine="640" w:firstLineChars="200"/>
        <w:rPr>
          <w:rFonts w:ascii="仿宋_GB2312" w:hAnsi="微软雅黑" w:eastAsia="仿宋_GB2312" w:cs="仿宋_GB2312"/>
          <w:color w:val="000000"/>
          <w:kern w:val="0"/>
          <w:sz w:val="32"/>
          <w:szCs w:val="32"/>
        </w:rPr>
      </w:pPr>
      <w:r>
        <w:rPr>
          <w:rFonts w:hint="eastAsia" w:ascii="仿宋_GB2312" w:hAnsi="微软雅黑" w:eastAsia="仿宋_GB2312" w:cs="仿宋_GB2312"/>
          <w:color w:val="000000"/>
          <w:kern w:val="0"/>
          <w:sz w:val="32"/>
          <w:szCs w:val="32"/>
        </w:rPr>
        <w:t>（六）举报投诉人对核查结论的意见。</w:t>
      </w:r>
    </w:p>
    <w:p w14:paraId="4AB774E9">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第十二条【核查报告提交】 </w:t>
      </w:r>
      <w:r>
        <w:rPr>
          <w:rFonts w:hint="eastAsia" w:ascii="仿宋_GB2312" w:hAnsi="微软雅黑" w:eastAsia="仿宋_GB2312" w:cs="仿宋_GB2312"/>
          <w:color w:val="000000"/>
          <w:kern w:val="0"/>
          <w:sz w:val="32"/>
          <w:szCs w:val="32"/>
        </w:rPr>
        <w:t>核查报告应由受领核查任务的公安机关警务督察部门主要负责人审核，在举报投诉案件核查子系统中上传，并附主要证据材料。</w:t>
      </w:r>
    </w:p>
    <w:p w14:paraId="703FE795">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第十三条【办结归档】 </w:t>
      </w:r>
      <w:r>
        <w:rPr>
          <w:rFonts w:hint="eastAsia" w:ascii="仿宋_GB2312" w:hAnsi="微软雅黑" w:eastAsia="仿宋_GB2312" w:cs="仿宋_GB2312"/>
          <w:color w:val="000000"/>
          <w:kern w:val="0"/>
          <w:sz w:val="32"/>
          <w:szCs w:val="32"/>
        </w:rPr>
        <w:t>公安部转办件、省厅督办件由市级公安机关警务督察部门办结归档，省厅转办件、阅处件由县级公安机关警务督察部门办结归档。对收到交办案事件核查报告认为核查不清楚、问题未解决的，可以提出需要补充和说明情况的提纲，通知有关单位补充核报。必要时，上一级公安机关警务督察部门可以组织复查。</w:t>
      </w:r>
    </w:p>
    <w:p w14:paraId="6CDA6BD6">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第十四条【补充核查】 </w:t>
      </w:r>
      <w:r>
        <w:rPr>
          <w:rFonts w:hint="eastAsia" w:ascii="仿宋_GB2312" w:hAnsi="微软雅黑" w:eastAsia="仿宋_GB2312" w:cs="仿宋_GB2312"/>
          <w:color w:val="000000"/>
          <w:kern w:val="0"/>
          <w:sz w:val="32"/>
          <w:szCs w:val="32"/>
        </w:rPr>
        <w:t>接到退回补充核查通知的单位应当依照补充核查提纲立即开展核查，在</w:t>
      </w:r>
      <w:r>
        <w:rPr>
          <w:rFonts w:ascii="仿宋_GB2312" w:hAnsi="微软雅黑" w:eastAsia="仿宋_GB2312" w:cs="仿宋_GB2312"/>
          <w:color w:val="000000"/>
          <w:kern w:val="0"/>
          <w:sz w:val="32"/>
          <w:szCs w:val="32"/>
        </w:rPr>
        <w:t>5</w:t>
      </w:r>
      <w:r>
        <w:rPr>
          <w:rFonts w:hint="eastAsia" w:ascii="仿宋_GB2312" w:hAnsi="微软雅黑" w:eastAsia="仿宋_GB2312" w:cs="仿宋_GB2312"/>
          <w:color w:val="000000"/>
          <w:kern w:val="0"/>
          <w:sz w:val="32"/>
          <w:szCs w:val="32"/>
        </w:rPr>
        <w:t>个工作日内完成补充核查并再次上报核查结果。</w:t>
      </w:r>
    </w:p>
    <w:p w14:paraId="4901F7E1">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仿宋_GB2312"/>
          <w:color w:val="000000"/>
          <w:kern w:val="0"/>
          <w:sz w:val="32"/>
          <w:szCs w:val="32"/>
        </w:rPr>
        <w:t>第十五条</w:t>
      </w:r>
      <w:r>
        <w:rPr>
          <w:rFonts w:hint="eastAsia" w:ascii="黑体" w:hAnsi="黑体" w:eastAsia="黑体" w:cs="黑体"/>
          <w:color w:val="000000"/>
          <w:kern w:val="0"/>
          <w:sz w:val="32"/>
          <w:szCs w:val="32"/>
        </w:rPr>
        <w:t xml:space="preserve">【队伍建设】 </w:t>
      </w:r>
      <w:r>
        <w:rPr>
          <w:rFonts w:hint="eastAsia" w:ascii="仿宋_GB2312" w:hAnsi="黑体" w:eastAsia="仿宋_GB2312" w:cs="黑体"/>
          <w:color w:val="000000"/>
          <w:kern w:val="0"/>
          <w:sz w:val="32"/>
          <w:szCs w:val="32"/>
        </w:rPr>
        <w:t>各级督察部门应由</w:t>
      </w:r>
      <w:r>
        <w:rPr>
          <w:rFonts w:ascii="仿宋_GB2312" w:hAnsi="黑体" w:eastAsia="仿宋_GB2312" w:cs="黑体"/>
          <w:color w:val="000000"/>
          <w:kern w:val="0"/>
          <w:sz w:val="32"/>
          <w:szCs w:val="32"/>
        </w:rPr>
        <w:t>专门人员负责案事</w:t>
      </w:r>
      <w:r>
        <w:rPr>
          <w:rFonts w:hint="eastAsia" w:ascii="仿宋_GB2312" w:hAnsi="黑体" w:eastAsia="仿宋_GB2312" w:cs="黑体"/>
          <w:color w:val="000000"/>
          <w:kern w:val="0"/>
          <w:sz w:val="32"/>
          <w:szCs w:val="32"/>
        </w:rPr>
        <w:t>件</w:t>
      </w:r>
      <w:r>
        <w:rPr>
          <w:rFonts w:ascii="仿宋_GB2312" w:hAnsi="黑体" w:eastAsia="仿宋_GB2312" w:cs="黑体"/>
          <w:color w:val="000000"/>
          <w:kern w:val="0"/>
          <w:sz w:val="32"/>
          <w:szCs w:val="32"/>
        </w:rPr>
        <w:t>核查工作，</w:t>
      </w:r>
      <w:r>
        <w:rPr>
          <w:rFonts w:hint="eastAsia" w:ascii="仿宋_GB2312" w:hAnsi="黑体" w:eastAsia="仿宋_GB2312" w:cs="黑体"/>
          <w:color w:val="000000"/>
          <w:kern w:val="0"/>
          <w:sz w:val="32"/>
          <w:szCs w:val="32"/>
        </w:rPr>
        <w:t>建立核查人员人才库，</w:t>
      </w:r>
      <w:r>
        <w:rPr>
          <w:rFonts w:ascii="仿宋_GB2312" w:hAnsi="黑体" w:eastAsia="仿宋_GB2312" w:cs="黑体"/>
          <w:color w:val="000000"/>
          <w:kern w:val="0"/>
          <w:sz w:val="32"/>
          <w:szCs w:val="32"/>
        </w:rPr>
        <w:t>根据</w:t>
      </w:r>
      <w:r>
        <w:rPr>
          <w:rFonts w:hint="eastAsia" w:ascii="仿宋_GB2312" w:hAnsi="微软雅黑" w:eastAsia="仿宋_GB2312" w:cs="仿宋_GB2312"/>
          <w:color w:val="000000"/>
          <w:kern w:val="0"/>
          <w:sz w:val="32"/>
          <w:szCs w:val="32"/>
        </w:rPr>
        <w:t>案事件的</w:t>
      </w:r>
      <w:r>
        <w:rPr>
          <w:rFonts w:ascii="仿宋_GB2312" w:hAnsi="微软雅黑" w:eastAsia="仿宋_GB2312" w:cs="仿宋_GB2312"/>
          <w:color w:val="000000"/>
          <w:kern w:val="0"/>
          <w:sz w:val="32"/>
          <w:szCs w:val="32"/>
        </w:rPr>
        <w:t>性质、疑难复杂程度，会同相关警种，组织核查专班。</w:t>
      </w:r>
    </w:p>
    <w:p w14:paraId="51EF3C40">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仿宋_GB2312"/>
          <w:color w:val="000000"/>
          <w:kern w:val="0"/>
          <w:sz w:val="32"/>
          <w:szCs w:val="32"/>
        </w:rPr>
        <w:t>第十六条</w:t>
      </w:r>
      <w:r>
        <w:rPr>
          <w:rFonts w:hint="eastAsia" w:ascii="黑体" w:hAnsi="黑体" w:eastAsia="黑体" w:cs="黑体"/>
          <w:color w:val="000000"/>
          <w:kern w:val="0"/>
          <w:sz w:val="32"/>
          <w:szCs w:val="32"/>
        </w:rPr>
        <w:t>【</w:t>
      </w:r>
      <w:r>
        <w:rPr>
          <w:rFonts w:ascii="黑体" w:hAnsi="黑体" w:eastAsia="黑体" w:cs="黑体"/>
          <w:color w:val="000000"/>
          <w:kern w:val="0"/>
          <w:sz w:val="32"/>
          <w:szCs w:val="32"/>
        </w:rPr>
        <w:t>机制</w:t>
      </w:r>
      <w:r>
        <w:rPr>
          <w:rFonts w:hint="eastAsia" w:ascii="黑体" w:hAnsi="黑体" w:eastAsia="黑体" w:cs="黑体"/>
          <w:color w:val="000000"/>
          <w:kern w:val="0"/>
          <w:sz w:val="32"/>
          <w:szCs w:val="32"/>
        </w:rPr>
        <w:t xml:space="preserve">建设】 </w:t>
      </w:r>
      <w:r>
        <w:rPr>
          <w:rFonts w:hint="eastAsia" w:ascii="仿宋_GB2312" w:hAnsi="黑体" w:eastAsia="仿宋_GB2312" w:cs="黑体"/>
          <w:color w:val="000000"/>
          <w:kern w:val="0"/>
          <w:sz w:val="32"/>
          <w:szCs w:val="32"/>
        </w:rPr>
        <w:t>各级督察部门应加强</w:t>
      </w:r>
      <w:r>
        <w:rPr>
          <w:rFonts w:ascii="仿宋_GB2312" w:hAnsi="黑体" w:eastAsia="仿宋_GB2312" w:cs="黑体"/>
          <w:color w:val="000000"/>
          <w:kern w:val="0"/>
          <w:sz w:val="32"/>
          <w:szCs w:val="32"/>
        </w:rPr>
        <w:t>警种间和检法间沟通，</w:t>
      </w:r>
      <w:r>
        <w:rPr>
          <w:rFonts w:hint="eastAsia" w:ascii="仿宋_GB2312" w:hAnsi="黑体" w:eastAsia="仿宋_GB2312" w:cs="黑体"/>
          <w:color w:val="000000"/>
          <w:kern w:val="0"/>
          <w:sz w:val="32"/>
          <w:szCs w:val="32"/>
        </w:rPr>
        <w:t>建立疑难</w:t>
      </w:r>
      <w:r>
        <w:rPr>
          <w:rFonts w:ascii="仿宋_GB2312" w:hAnsi="黑体" w:eastAsia="仿宋_GB2312" w:cs="黑体"/>
          <w:color w:val="000000"/>
          <w:kern w:val="0"/>
          <w:sz w:val="32"/>
          <w:szCs w:val="32"/>
        </w:rPr>
        <w:t>案事</w:t>
      </w:r>
      <w:r>
        <w:rPr>
          <w:rFonts w:hint="eastAsia" w:ascii="仿宋_GB2312" w:hAnsi="黑体" w:eastAsia="仿宋_GB2312" w:cs="黑体"/>
          <w:color w:val="000000"/>
          <w:kern w:val="0"/>
          <w:sz w:val="32"/>
          <w:szCs w:val="32"/>
        </w:rPr>
        <w:t>件会商</w:t>
      </w:r>
      <w:r>
        <w:rPr>
          <w:rFonts w:ascii="仿宋_GB2312" w:hAnsi="黑体" w:eastAsia="仿宋_GB2312" w:cs="黑体"/>
          <w:color w:val="000000"/>
          <w:kern w:val="0"/>
          <w:sz w:val="32"/>
          <w:szCs w:val="32"/>
        </w:rPr>
        <w:t>、</w:t>
      </w:r>
      <w:r>
        <w:rPr>
          <w:rFonts w:hint="eastAsia" w:ascii="仿宋_GB2312" w:hAnsi="黑体" w:eastAsia="仿宋_GB2312" w:cs="黑体"/>
          <w:color w:val="000000"/>
          <w:kern w:val="0"/>
          <w:sz w:val="32"/>
          <w:szCs w:val="32"/>
        </w:rPr>
        <w:t>重大</w:t>
      </w:r>
      <w:r>
        <w:rPr>
          <w:rFonts w:ascii="仿宋_GB2312" w:hAnsi="黑体" w:eastAsia="仿宋_GB2312" w:cs="黑体"/>
          <w:color w:val="000000"/>
          <w:kern w:val="0"/>
          <w:sz w:val="32"/>
          <w:szCs w:val="32"/>
        </w:rPr>
        <w:t>案事</w:t>
      </w:r>
      <w:r>
        <w:rPr>
          <w:rFonts w:hint="eastAsia" w:ascii="仿宋_GB2312" w:hAnsi="黑体" w:eastAsia="仿宋_GB2312" w:cs="黑体"/>
          <w:color w:val="000000"/>
          <w:kern w:val="0"/>
          <w:sz w:val="32"/>
          <w:szCs w:val="32"/>
        </w:rPr>
        <w:t>件跟踪</w:t>
      </w:r>
      <w:r>
        <w:rPr>
          <w:rFonts w:ascii="仿宋_GB2312" w:hAnsi="黑体" w:eastAsia="仿宋_GB2312" w:cs="黑体"/>
          <w:color w:val="000000"/>
          <w:kern w:val="0"/>
          <w:sz w:val="32"/>
          <w:szCs w:val="32"/>
        </w:rPr>
        <w:t>督办、</w:t>
      </w:r>
      <w:r>
        <w:rPr>
          <w:rFonts w:hint="eastAsia" w:ascii="仿宋_GB2312" w:hAnsi="黑体" w:eastAsia="仿宋_GB2312" w:cs="黑体"/>
          <w:color w:val="000000"/>
          <w:kern w:val="0"/>
          <w:sz w:val="32"/>
          <w:szCs w:val="32"/>
        </w:rPr>
        <w:t>敏感</w:t>
      </w:r>
      <w:r>
        <w:rPr>
          <w:rFonts w:ascii="仿宋_GB2312" w:hAnsi="黑体" w:eastAsia="仿宋_GB2312" w:cs="黑体"/>
          <w:color w:val="000000"/>
          <w:kern w:val="0"/>
          <w:sz w:val="32"/>
          <w:szCs w:val="32"/>
        </w:rPr>
        <w:t>案事</w:t>
      </w:r>
      <w:r>
        <w:rPr>
          <w:rFonts w:hint="eastAsia" w:ascii="仿宋_GB2312" w:hAnsi="黑体" w:eastAsia="仿宋_GB2312" w:cs="黑体"/>
          <w:color w:val="000000"/>
          <w:kern w:val="0"/>
          <w:sz w:val="32"/>
          <w:szCs w:val="32"/>
        </w:rPr>
        <w:t>件提级办理</w:t>
      </w:r>
      <w:r>
        <w:rPr>
          <w:rFonts w:ascii="仿宋_GB2312" w:hAnsi="黑体" w:eastAsia="仿宋_GB2312" w:cs="黑体"/>
          <w:color w:val="000000"/>
          <w:kern w:val="0"/>
          <w:sz w:val="32"/>
          <w:szCs w:val="32"/>
        </w:rPr>
        <w:t>、交叉办理</w:t>
      </w:r>
      <w:r>
        <w:rPr>
          <w:rFonts w:hint="eastAsia" w:ascii="仿宋_GB2312" w:hAnsi="黑体" w:eastAsia="仿宋_GB2312" w:cs="黑体"/>
          <w:color w:val="000000"/>
          <w:kern w:val="0"/>
          <w:sz w:val="32"/>
          <w:szCs w:val="32"/>
        </w:rPr>
        <w:t>、定期分析研判等</w:t>
      </w:r>
      <w:r>
        <w:rPr>
          <w:rFonts w:ascii="仿宋_GB2312" w:hAnsi="黑体" w:eastAsia="仿宋_GB2312" w:cs="黑体"/>
          <w:color w:val="000000"/>
          <w:kern w:val="0"/>
          <w:sz w:val="32"/>
          <w:szCs w:val="32"/>
        </w:rPr>
        <w:t>核查</w:t>
      </w:r>
      <w:r>
        <w:rPr>
          <w:rFonts w:hint="eastAsia" w:ascii="仿宋_GB2312" w:hAnsi="黑体" w:eastAsia="仿宋_GB2312" w:cs="黑体"/>
          <w:color w:val="000000"/>
          <w:kern w:val="0"/>
          <w:sz w:val="32"/>
          <w:szCs w:val="32"/>
        </w:rPr>
        <w:t>工作</w:t>
      </w:r>
      <w:r>
        <w:rPr>
          <w:rFonts w:ascii="仿宋_GB2312" w:hAnsi="黑体" w:eastAsia="仿宋_GB2312" w:cs="黑体"/>
          <w:color w:val="000000"/>
          <w:kern w:val="0"/>
          <w:sz w:val="32"/>
          <w:szCs w:val="32"/>
        </w:rPr>
        <w:t>机制，规范</w:t>
      </w:r>
      <w:r>
        <w:rPr>
          <w:rFonts w:hint="eastAsia" w:ascii="仿宋_GB2312" w:hAnsi="黑体" w:eastAsia="仿宋_GB2312" w:cs="黑体"/>
          <w:color w:val="000000"/>
          <w:kern w:val="0"/>
          <w:sz w:val="32"/>
          <w:szCs w:val="32"/>
        </w:rPr>
        <w:t>高效办理交办</w:t>
      </w:r>
      <w:r>
        <w:rPr>
          <w:rFonts w:ascii="仿宋_GB2312" w:hAnsi="黑体" w:eastAsia="仿宋_GB2312" w:cs="黑体"/>
          <w:color w:val="000000"/>
          <w:kern w:val="0"/>
          <w:sz w:val="32"/>
          <w:szCs w:val="32"/>
        </w:rPr>
        <w:t>案事</w:t>
      </w:r>
      <w:r>
        <w:rPr>
          <w:rFonts w:hint="eastAsia" w:ascii="仿宋_GB2312" w:hAnsi="黑体" w:eastAsia="仿宋_GB2312" w:cs="黑体"/>
          <w:color w:val="000000"/>
          <w:kern w:val="0"/>
          <w:sz w:val="32"/>
          <w:szCs w:val="32"/>
        </w:rPr>
        <w:t>件。</w:t>
      </w:r>
    </w:p>
    <w:p w14:paraId="094865D0">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仿宋_GB2312"/>
          <w:color w:val="000000"/>
          <w:kern w:val="0"/>
          <w:sz w:val="32"/>
          <w:szCs w:val="32"/>
        </w:rPr>
        <w:t>第十七条</w:t>
      </w:r>
      <w:r>
        <w:rPr>
          <w:rFonts w:hint="eastAsia" w:ascii="黑体" w:hAnsi="黑体" w:eastAsia="黑体" w:cs="黑体"/>
          <w:color w:val="000000"/>
          <w:kern w:val="0"/>
          <w:sz w:val="32"/>
          <w:szCs w:val="32"/>
        </w:rPr>
        <w:t xml:space="preserve">【检查和倒查】 </w:t>
      </w:r>
      <w:r>
        <w:rPr>
          <w:rFonts w:hint="eastAsia" w:ascii="仿宋_GB2312" w:hAnsi="微软雅黑" w:eastAsia="仿宋_GB2312" w:cs="仿宋_GB2312"/>
          <w:color w:val="000000"/>
          <w:kern w:val="0"/>
          <w:sz w:val="32"/>
          <w:szCs w:val="32"/>
        </w:rPr>
        <w:t>上一级公安机关警务督察部门应当定期对交办案事件办理情况开展评查，每半年开展一次倒查，评查、倒查工作情况应当及时通报。</w:t>
      </w:r>
    </w:p>
    <w:p w14:paraId="6CFA3A12">
      <w:pPr>
        <w:spacing w:line="600" w:lineRule="exact"/>
        <w:ind w:firstLine="640" w:firstLineChars="200"/>
        <w:rPr>
          <w:rFonts w:ascii="仿宋_GB2312" w:hAnsi="微软雅黑" w:eastAsia="仿宋_GB2312" w:cs="仿宋_GB2312"/>
          <w:color w:val="000000"/>
          <w:kern w:val="0"/>
          <w:sz w:val="32"/>
          <w:szCs w:val="32"/>
        </w:rPr>
      </w:pPr>
      <w:r>
        <w:rPr>
          <w:rFonts w:hint="eastAsia" w:ascii="仿宋_GB2312" w:hAnsi="微软雅黑" w:eastAsia="仿宋_GB2312" w:cs="仿宋_GB2312"/>
          <w:color w:val="000000"/>
          <w:kern w:val="0"/>
          <w:sz w:val="32"/>
          <w:szCs w:val="32"/>
        </w:rPr>
        <w:t>交办案事件办理评查应当按照“存在</w:t>
      </w:r>
      <w:r>
        <w:rPr>
          <w:rFonts w:ascii="仿宋_GB2312" w:hAnsi="微软雅黑" w:eastAsia="仿宋_GB2312" w:cs="仿宋_GB2312"/>
          <w:color w:val="000000"/>
          <w:kern w:val="0"/>
          <w:sz w:val="32"/>
          <w:szCs w:val="32"/>
        </w:rPr>
        <w:t>问题是否全面发现、</w:t>
      </w:r>
      <w:r>
        <w:rPr>
          <w:rFonts w:hint="eastAsia" w:ascii="仿宋_GB2312" w:hAnsi="微软雅黑" w:eastAsia="仿宋_GB2312" w:cs="仿宋_GB2312"/>
          <w:color w:val="000000"/>
          <w:kern w:val="0"/>
          <w:sz w:val="32"/>
          <w:szCs w:val="32"/>
        </w:rPr>
        <w:t>发现</w:t>
      </w:r>
      <w:r>
        <w:rPr>
          <w:rFonts w:ascii="仿宋_GB2312" w:hAnsi="微软雅黑" w:eastAsia="仿宋_GB2312" w:cs="仿宋_GB2312"/>
          <w:color w:val="000000"/>
          <w:kern w:val="0"/>
          <w:sz w:val="32"/>
          <w:szCs w:val="32"/>
        </w:rPr>
        <w:t>问题是否整改到位，责任民警是否追究过错，解释</w:t>
      </w:r>
      <w:r>
        <w:rPr>
          <w:rFonts w:hint="eastAsia" w:ascii="仿宋_GB2312" w:hAnsi="微软雅黑" w:eastAsia="仿宋_GB2312" w:cs="仿宋_GB2312"/>
          <w:color w:val="000000"/>
          <w:kern w:val="0"/>
          <w:sz w:val="32"/>
          <w:szCs w:val="32"/>
        </w:rPr>
        <w:t>反馈</w:t>
      </w:r>
      <w:r>
        <w:rPr>
          <w:rFonts w:ascii="仿宋_GB2312" w:hAnsi="微软雅黑" w:eastAsia="仿宋_GB2312" w:cs="仿宋_GB2312"/>
          <w:color w:val="000000"/>
          <w:kern w:val="0"/>
          <w:sz w:val="32"/>
          <w:szCs w:val="32"/>
        </w:rPr>
        <w:t>是否</w:t>
      </w:r>
      <w:r>
        <w:rPr>
          <w:rFonts w:hint="eastAsia" w:ascii="仿宋_GB2312" w:hAnsi="微软雅黑" w:eastAsia="仿宋_GB2312" w:cs="仿宋_GB2312"/>
          <w:color w:val="000000"/>
          <w:kern w:val="0"/>
          <w:sz w:val="32"/>
          <w:szCs w:val="32"/>
        </w:rPr>
        <w:t>合理</w:t>
      </w:r>
      <w:r>
        <w:rPr>
          <w:rFonts w:ascii="仿宋_GB2312" w:hAnsi="微软雅黑" w:eastAsia="仿宋_GB2312" w:cs="仿宋_GB2312"/>
          <w:color w:val="000000"/>
          <w:kern w:val="0"/>
          <w:sz w:val="32"/>
          <w:szCs w:val="32"/>
        </w:rPr>
        <w:t>尽责</w:t>
      </w:r>
      <w:r>
        <w:rPr>
          <w:rFonts w:hint="eastAsia" w:ascii="仿宋_GB2312" w:hAnsi="微软雅黑" w:eastAsia="仿宋_GB2312" w:cs="仿宋_GB2312"/>
          <w:color w:val="000000"/>
          <w:kern w:val="0"/>
          <w:sz w:val="32"/>
          <w:szCs w:val="32"/>
        </w:rPr>
        <w:t>”等方面开展</w:t>
      </w:r>
      <w:r>
        <w:rPr>
          <w:rFonts w:ascii="仿宋_GB2312" w:hAnsi="微软雅黑" w:eastAsia="仿宋_GB2312" w:cs="仿宋_GB2312"/>
          <w:color w:val="000000"/>
          <w:kern w:val="0"/>
          <w:sz w:val="32"/>
          <w:szCs w:val="32"/>
        </w:rPr>
        <w:t>。</w:t>
      </w:r>
    </w:p>
    <w:p w14:paraId="078F64F3">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第十八条【工作情况通报制度和责任追究制度】</w:t>
      </w:r>
      <w:r>
        <w:rPr>
          <w:rFonts w:hint="eastAsia" w:ascii="仿宋_GB2312" w:hAnsi="微软雅黑" w:eastAsia="仿宋_GB2312" w:cs="仿宋_GB2312"/>
          <w:color w:val="000000"/>
          <w:kern w:val="0"/>
          <w:sz w:val="32"/>
          <w:szCs w:val="32"/>
        </w:rPr>
        <w:t>交办案事件实行工作情况通报制度和责任追究制度，有下列情形之一的，予以通报批评，并视情追究有关人员和领导的责任：</w:t>
      </w:r>
    </w:p>
    <w:p w14:paraId="10BA2D4D">
      <w:pPr>
        <w:spacing w:line="600" w:lineRule="exact"/>
        <w:ind w:firstLine="640" w:firstLineChars="200"/>
        <w:rPr>
          <w:rFonts w:ascii="仿宋_GB2312" w:hAnsi="微软雅黑" w:eastAsia="仿宋_GB2312" w:cs="仿宋_GB2312"/>
          <w:color w:val="000000"/>
          <w:kern w:val="0"/>
          <w:sz w:val="32"/>
          <w:szCs w:val="32"/>
        </w:rPr>
      </w:pPr>
      <w:r>
        <w:rPr>
          <w:rFonts w:hint="eastAsia" w:ascii="仿宋_GB2312" w:hAnsi="微软雅黑" w:eastAsia="仿宋_GB2312" w:cs="仿宋_GB2312"/>
          <w:color w:val="000000"/>
          <w:kern w:val="0"/>
          <w:sz w:val="32"/>
          <w:szCs w:val="32"/>
        </w:rPr>
        <w:t>（一）未按照规定组织直接核查的；</w:t>
      </w:r>
    </w:p>
    <w:p w14:paraId="345339B0">
      <w:pPr>
        <w:spacing w:line="600" w:lineRule="exact"/>
        <w:ind w:firstLine="640" w:firstLineChars="200"/>
        <w:rPr>
          <w:rFonts w:ascii="仿宋_GB2312" w:hAnsi="微软雅黑" w:eastAsia="仿宋_GB2312" w:cs="仿宋_GB2312"/>
          <w:color w:val="000000"/>
          <w:kern w:val="0"/>
          <w:sz w:val="32"/>
          <w:szCs w:val="32"/>
        </w:rPr>
      </w:pPr>
      <w:r>
        <w:rPr>
          <w:rFonts w:hint="eastAsia" w:ascii="仿宋_GB2312" w:hAnsi="微软雅黑" w:eastAsia="仿宋_GB2312" w:cs="仿宋_GB2312"/>
          <w:color w:val="000000"/>
          <w:kern w:val="0"/>
          <w:sz w:val="32"/>
          <w:szCs w:val="32"/>
        </w:rPr>
        <w:t>（二）未按规定时限办结的；</w:t>
      </w:r>
    </w:p>
    <w:p w14:paraId="12A402A0">
      <w:pPr>
        <w:pStyle w:val="5"/>
        <w:spacing w:line="600" w:lineRule="exact"/>
        <w:ind w:firstLine="640" w:firstLineChars="200"/>
        <w:rPr>
          <w:rFonts w:ascii="仿宋_GB2312" w:hAnsi="宋体" w:eastAsia="仿宋_GB2312" w:cs="宋体"/>
          <w:color w:val="000000"/>
          <w:kern w:val="0"/>
          <w:sz w:val="32"/>
          <w:szCs w:val="32"/>
        </w:rPr>
      </w:pPr>
      <w:r>
        <w:rPr>
          <w:rFonts w:hint="eastAsia" w:ascii="仿宋_GB2312" w:hAnsi="微软雅黑" w:eastAsia="仿宋_GB2312" w:cs="仿宋_GB2312"/>
          <w:color w:val="000000"/>
          <w:kern w:val="0"/>
          <w:sz w:val="32"/>
          <w:szCs w:val="32"/>
        </w:rPr>
        <w:t>（三）</w:t>
      </w:r>
      <w:r>
        <w:rPr>
          <w:rFonts w:hint="eastAsia" w:ascii="仿宋_GB2312" w:hAnsi="宋体" w:eastAsia="仿宋_GB2312" w:cs="宋体"/>
          <w:color w:val="000000"/>
          <w:kern w:val="0"/>
          <w:sz w:val="32"/>
          <w:szCs w:val="32"/>
        </w:rPr>
        <w:t>核查</w:t>
      </w:r>
      <w:r>
        <w:rPr>
          <w:rFonts w:ascii="仿宋_GB2312" w:hAnsi="宋体" w:eastAsia="仿宋_GB2312" w:cs="宋体"/>
          <w:color w:val="000000"/>
          <w:kern w:val="0"/>
          <w:sz w:val="32"/>
          <w:szCs w:val="32"/>
        </w:rPr>
        <w:t>结果与事实严重不符或</w:t>
      </w:r>
      <w:r>
        <w:rPr>
          <w:rFonts w:hint="eastAsia" w:ascii="仿宋_GB2312" w:hAnsi="宋体" w:eastAsia="仿宋_GB2312" w:cs="宋体"/>
          <w:color w:val="000000"/>
          <w:kern w:val="0"/>
          <w:sz w:val="32"/>
          <w:szCs w:val="32"/>
        </w:rPr>
        <w:t>核查事实不清、定性不准、应发现问题未发现、报告内容不完整的；</w:t>
      </w:r>
    </w:p>
    <w:p w14:paraId="0C4EAE63">
      <w:pPr>
        <w:pStyle w:val="5"/>
        <w:spacing w:line="600" w:lineRule="exact"/>
        <w:ind w:firstLine="640" w:firstLineChars="200"/>
        <w:rPr>
          <w:rFonts w:ascii="仿宋_GB2312" w:hAnsi="宋体" w:eastAsia="仿宋_GB2312" w:cs="宋体"/>
          <w:color w:val="000000"/>
          <w:kern w:val="0"/>
          <w:sz w:val="32"/>
          <w:szCs w:val="32"/>
        </w:rPr>
      </w:pPr>
      <w:r>
        <w:rPr>
          <w:rFonts w:hint="eastAsia" w:ascii="仿宋_GB2312" w:hAnsi="微软雅黑" w:eastAsia="仿宋_GB2312" w:cs="仿宋_GB2312"/>
          <w:color w:val="000000"/>
          <w:kern w:val="0"/>
          <w:sz w:val="32"/>
          <w:szCs w:val="32"/>
        </w:rPr>
        <w:t>（四）被多次退回补充核查的（两次及以上）。</w:t>
      </w:r>
    </w:p>
    <w:p w14:paraId="50F06FCA">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第十九条【督促追责问责】 </w:t>
      </w:r>
      <w:r>
        <w:rPr>
          <w:rFonts w:hint="eastAsia" w:ascii="仿宋_GB2312" w:hAnsi="微软雅黑" w:eastAsia="仿宋_GB2312" w:cs="仿宋_GB2312"/>
          <w:color w:val="000000"/>
          <w:kern w:val="0"/>
          <w:sz w:val="32"/>
          <w:szCs w:val="32"/>
        </w:rPr>
        <w:t>经核查</w:t>
      </w:r>
      <w:r>
        <w:rPr>
          <w:rFonts w:ascii="仿宋_GB2312" w:hAnsi="微软雅黑" w:eastAsia="仿宋_GB2312" w:cs="仿宋_GB2312"/>
          <w:color w:val="000000"/>
          <w:kern w:val="0"/>
          <w:sz w:val="32"/>
          <w:szCs w:val="32"/>
        </w:rPr>
        <w:t>认定</w:t>
      </w:r>
      <w:r>
        <w:rPr>
          <w:rFonts w:hint="eastAsia" w:ascii="仿宋_GB2312" w:hAnsi="微软雅黑" w:eastAsia="仿宋_GB2312" w:cs="仿宋_GB2312"/>
          <w:color w:val="000000"/>
          <w:kern w:val="0"/>
          <w:sz w:val="32"/>
          <w:szCs w:val="32"/>
        </w:rPr>
        <w:t>属实的，应当全面评估问题性质、过错程度、情节后果、社会影响等因素，依法依规督促追责问责。</w:t>
      </w:r>
    </w:p>
    <w:p w14:paraId="044C2D67">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第二十条【澄清正名】 </w:t>
      </w:r>
      <w:r>
        <w:rPr>
          <w:rFonts w:hint="eastAsia" w:ascii="仿宋_GB2312" w:hAnsi="微软雅黑" w:eastAsia="仿宋_GB2312" w:cs="仿宋_GB2312"/>
          <w:color w:val="000000"/>
          <w:kern w:val="0"/>
          <w:sz w:val="32"/>
          <w:szCs w:val="32"/>
        </w:rPr>
        <w:t>经核查</w:t>
      </w:r>
      <w:r>
        <w:rPr>
          <w:rFonts w:ascii="仿宋_GB2312" w:hAnsi="微软雅黑" w:eastAsia="仿宋_GB2312" w:cs="仿宋_GB2312"/>
          <w:color w:val="000000"/>
          <w:kern w:val="0"/>
          <w:sz w:val="32"/>
          <w:szCs w:val="32"/>
        </w:rPr>
        <w:t>认定</w:t>
      </w:r>
      <w:r>
        <w:rPr>
          <w:rFonts w:hint="eastAsia" w:ascii="仿宋_GB2312" w:hAnsi="微软雅黑" w:eastAsia="仿宋_GB2312" w:cs="仿宋_GB2312"/>
          <w:color w:val="000000"/>
          <w:kern w:val="0"/>
          <w:sz w:val="32"/>
          <w:szCs w:val="32"/>
        </w:rPr>
        <w:t>不属实的，应当在一定范围内予以澄清事实，消除不良影响，</w:t>
      </w:r>
      <w:r>
        <w:rPr>
          <w:rFonts w:ascii="仿宋_GB2312" w:hAnsi="微软雅黑" w:eastAsia="仿宋_GB2312" w:cs="仿宋_GB2312"/>
          <w:color w:val="000000"/>
          <w:kern w:val="0"/>
          <w:sz w:val="32"/>
          <w:szCs w:val="32"/>
        </w:rPr>
        <w:t>并视情在一定</w:t>
      </w:r>
      <w:r>
        <w:rPr>
          <w:rFonts w:hint="eastAsia" w:ascii="仿宋_GB2312" w:hAnsi="微软雅黑" w:eastAsia="仿宋_GB2312" w:cs="仿宋_GB2312"/>
          <w:color w:val="000000"/>
          <w:kern w:val="0"/>
          <w:sz w:val="32"/>
          <w:szCs w:val="32"/>
        </w:rPr>
        <w:t>范围内正名。对恶意投诉、诬告陷害的，应当移送有关部门依法处理。</w:t>
      </w:r>
    </w:p>
    <w:p w14:paraId="53C749B2">
      <w:pPr>
        <w:spacing w:line="600" w:lineRule="exact"/>
        <w:ind w:firstLine="640" w:firstLineChars="200"/>
        <w:rPr>
          <w:rFonts w:ascii="仿宋_GB2312" w:hAnsi="微软雅黑" w:eastAsia="仿宋_GB2312" w:cs="仿宋_GB2312"/>
          <w:color w:val="000000"/>
          <w:kern w:val="0"/>
          <w:sz w:val="32"/>
          <w:szCs w:val="32"/>
        </w:rPr>
      </w:pPr>
      <w:r>
        <w:rPr>
          <w:rFonts w:hint="eastAsia" w:ascii="黑体" w:hAnsi="黑体" w:eastAsia="黑体" w:cs="黑体"/>
          <w:color w:val="000000"/>
          <w:kern w:val="0"/>
          <w:sz w:val="32"/>
          <w:szCs w:val="32"/>
        </w:rPr>
        <w:t xml:space="preserve">第二十一条【生效日期】 </w:t>
      </w:r>
      <w:r>
        <w:rPr>
          <w:rFonts w:hint="eastAsia" w:ascii="仿宋_GB2312" w:hAnsi="微软雅黑" w:eastAsia="仿宋_GB2312" w:cs="仿宋_GB2312"/>
          <w:color w:val="000000"/>
          <w:kern w:val="0"/>
          <w:sz w:val="32"/>
          <w:szCs w:val="32"/>
        </w:rPr>
        <w:t>本规定自下发之日起施行。</w:t>
      </w:r>
    </w:p>
    <w:p w14:paraId="79C4B82B">
      <w:pPr>
        <w:spacing w:line="600" w:lineRule="exact"/>
      </w:pPr>
    </w:p>
    <w:sectPr>
      <w:footerReference r:id="rId3" w:type="default"/>
      <w:pgSz w:w="11906" w:h="16838"/>
      <w:pgMar w:top="2041" w:right="1531" w:bottom="2041"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CDBC1">
    <w:pPr>
      <w:pStyle w:val="3"/>
      <w:jc w:val="center"/>
    </w:pPr>
    <w:r>
      <w:rPr>
        <w:rFonts w:ascii="Times New Roman" w:hAnsi="Times New Roman" w:cs="Times New Roman"/>
        <w:sz w:val="28"/>
        <w:szCs w:val="28"/>
      </w:rPr>
      <w:t>—</w:t>
    </w:r>
    <w:sdt>
      <w:sdtPr>
        <w:rPr>
          <w:rFonts w:ascii="Times New Roman" w:hAnsi="Times New Roman" w:cs="Times New Roman"/>
          <w:sz w:val="28"/>
          <w:szCs w:val="28"/>
        </w:rPr>
        <w:id w:val="25703876"/>
      </w:sdtPr>
      <w:sdtEndPr>
        <w:rPr>
          <w:rFonts w:asciiTheme="minorHAnsi" w:hAnsiTheme="minorHAnsi" w:cstheme="minorBidi"/>
          <w:sz w:val="18"/>
          <w:szCs w:val="18"/>
        </w:rPr>
      </w:sdtEndPr>
      <w:sdtContent>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lang w:val="zh-CN"/>
          </w:rPr>
          <w:t>2</w:t>
        </w:r>
        <w:r>
          <w:rPr>
            <w:rFonts w:ascii="Times New Roman" w:hAnsi="Times New Roman" w:cs="Times New Roman"/>
            <w:sz w:val="28"/>
            <w:szCs w:val="28"/>
          </w:rPr>
          <w:fldChar w:fldCharType="end"/>
        </w:r>
        <w:r>
          <w:rPr>
            <w:rFonts w:ascii="Times New Roman" w:hAnsi="Times New Roman" w:cs="Times New Roman"/>
            <w:sz w:val="28"/>
            <w:szCs w:val="28"/>
          </w:rPr>
          <w:t>—</w:t>
        </w:r>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37498"/>
    <w:rsid w:val="000D62D7"/>
    <w:rsid w:val="00110440"/>
    <w:rsid w:val="0011206A"/>
    <w:rsid w:val="001430FC"/>
    <w:rsid w:val="0017038A"/>
    <w:rsid w:val="00211A2F"/>
    <w:rsid w:val="00241D72"/>
    <w:rsid w:val="002577BA"/>
    <w:rsid w:val="00316188"/>
    <w:rsid w:val="00340328"/>
    <w:rsid w:val="00354E72"/>
    <w:rsid w:val="003F384F"/>
    <w:rsid w:val="00402FB5"/>
    <w:rsid w:val="00451598"/>
    <w:rsid w:val="0048482A"/>
    <w:rsid w:val="004F3948"/>
    <w:rsid w:val="005010C0"/>
    <w:rsid w:val="005746DB"/>
    <w:rsid w:val="00585DF5"/>
    <w:rsid w:val="005A16E0"/>
    <w:rsid w:val="005D32A9"/>
    <w:rsid w:val="005E2655"/>
    <w:rsid w:val="006A5EDF"/>
    <w:rsid w:val="007038C1"/>
    <w:rsid w:val="007E1D03"/>
    <w:rsid w:val="00820253"/>
    <w:rsid w:val="00822E78"/>
    <w:rsid w:val="00880237"/>
    <w:rsid w:val="00937498"/>
    <w:rsid w:val="009A494A"/>
    <w:rsid w:val="009D10D2"/>
    <w:rsid w:val="00A0605F"/>
    <w:rsid w:val="00A17FCC"/>
    <w:rsid w:val="00AD0E48"/>
    <w:rsid w:val="00BA4510"/>
    <w:rsid w:val="00C04C1B"/>
    <w:rsid w:val="00C80988"/>
    <w:rsid w:val="00C924A8"/>
    <w:rsid w:val="00C97A0B"/>
    <w:rsid w:val="00D0262D"/>
    <w:rsid w:val="00DD4441"/>
    <w:rsid w:val="00EB22B0"/>
    <w:rsid w:val="00F01A1A"/>
    <w:rsid w:val="00F27C9A"/>
    <w:rsid w:val="00F3009B"/>
    <w:rsid w:val="08BC365B"/>
    <w:rsid w:val="315534A1"/>
    <w:rsid w:val="415857F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0"/>
    <w:unhideWhenUsed/>
    <w:qFormat/>
    <w:uiPriority w:val="99"/>
    <w:rPr>
      <w:rFonts w:ascii="Courier New" w:hAnsi="Courier New" w:cs="Courier New"/>
      <w:sz w:val="20"/>
      <w:szCs w:val="20"/>
    </w:rPr>
  </w:style>
  <w:style w:type="character" w:customStyle="1" w:styleId="8">
    <w:name w:val="页眉 Char"/>
    <w:basedOn w:val="7"/>
    <w:link w:val="4"/>
    <w:qFormat/>
    <w:uiPriority w:val="99"/>
    <w:rPr>
      <w:sz w:val="18"/>
      <w:szCs w:val="18"/>
    </w:rPr>
  </w:style>
  <w:style w:type="character" w:customStyle="1" w:styleId="9">
    <w:name w:val="页脚 Char"/>
    <w:basedOn w:val="7"/>
    <w:link w:val="3"/>
    <w:qFormat/>
    <w:uiPriority w:val="99"/>
    <w:rPr>
      <w:sz w:val="18"/>
      <w:szCs w:val="18"/>
    </w:rPr>
  </w:style>
  <w:style w:type="character" w:customStyle="1" w:styleId="10">
    <w:name w:val="HTML 预设格式 Char"/>
    <w:basedOn w:val="7"/>
    <w:link w:val="5"/>
    <w:qFormat/>
    <w:uiPriority w:val="99"/>
    <w:rPr>
      <w:rFonts w:ascii="Courier New" w:hAnsi="Courier New" w:cs="Courier New"/>
      <w:sz w:val="20"/>
      <w:szCs w:val="20"/>
    </w:rPr>
  </w:style>
  <w:style w:type="character" w:customStyle="1" w:styleId="11">
    <w:name w:val="批注框文本 Char"/>
    <w:basedOn w:val="7"/>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0D2C6C-DFDF-4222-B55A-E10C34251804}">
  <ds:schemaRefs/>
</ds:datastoreItem>
</file>

<file path=docProps/app.xml><?xml version="1.0" encoding="utf-8"?>
<Properties xmlns="http://schemas.openxmlformats.org/officeDocument/2006/extended-properties" xmlns:vt="http://schemas.openxmlformats.org/officeDocument/2006/docPropsVTypes">
  <Template>Normal</Template>
  <Company>神州网信技术有限公司</Company>
  <Pages>5</Pages>
  <Words>1888</Words>
  <Characters>1892</Characters>
  <Lines>14</Lines>
  <Paragraphs>4</Paragraphs>
  <TotalTime>0</TotalTime>
  <ScaleCrop>false</ScaleCrop>
  <LinksUpToDate>false</LinksUpToDate>
  <CharactersWithSpaces>1913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2022-08-01T02:08:00Z</dcterms:created>
  <dc:creator>朱杭俊</dc:creator>
  <cp:lastModifiedBy>文刀</cp:lastModifiedBy>
  <cp:lastPrinted>2022-08-04T01:04:00Z</cp:lastPrinted>
  <dcterms:modified xsi:type="dcterms:W3CDTF">2025-06-12T06:04:48Z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BB43EB906F134D7391B25E36687CD410_12</vt:lpwstr>
  </property>
</Properties>
</file>