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00" w:type="dxa"/>
        <w:jc w:val="center"/>
        <w:tblCellSpacing w:w="15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0"/>
      </w:tblGrid>
      <w:tr w14:paraId="12A12ACC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" w:hRule="atLeast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45BA4FD">
            <w:pPr>
              <w:widowControl/>
              <w:jc w:val="center"/>
              <w:rPr>
                <w:rFonts w:ascii="微软雅黑" w:hAnsi="微软雅黑" w:eastAsia="微软雅黑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6"/>
                <w:szCs w:val="36"/>
              </w:rPr>
              <w:t>厅直机关防止干预司法“三个规定”工作细则（试行）</w:t>
            </w:r>
          </w:p>
        </w:tc>
      </w:tr>
    </w:tbl>
    <w:p w14:paraId="059B475F">
      <w:pPr>
        <w:widowControl/>
        <w:jc w:val="left"/>
        <w:rPr>
          <w:rFonts w:ascii="宋体" w:hAnsi="宋体" w:eastAsia="宋体" w:cs="宋体"/>
          <w:vanish/>
          <w:kern w:val="0"/>
          <w:sz w:val="24"/>
          <w:szCs w:val="24"/>
        </w:rPr>
      </w:pPr>
    </w:p>
    <w:tbl>
      <w:tblPr>
        <w:tblStyle w:val="3"/>
        <w:tblW w:w="9000" w:type="dxa"/>
        <w:jc w:val="center"/>
        <w:tblCellSpacing w:w="15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0"/>
      </w:tblGrid>
      <w:tr w14:paraId="0C778E5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4EA9C5A">
            <w:pPr>
              <w:widowControl/>
              <w:wordWrap w:val="0"/>
              <w:spacing w:line="480" w:lineRule="atLeast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黑体" w:hAnsi="黑体" w:eastAsia="黑体" w:cs="Times New Roman"/>
                <w:kern w:val="0"/>
                <w:sz w:val="32"/>
                <w:szCs w:val="32"/>
              </w:rPr>
              <w:t>第一章　总　　则</w:t>
            </w:r>
          </w:p>
          <w:p w14:paraId="39B17A38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第一条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为进一步推进全面从严管党治警，确保严格规范公正文明执法，根据《领导干部干预司法活动、插手具体案件处理的记录、通报和责任追究规定》《司法机关内部人员过问案件的记录和责任追究规定》《关于进一步规范司法人员与当事人、律师、特殊关系人、中介组织接触交往行为的若干规定》（以下简称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）和中央政法委《关于严格执行防止干预司法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的工作意见》等文件精神，结合厅直机关实际，制定本工作细则。</w:t>
            </w:r>
          </w:p>
          <w:p w14:paraId="06F65DB4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第二条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机关内部人员不得违反规定干预、插手、过问执法办案，不得以任何方式为利害关系人说情打招呼，不得与当事人、律师、特殊关系人、中介组织进行任何不正当的接触交往。领导干部不得授意、纵容、默许身边工作人员、亲属违反规定干预、插手、过问公安机关执法办案或者进行其他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的行为。</w:t>
            </w:r>
          </w:p>
          <w:p w14:paraId="11C6C8C5">
            <w:pPr>
              <w:widowControl/>
              <w:wordWrap w:val="0"/>
              <w:spacing w:line="480" w:lineRule="atLeast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32"/>
                <w:szCs w:val="32"/>
              </w:rPr>
              <w:t>第二章　学习教育</w:t>
            </w:r>
          </w:p>
          <w:p w14:paraId="6820FB2E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第三条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厅机关党委应当将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贯彻落实情况纳入党委议事学习的重要内容，每季度通过党委中心组学习等形式强化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内容的学习。</w:t>
            </w:r>
          </w:p>
          <w:p w14:paraId="4D1BB4F6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第四条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厅人训处将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的宣传教育与民警警衔晋升、新警训练培训等有机结合，通过学习相关规定和剖析典型案例，提高民警自觉遵守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的意识。</w:t>
            </w:r>
          </w:p>
          <w:p w14:paraId="691003CE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第五条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厅宣传处应通过媒体报道、宣传标语、提示牌等形式，向民警、案件当事人、律师及广大群众宣传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政策内容。</w:t>
            </w:r>
          </w:p>
          <w:p w14:paraId="74C84F19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第六条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厅直各部门领导需在民主生活会、组织生活会、年度述职述廉会上报告本人及分管部门执行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情况。</w:t>
            </w:r>
          </w:p>
          <w:p w14:paraId="4CF6CF01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第七条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厅直各部门应落实层级管理职责，每季度通过谈心谈话、相互提醒、对照检视等形式督促每名党员、民警学习贯彻防止干预司法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。</w:t>
            </w:r>
          </w:p>
          <w:p w14:paraId="2F5C94B1">
            <w:pPr>
              <w:widowControl/>
              <w:wordWrap w:val="0"/>
              <w:spacing w:line="480" w:lineRule="atLeast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32"/>
                <w:szCs w:val="32"/>
              </w:rPr>
              <w:t>第三章　线索报送</w:t>
            </w:r>
          </w:p>
          <w:p w14:paraId="4B8CECC3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第八条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厅直机关内部人员对违反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的行为，应当全面、如实、及时记录，做到全程留痕、有据可查，及时报告。报告内容包含发生时间、场所和在场人员，如有书证、物证、视听资料等其他证据材料的，一并载明。</w:t>
            </w:r>
          </w:p>
          <w:p w14:paraId="3CE29C0E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第九条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厅直机关内部人员发现他人或自查存在违反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情况的，应当及时采取以下任一方式填报违反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问题线索：</w:t>
            </w:r>
          </w:p>
          <w:p w14:paraId="2B7876BD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（一）</w:t>
            </w:r>
            <w:r>
              <w:rPr>
                <w:rFonts w:hint="eastAsia" w:ascii="楷体" w:hAnsi="楷体" w:eastAsia="楷体" w:cs="宋体"/>
                <w:kern w:val="0"/>
                <w:sz w:val="32"/>
                <w:szCs w:val="32"/>
              </w:rPr>
              <w:t>向本级或上级党组织报送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。按照《浙江省公安厅党员干部个人重大事项即报制度》要求，及时请示报告领导干部干预司法活动、插手具体案件处理情况的重大事项。</w:t>
            </w:r>
          </w:p>
          <w:p w14:paraId="1C7AC02E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（二）</w:t>
            </w:r>
            <w:r>
              <w:rPr>
                <w:rFonts w:hint="eastAsia" w:ascii="楷体" w:hAnsi="楷体" w:eastAsia="楷体" w:cs="宋体"/>
                <w:kern w:val="0"/>
                <w:sz w:val="32"/>
                <w:szCs w:val="32"/>
              </w:rPr>
              <w:t>向督察总队报送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。登陆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浙政钉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手机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APP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中的违反干预司法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的线索直报程序，通过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浙政钉工作台</w:t>
            </w: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—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省公安厅内跑专区</w:t>
            </w:r>
            <w:r>
              <w:rPr>
                <w:rFonts w:hint="eastAsia" w:ascii="仿宋_GB2312" w:hAnsi="宋体" w:eastAsia="仿宋_GB2312" w:cs="宋体"/>
                <w:kern w:val="0"/>
                <w:sz w:val="32"/>
                <w:szCs w:val="32"/>
              </w:rPr>
              <w:t>—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督察受理事项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直接将相关问题线索推送至督察总队。</w:t>
            </w:r>
          </w:p>
          <w:p w14:paraId="07477C4F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厅直机关办案人员在案件办理过程中遇到违反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行为的，应当自发现违规行为起３个工作日内，登陆公安内网的全省执法办案综合应用系统，通过防止干预司法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直报程序，向公安部如实记录报告。同时，向党组织或督察总队报送，填报有可能造成严重后果的除外。</w:t>
            </w:r>
          </w:p>
          <w:p w14:paraId="2E80489B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第十一条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厅直机关各部门每季度对重点岗位和重点人员开展风险研判，发现和甄别本部门内部人员违反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的问题线索。各部门受理内部人员自查填报或通过倒查发现违反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问题线索的，应当自发现之日起３个工作日内报督察总队。</w:t>
            </w:r>
          </w:p>
          <w:p w14:paraId="7BF8021E">
            <w:pPr>
              <w:widowControl/>
              <w:wordWrap w:val="0"/>
              <w:spacing w:line="480" w:lineRule="atLeast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32"/>
                <w:szCs w:val="32"/>
              </w:rPr>
              <w:t>第四章　查处警示</w:t>
            </w:r>
          </w:p>
          <w:p w14:paraId="3F691E9D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第十二条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督察总队接到违规线索报告后，应当在７个工作日内作出审核认定，必要时可以与厅机关纪委、人训处、法制总队及厅属相关部门按职责分工开展会商审核，并按照以下程序处理：</w:t>
            </w:r>
          </w:p>
          <w:p w14:paraId="54BE0D0E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（一）审核认定为厅机关领导干部或内部人员存在违反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行为的，按照干部管理权限移交驻厅纪检监察组或厅直相关部门调查处理。</w:t>
            </w:r>
          </w:p>
          <w:p w14:paraId="5F29BF14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（二）审核认定为上级公安机关领导干部、内部人员，或者无隶属关系的其它公安机关领导干部、内部人员存在违反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行为的，移送厅机关纪委按程序向有权管辖的纪检监察部门报告。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</w:t>
            </w:r>
          </w:p>
          <w:p w14:paraId="1520124E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（三）审核认定为非公安机关内部人员存在违反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行为的，移送厅机关纪委按程序向有权管辖的纪检监察部门报告或通报。</w:t>
            </w:r>
          </w:p>
          <w:p w14:paraId="1A267225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第十三条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督察总队审核认定后应当提出督察建议，督察建议经厅督察长签批同意后生效。</w:t>
            </w:r>
          </w:p>
          <w:p w14:paraId="28ABE098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第十四条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督察总队每季度对违反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案（事）件查处情况进行汇总分析，对典型案（事）件进行内部通报，视情向社会曝光。</w:t>
            </w:r>
          </w:p>
          <w:p w14:paraId="2BCD603C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第十五条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厅机关党委将违反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情形纳入厅直机关年度考核，作为评先评优的依据。</w:t>
            </w:r>
          </w:p>
          <w:p w14:paraId="369A5634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第十六条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厅直机关内部人员对违反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情况不记录或者不如实记录的，予以警告、通报批评；两次以上不记录或者不如实记录的，依照《中国共产党纪律处分条例》《中华人民共和国公职人员政务处分法》《行政机关公务员处分条例》和《公安机关人民警察纪律条令》等法规制度给予纪律处分。领导干部授意不记录或者不如实记录的，依规依纪依法追究领导责任。</w:t>
            </w:r>
          </w:p>
          <w:p w14:paraId="4C96C823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第十七条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厅直机关内部人员如实记录、报告违反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情况，受法律和组织保护。</w:t>
            </w:r>
          </w:p>
          <w:p w14:paraId="7E8E93B3">
            <w:pPr>
              <w:widowControl/>
              <w:wordWrap w:val="0"/>
              <w:spacing w:line="480" w:lineRule="atLeast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32"/>
                <w:szCs w:val="32"/>
              </w:rPr>
              <w:t>第五章　附　　则</w:t>
            </w:r>
          </w:p>
          <w:p w14:paraId="5A6036ED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第十八条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本工作细则所称厅直机关内部人员，是指在厅机关及直属单位工作的民警、辅警和职工。厅机关离退休人员违反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“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三个规定</w:t>
            </w:r>
            <w:r>
              <w:rPr>
                <w:rFonts w:ascii="Times New Roman" w:hAnsi="Times New Roman" w:eastAsia="宋体" w:cs="Times New Roman"/>
                <w:kern w:val="0"/>
                <w:sz w:val="32"/>
                <w:szCs w:val="32"/>
              </w:rPr>
              <w:t>”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的，适用本细则。</w:t>
            </w:r>
          </w:p>
          <w:p w14:paraId="1D4C02DF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第十九条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本细则由厅警务督察总队负责解释。</w:t>
            </w:r>
          </w:p>
          <w:p w14:paraId="0B24874E">
            <w:pPr>
              <w:widowControl/>
              <w:wordWrap w:val="0"/>
              <w:spacing w:line="480" w:lineRule="atLeast"/>
              <w:ind w:firstLine="640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32"/>
                <w:szCs w:val="32"/>
              </w:rPr>
              <w:t>第二十条</w:t>
            </w:r>
            <w:r>
              <w:rPr>
                <w:rFonts w:ascii="仿宋_GB2312" w:hAnsi="Times New Roman" w:eastAsia="仿宋_GB2312" w:cs="Times New Roman"/>
                <w:kern w:val="0"/>
                <w:sz w:val="32"/>
                <w:szCs w:val="32"/>
              </w:rPr>
              <w:t>　本工作细则自发布之日起施行。</w:t>
            </w:r>
          </w:p>
        </w:tc>
      </w:tr>
    </w:tbl>
    <w:p w14:paraId="367ECC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84D"/>
    <w:rsid w:val="0016384D"/>
    <w:rsid w:val="007B38B1"/>
    <w:rsid w:val="00ED098A"/>
    <w:rsid w:val="626B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2122</Words>
  <Characters>2128</Characters>
  <Lines>16</Lines>
  <Paragraphs>4</Paragraphs>
  <TotalTime>0</TotalTime>
  <ScaleCrop>false</ScaleCrop>
  <LinksUpToDate>false</LinksUpToDate>
  <CharactersWithSpaces>2241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2025-02-18T01:53:00Z</dcterms:created>
  <dc:creator>IBM</dc:creator>
  <cp:lastModifiedBy>马丽娜</cp:lastModifiedBy>
  <dcterms:modified xsi:type="dcterms:W3CDTF">2025-03-24T08:08:38Z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eyJoZGlkIjoiZTFhZGJjMjlmMmZjZTNjZDI1YmM2ZTk0YWVjZmI2OTkiLCJ1c2VySWQiOiIxNjUyMjQ2MDYxIn0=</vt:lpwstr>
  </property>
  <property fmtid="{D5CDD505-2E9C-101B-9397-08002B2CF9AE}" pid="3" name="KSOProductBuildVer">
    <vt:lpwstr>2052-12.1.0.19302</vt:lpwstr>
  </property>
  <property fmtid="{D5CDD505-2E9C-101B-9397-08002B2CF9AE}" pid="4" name="ICV">
    <vt:lpwstr>FE2ADFF5DA014DEF8025CD7C4F58DACE_12</vt:lpwstr>
  </property>
</Properties>
</file>