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000" w:type="dxa"/>
        <w:jc w:val="center"/>
        <w:tblCellSpacing w:w="0" w:type="dxa"/>
        <w:tblLayout w:type="autofit"/>
        <w:tblCellMar>
          <w:top w:w="0" w:type="dxa"/>
          <w:left w:w="0" w:type="dxa"/>
          <w:bottom w:w="0" w:type="dxa"/>
          <w:right w:w="0" w:type="dxa"/>
        </w:tblCellMar>
      </w:tblPr>
      <w:tblGrid>
        <w:gridCol w:w="9000"/>
      </w:tblGrid>
      <w:tr w14:paraId="38BCF723">
        <w:tblPrEx>
          <w:tblCellMar>
            <w:top w:w="0" w:type="dxa"/>
            <w:left w:w="0" w:type="dxa"/>
            <w:bottom w:w="0" w:type="dxa"/>
            <w:right w:w="0" w:type="dxa"/>
          </w:tblCellMar>
        </w:tblPrEx>
        <w:trPr>
          <w:trHeight w:val="15" w:hRule="atLeast"/>
          <w:tblCellSpacing w:w="0" w:type="dxa"/>
          <w:jc w:val="center"/>
        </w:trPr>
        <w:tc>
          <w:tcPr>
            <w:tcW w:w="0" w:type="auto"/>
            <w:vAlign w:val="center"/>
          </w:tcPr>
          <w:p w14:paraId="0F6B1DED">
            <w:pPr>
              <w:widowControl/>
              <w:jc w:val="left"/>
              <w:rPr>
                <w:rFonts w:ascii="宋体" w:hAnsi="宋体" w:eastAsia="宋体" w:cs="宋体"/>
                <w:kern w:val="0"/>
                <w:sz w:val="24"/>
                <w:szCs w:val="24"/>
              </w:rPr>
            </w:pPr>
          </w:p>
          <w:p w14:paraId="68CB636F">
            <w:pPr>
              <w:widowControl/>
              <w:jc w:val="center"/>
              <w:rPr>
                <w:rFonts w:ascii="宋体" w:hAnsi="宋体" w:eastAsia="宋体" w:cs="宋体"/>
                <w:kern w:val="0"/>
                <w:sz w:val="24"/>
                <w:szCs w:val="24"/>
              </w:rPr>
            </w:pPr>
            <w:r>
              <w:rPr>
                <w:rFonts w:ascii="方正小标宋简体" w:hAnsi="Times New Roman" w:eastAsia="方正小标宋简体" w:cs="Times New Roman"/>
                <w:color w:val="000000"/>
                <w:kern w:val="0"/>
                <w:sz w:val="40"/>
                <w:szCs w:val="40"/>
              </w:rPr>
              <w:t>全省公安机关数字督察中心建设运行规范（试行）</w:t>
            </w:r>
          </w:p>
        </w:tc>
      </w:tr>
    </w:tbl>
    <w:p w14:paraId="258FA19D">
      <w:pPr>
        <w:widowControl/>
        <w:jc w:val="left"/>
        <w:rPr>
          <w:rFonts w:ascii="宋体" w:hAnsi="宋体" w:eastAsia="宋体" w:cs="宋体"/>
          <w:vanish/>
          <w:kern w:val="0"/>
          <w:sz w:val="24"/>
          <w:szCs w:val="24"/>
        </w:rPr>
      </w:pPr>
    </w:p>
    <w:tbl>
      <w:tblPr>
        <w:tblStyle w:val="3"/>
        <w:tblW w:w="9000" w:type="dxa"/>
        <w:jc w:val="center"/>
        <w:tblCellSpacing w:w="15" w:type="dxa"/>
        <w:tblLayout w:type="autofit"/>
        <w:tblCellMar>
          <w:top w:w="15" w:type="dxa"/>
          <w:left w:w="15" w:type="dxa"/>
          <w:bottom w:w="15" w:type="dxa"/>
          <w:right w:w="15" w:type="dxa"/>
        </w:tblCellMar>
      </w:tblPr>
      <w:tblGrid>
        <w:gridCol w:w="9000"/>
      </w:tblGrid>
      <w:tr w14:paraId="6261EC77">
        <w:tblPrEx>
          <w:tblCellMar>
            <w:top w:w="15" w:type="dxa"/>
            <w:left w:w="15" w:type="dxa"/>
            <w:bottom w:w="15" w:type="dxa"/>
            <w:right w:w="15" w:type="dxa"/>
          </w:tblCellMar>
        </w:tblPrEx>
        <w:trPr>
          <w:tblCellSpacing w:w="15" w:type="dxa"/>
          <w:jc w:val="center"/>
        </w:trPr>
        <w:tc>
          <w:tcPr>
            <w:tcW w:w="0" w:type="auto"/>
            <w:shd w:val="clear" w:color="auto" w:fill="FFFFFF"/>
            <w:vAlign w:val="center"/>
          </w:tcPr>
          <w:p w14:paraId="6C9B46F4">
            <w:pPr>
              <w:widowControl/>
              <w:wordWrap w:val="0"/>
              <w:spacing w:line="600" w:lineRule="atLeast"/>
              <w:jc w:val="center"/>
              <w:rPr>
                <w:rFonts w:ascii="宋体" w:hAnsi="宋体" w:eastAsia="宋体" w:cs="宋体"/>
                <w:color w:val="000000"/>
                <w:kern w:val="0"/>
                <w:sz w:val="24"/>
                <w:szCs w:val="24"/>
              </w:rPr>
            </w:pPr>
            <w:r>
              <w:rPr>
                <w:rFonts w:ascii="Times New Roman" w:hAnsi="Times New Roman" w:eastAsia="宋体" w:cs="Times New Roman"/>
                <w:color w:val="000000"/>
                <w:kern w:val="0"/>
                <w:sz w:val="32"/>
                <w:szCs w:val="32"/>
              </w:rPr>
              <w:t> </w:t>
            </w:r>
            <w:bookmarkStart w:id="0" w:name="_GoBack"/>
            <w:bookmarkEnd w:id="0"/>
            <w:r>
              <w:rPr>
                <w:rFonts w:ascii="黑体" w:hAnsi="黑体" w:eastAsia="黑体" w:cs="Times New Roman"/>
                <w:color w:val="000000"/>
                <w:kern w:val="0"/>
                <w:sz w:val="32"/>
                <w:szCs w:val="32"/>
              </w:rPr>
              <w:t>第一章</w:t>
            </w:r>
            <w:r>
              <w:rPr>
                <w:rFonts w:ascii="Times New Roman" w:hAnsi="Times New Roman" w:eastAsia="宋体" w:cs="Times New Roman"/>
                <w:color w:val="000000"/>
                <w:kern w:val="0"/>
                <w:sz w:val="32"/>
                <w:szCs w:val="32"/>
              </w:rPr>
              <w:t>  </w:t>
            </w:r>
            <w:r>
              <w:rPr>
                <w:rFonts w:ascii="黑体" w:hAnsi="黑体" w:eastAsia="黑体" w:cs="Times New Roman"/>
                <w:color w:val="000000"/>
                <w:kern w:val="0"/>
                <w:sz w:val="32"/>
                <w:szCs w:val="32"/>
              </w:rPr>
              <w:t>总</w:t>
            </w:r>
            <w:r>
              <w:rPr>
                <w:rFonts w:ascii="Times New Roman" w:hAnsi="Times New Roman" w:eastAsia="宋体" w:cs="Times New Roman"/>
                <w:color w:val="000000"/>
                <w:kern w:val="0"/>
                <w:sz w:val="32"/>
                <w:szCs w:val="32"/>
              </w:rPr>
              <w:t>  </w:t>
            </w:r>
            <w:r>
              <w:rPr>
                <w:rFonts w:ascii="黑体" w:hAnsi="黑体" w:eastAsia="黑体" w:cs="Times New Roman"/>
                <w:color w:val="000000"/>
                <w:kern w:val="0"/>
                <w:sz w:val="32"/>
                <w:szCs w:val="32"/>
              </w:rPr>
              <w:t>则</w:t>
            </w:r>
          </w:p>
          <w:p w14:paraId="19F562A9">
            <w:pPr>
              <w:widowControl/>
              <w:wordWrap w:val="0"/>
              <w:spacing w:line="600" w:lineRule="atLeast"/>
              <w:ind w:firstLine="640"/>
              <w:jc w:val="left"/>
              <w:rPr>
                <w:rFonts w:ascii="宋体" w:hAnsi="宋体" w:eastAsia="宋体" w:cs="宋体"/>
                <w:color w:val="000000"/>
                <w:kern w:val="0"/>
                <w:sz w:val="24"/>
                <w:szCs w:val="24"/>
              </w:rPr>
            </w:pPr>
            <w:r>
              <w:rPr>
                <w:rFonts w:ascii="黑体" w:hAnsi="黑体" w:eastAsia="黑体" w:cs="Times New Roman"/>
                <w:color w:val="000000"/>
                <w:kern w:val="0"/>
                <w:sz w:val="32"/>
                <w:szCs w:val="32"/>
              </w:rPr>
              <w:t>第一条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为贯彻落实公安部《关于全面推进公安数字督察的指导意见》部署，进一步加强和规范全省公安机关各级数字督察中心（以下简称</w:t>
            </w:r>
            <w:r>
              <w:rPr>
                <w:rFonts w:ascii="Times New Roman" w:hAnsi="Times New Roman" w:eastAsia="宋体" w:cs="Times New Roman"/>
                <w:color w:val="000000"/>
                <w:kern w:val="0"/>
                <w:sz w:val="32"/>
                <w:szCs w:val="32"/>
              </w:rPr>
              <w:t>“</w:t>
            </w:r>
            <w:r>
              <w:rPr>
                <w:rFonts w:ascii="仿宋_GB2312" w:hAnsi="Times New Roman" w:eastAsia="仿宋_GB2312" w:cs="Times New Roman"/>
                <w:color w:val="000000"/>
                <w:kern w:val="0"/>
                <w:sz w:val="32"/>
                <w:szCs w:val="32"/>
              </w:rPr>
              <w:t>数字督察中心</w:t>
            </w:r>
            <w:r>
              <w:rPr>
                <w:rFonts w:ascii="Times New Roman" w:hAnsi="Times New Roman" w:eastAsia="宋体" w:cs="Times New Roman"/>
                <w:color w:val="000000"/>
                <w:kern w:val="0"/>
                <w:sz w:val="32"/>
                <w:szCs w:val="32"/>
              </w:rPr>
              <w:t>”</w:t>
            </w:r>
            <w:r>
              <w:rPr>
                <w:rFonts w:ascii="仿宋_GB2312" w:hAnsi="Times New Roman" w:eastAsia="仿宋_GB2312" w:cs="Times New Roman"/>
                <w:color w:val="000000"/>
                <w:kern w:val="0"/>
                <w:sz w:val="32"/>
                <w:szCs w:val="32"/>
              </w:rPr>
              <w:t>）建设，提升数字督察规范化、智能化、实战化水平，根据《公安机关督察条例》《公安机关数字督察中心建设指引》《全省公安数字督察三年行动计划（</w:t>
            </w:r>
            <w:r>
              <w:rPr>
                <w:rFonts w:ascii="Times New Roman" w:hAnsi="Times New Roman" w:eastAsia="宋体" w:cs="Times New Roman"/>
                <w:color w:val="000000"/>
                <w:kern w:val="0"/>
                <w:sz w:val="32"/>
                <w:szCs w:val="32"/>
              </w:rPr>
              <w:t>2023-2025</w:t>
            </w:r>
            <w:r>
              <w:rPr>
                <w:rFonts w:ascii="仿宋_GB2312" w:hAnsi="Times New Roman" w:eastAsia="仿宋_GB2312" w:cs="Times New Roman"/>
                <w:color w:val="000000"/>
                <w:kern w:val="0"/>
                <w:sz w:val="32"/>
                <w:szCs w:val="32"/>
              </w:rPr>
              <w:t>年）》等相关要求，制定本规范。</w:t>
            </w:r>
          </w:p>
          <w:p w14:paraId="74E30967">
            <w:pPr>
              <w:widowControl/>
              <w:wordWrap w:val="0"/>
              <w:spacing w:line="600" w:lineRule="atLeast"/>
              <w:ind w:firstLine="640"/>
              <w:jc w:val="left"/>
              <w:rPr>
                <w:rFonts w:ascii="Times New Roman" w:hAnsi="Times New Roman" w:eastAsia="仿宋" w:cs="Times New Roman"/>
                <w:color w:val="000000"/>
                <w:kern w:val="0"/>
                <w:sz w:val="32"/>
                <w:szCs w:val="32"/>
              </w:rPr>
            </w:pPr>
            <w:r>
              <w:rPr>
                <w:rFonts w:ascii="黑体" w:hAnsi="黑体" w:eastAsia="黑体" w:cs="Times New Roman"/>
                <w:color w:val="000000"/>
                <w:kern w:val="0"/>
                <w:sz w:val="32"/>
                <w:szCs w:val="32"/>
              </w:rPr>
              <w:t>第二条</w:t>
            </w:r>
            <w:r>
              <w:rPr>
                <w:rFonts w:ascii="Times New Roman" w:hAnsi="Times New Roman" w:eastAsia="仿宋" w:cs="Times New Roman"/>
                <w:color w:val="000000"/>
                <w:kern w:val="0"/>
                <w:sz w:val="32"/>
                <w:szCs w:val="32"/>
              </w:rPr>
              <w:t> </w:t>
            </w:r>
            <w:r>
              <w:rPr>
                <w:rFonts w:ascii="仿宋_GB2312" w:hAnsi="Times New Roman" w:eastAsia="仿宋_GB2312" w:cs="Times New Roman"/>
                <w:color w:val="000000"/>
                <w:kern w:val="0"/>
                <w:sz w:val="32"/>
                <w:szCs w:val="32"/>
              </w:rPr>
              <w:t>本规范所称数字督察中心，是各级公安机关开展数字督察的具体作战单元，是数字督察实战应用、指挥调度、研判会商的重要阵地，是数字督察业务协同、流转处置、跟踪问效的重要支撑。</w:t>
            </w:r>
          </w:p>
          <w:p w14:paraId="15D08AE8">
            <w:pPr>
              <w:widowControl/>
              <w:wordWrap w:val="0"/>
              <w:spacing w:line="600" w:lineRule="atLeast"/>
              <w:ind w:firstLine="640"/>
              <w:jc w:val="left"/>
              <w:textAlignment w:val="baseline"/>
              <w:rPr>
                <w:rFonts w:ascii="Times New Roman" w:hAnsi="Times New Roman" w:eastAsia="仿宋" w:cs="Times New Roman"/>
                <w:color w:val="000000"/>
                <w:kern w:val="0"/>
                <w:sz w:val="32"/>
                <w:szCs w:val="32"/>
              </w:rPr>
            </w:pPr>
            <w:r>
              <w:rPr>
                <w:rFonts w:ascii="黑体" w:hAnsi="黑体" w:eastAsia="黑体" w:cs="Times New Roman"/>
                <w:color w:val="000000"/>
                <w:kern w:val="0"/>
                <w:sz w:val="32"/>
                <w:szCs w:val="32"/>
              </w:rPr>
              <w:t>第三条</w:t>
            </w:r>
            <w:r>
              <w:rPr>
                <w:rFonts w:ascii="Times New Roman" w:hAnsi="Times New Roman" w:eastAsia="仿宋" w:cs="Times New Roman"/>
                <w:color w:val="000000"/>
                <w:kern w:val="0"/>
                <w:sz w:val="32"/>
                <w:szCs w:val="32"/>
              </w:rPr>
              <w:t> </w:t>
            </w:r>
            <w:r>
              <w:rPr>
                <w:rFonts w:ascii="仿宋_GB2312" w:hAnsi="Times New Roman" w:eastAsia="仿宋_GB2312" w:cs="Times New Roman"/>
                <w:color w:val="000000"/>
                <w:kern w:val="0"/>
                <w:sz w:val="32"/>
                <w:szCs w:val="32"/>
              </w:rPr>
              <w:t>数字督察中心建设运行，由本级数字督察工作领导小组集中统一领导。警务督察部门主要负责人为本级数字督察中心第一责任人。</w:t>
            </w:r>
          </w:p>
          <w:p w14:paraId="362EDB0D">
            <w:pPr>
              <w:widowControl/>
              <w:wordWrap w:val="0"/>
              <w:spacing w:line="600" w:lineRule="atLeast"/>
              <w:ind w:firstLine="640"/>
              <w:jc w:val="left"/>
              <w:rPr>
                <w:rFonts w:ascii="Times New Roman" w:hAnsi="Times New Roman" w:eastAsia="仿宋" w:cs="Times New Roman"/>
                <w:color w:val="000000"/>
                <w:kern w:val="0"/>
                <w:sz w:val="32"/>
                <w:szCs w:val="32"/>
              </w:rPr>
            </w:pPr>
            <w:r>
              <w:rPr>
                <w:rFonts w:ascii="黑体" w:hAnsi="黑体" w:eastAsia="黑体" w:cs="Times New Roman"/>
                <w:color w:val="000000"/>
                <w:kern w:val="0"/>
                <w:sz w:val="32"/>
                <w:szCs w:val="32"/>
              </w:rPr>
              <w:t>第四条</w:t>
            </w:r>
            <w:r>
              <w:rPr>
                <w:rFonts w:ascii="Times New Roman" w:hAnsi="Times New Roman" w:eastAsia="仿宋" w:cs="Times New Roman"/>
                <w:color w:val="000000"/>
                <w:kern w:val="0"/>
                <w:sz w:val="32"/>
                <w:szCs w:val="32"/>
              </w:rPr>
              <w:t> </w:t>
            </w:r>
            <w:r>
              <w:rPr>
                <w:rFonts w:ascii="仿宋_GB2312" w:hAnsi="Times New Roman" w:eastAsia="仿宋_GB2312" w:cs="Times New Roman"/>
                <w:color w:val="000000"/>
                <w:kern w:val="0"/>
                <w:sz w:val="32"/>
                <w:szCs w:val="32"/>
              </w:rPr>
              <w:t>数字督察中心坚持服务公安中心工作和队伍管理建设，依托数字督察方法，强化态势感知、预测预警，加强过程监督、追溯倒查，推进综合研判、成果转化，推动各项措施有效落实。</w:t>
            </w:r>
          </w:p>
          <w:p w14:paraId="241F7BA6">
            <w:pPr>
              <w:widowControl/>
              <w:wordWrap w:val="0"/>
              <w:spacing w:line="600" w:lineRule="atLeast"/>
              <w:ind w:firstLine="640"/>
              <w:jc w:val="left"/>
              <w:textAlignment w:val="baseline"/>
              <w:rPr>
                <w:rFonts w:ascii="Times New Roman" w:hAnsi="Times New Roman" w:eastAsia="仿宋" w:cs="Times New Roman"/>
                <w:color w:val="000000"/>
                <w:kern w:val="0"/>
                <w:sz w:val="32"/>
                <w:szCs w:val="32"/>
              </w:rPr>
            </w:pPr>
            <w:r>
              <w:rPr>
                <w:rFonts w:ascii="黑体" w:hAnsi="黑体" w:eastAsia="黑体" w:cs="Times New Roman"/>
                <w:color w:val="000000"/>
                <w:kern w:val="0"/>
                <w:sz w:val="32"/>
                <w:szCs w:val="32"/>
              </w:rPr>
              <w:t>第五条</w:t>
            </w:r>
            <w:r>
              <w:rPr>
                <w:rFonts w:ascii="Times New Roman" w:hAnsi="Times New Roman" w:eastAsia="仿宋" w:cs="Times New Roman"/>
                <w:color w:val="000000"/>
                <w:kern w:val="0"/>
                <w:sz w:val="32"/>
                <w:szCs w:val="32"/>
              </w:rPr>
              <w:t> </w:t>
            </w:r>
            <w:r>
              <w:rPr>
                <w:rFonts w:ascii="仿宋_GB2312" w:hAnsi="Times New Roman" w:eastAsia="仿宋_GB2312" w:cs="Times New Roman"/>
                <w:color w:val="000000"/>
                <w:kern w:val="0"/>
                <w:sz w:val="32"/>
                <w:szCs w:val="32"/>
              </w:rPr>
              <w:t>数字督察中心实行专人负责制，负责中心日常运行管理，</w:t>
            </w:r>
            <w:r>
              <w:rPr>
                <w:rFonts w:ascii="仿宋_GB2312" w:hAnsi="Times New Roman" w:eastAsia="仿宋_GB2312" w:cs="Times New Roman"/>
                <w:color w:val="000000"/>
                <w:kern w:val="0"/>
                <w:sz w:val="32"/>
                <w:szCs w:val="32"/>
                <w:shd w:val="clear" w:color="auto" w:fill="FFFFFF"/>
              </w:rPr>
              <w:t>组织开展</w:t>
            </w:r>
            <w:r>
              <w:rPr>
                <w:rFonts w:ascii="仿宋_GB2312" w:hAnsi="Times New Roman" w:eastAsia="仿宋_GB2312" w:cs="Times New Roman"/>
                <w:color w:val="000000"/>
                <w:kern w:val="0"/>
                <w:sz w:val="32"/>
                <w:szCs w:val="32"/>
              </w:rPr>
              <w:t>数字督察实战应用、指挥调度、研判会商，实施数字督察业务协同、流转处置、跟踪问效。</w:t>
            </w:r>
          </w:p>
          <w:p w14:paraId="4E6A34DA">
            <w:pPr>
              <w:widowControl/>
              <w:wordWrap w:val="0"/>
              <w:spacing w:line="600" w:lineRule="atLeast"/>
              <w:ind w:firstLine="640"/>
              <w:jc w:val="left"/>
              <w:rPr>
                <w:rFonts w:ascii="Times New Roman" w:hAnsi="Times New Roman" w:eastAsia="仿宋" w:cs="Times New Roman"/>
                <w:color w:val="000000"/>
                <w:kern w:val="0"/>
                <w:sz w:val="32"/>
                <w:szCs w:val="32"/>
              </w:rPr>
            </w:pPr>
            <w:r>
              <w:rPr>
                <w:rFonts w:ascii="黑体" w:hAnsi="黑体" w:eastAsia="黑体" w:cs="Times New Roman"/>
                <w:color w:val="000000"/>
                <w:kern w:val="0"/>
                <w:sz w:val="32"/>
                <w:szCs w:val="32"/>
              </w:rPr>
              <w:t>第六条</w:t>
            </w:r>
            <w:r>
              <w:rPr>
                <w:rFonts w:ascii="Times New Roman" w:hAnsi="Times New Roman" w:eastAsia="仿宋" w:cs="Times New Roman"/>
                <w:color w:val="000000"/>
                <w:kern w:val="0"/>
                <w:sz w:val="32"/>
                <w:szCs w:val="32"/>
              </w:rPr>
              <w:t> </w:t>
            </w:r>
            <w:r>
              <w:rPr>
                <w:rFonts w:ascii="仿宋_GB2312" w:hAnsi="Times New Roman" w:eastAsia="仿宋_GB2312" w:cs="Times New Roman"/>
                <w:color w:val="000000"/>
                <w:kern w:val="0"/>
                <w:sz w:val="32"/>
                <w:szCs w:val="32"/>
              </w:rPr>
              <w:t>本规范适用于省、市、县公安机关数字督察中心建设和运行。</w:t>
            </w:r>
          </w:p>
          <w:p w14:paraId="0D47D13D">
            <w:pPr>
              <w:widowControl/>
              <w:wordWrap w:val="0"/>
              <w:spacing w:line="600" w:lineRule="atLeast"/>
              <w:jc w:val="left"/>
              <w:rPr>
                <w:rFonts w:ascii="Times New Roman" w:hAnsi="Times New Roman" w:eastAsia="仿宋" w:cs="Times New Roman"/>
                <w:color w:val="000000"/>
                <w:kern w:val="0"/>
                <w:sz w:val="32"/>
                <w:szCs w:val="32"/>
              </w:rPr>
            </w:pPr>
            <w:r>
              <w:rPr>
                <w:rFonts w:ascii="Times New Roman" w:hAnsi="Times New Roman" w:eastAsia="仿宋" w:cs="Times New Roman"/>
                <w:color w:val="000000"/>
                <w:kern w:val="0"/>
                <w:sz w:val="32"/>
                <w:szCs w:val="32"/>
              </w:rPr>
              <w:t> </w:t>
            </w:r>
          </w:p>
          <w:p w14:paraId="5ABAF1CF">
            <w:pPr>
              <w:widowControl/>
              <w:wordWrap w:val="0"/>
              <w:spacing w:line="600" w:lineRule="atLeast"/>
              <w:jc w:val="center"/>
              <w:rPr>
                <w:rFonts w:ascii="Times New Roman" w:hAnsi="Times New Roman" w:eastAsia="仿宋" w:cs="Times New Roman"/>
                <w:color w:val="000000"/>
                <w:kern w:val="0"/>
                <w:sz w:val="32"/>
                <w:szCs w:val="32"/>
              </w:rPr>
            </w:pPr>
            <w:r>
              <w:rPr>
                <w:rFonts w:ascii="黑体" w:hAnsi="黑体" w:eastAsia="黑体" w:cs="Times New Roman"/>
                <w:color w:val="000000"/>
                <w:kern w:val="0"/>
                <w:sz w:val="32"/>
                <w:szCs w:val="32"/>
              </w:rPr>
              <w:t>第二章</w:t>
            </w:r>
            <w:r>
              <w:rPr>
                <w:rFonts w:ascii="Times New Roman" w:hAnsi="Times New Roman" w:eastAsia="仿宋" w:cs="Times New Roman"/>
                <w:color w:val="000000"/>
                <w:kern w:val="0"/>
                <w:sz w:val="32"/>
                <w:szCs w:val="32"/>
              </w:rPr>
              <w:t>  </w:t>
            </w:r>
            <w:r>
              <w:rPr>
                <w:rFonts w:ascii="黑体" w:hAnsi="黑体" w:eastAsia="黑体" w:cs="Times New Roman"/>
                <w:color w:val="000000"/>
                <w:kern w:val="0"/>
                <w:sz w:val="32"/>
                <w:szCs w:val="32"/>
              </w:rPr>
              <w:t>工作职责</w:t>
            </w:r>
          </w:p>
          <w:p w14:paraId="2AE621A4">
            <w:pPr>
              <w:widowControl/>
              <w:wordWrap w:val="0"/>
              <w:spacing w:line="600" w:lineRule="atLeast"/>
              <w:ind w:firstLine="641"/>
              <w:rPr>
                <w:rFonts w:ascii="宋体" w:hAnsi="宋体" w:eastAsia="宋体" w:cs="宋体"/>
                <w:color w:val="000000"/>
                <w:kern w:val="0"/>
                <w:sz w:val="24"/>
                <w:szCs w:val="24"/>
              </w:rPr>
            </w:pPr>
            <w:r>
              <w:rPr>
                <w:rFonts w:ascii="黑体" w:hAnsi="黑体" w:eastAsia="黑体" w:cs="Times New Roman"/>
                <w:color w:val="000000"/>
                <w:kern w:val="0"/>
                <w:sz w:val="32"/>
                <w:szCs w:val="32"/>
              </w:rPr>
              <w:t>第七条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数字督察中心主要履行以下职责：</w:t>
            </w:r>
          </w:p>
          <w:p w14:paraId="3B107CA7">
            <w:pPr>
              <w:widowControl/>
              <w:wordWrap w:val="0"/>
              <w:spacing w:line="600" w:lineRule="atLeast"/>
              <w:ind w:firstLine="640"/>
              <w:rPr>
                <w:rFonts w:ascii="宋体" w:hAnsi="宋体" w:eastAsia="宋体" w:cs="宋体"/>
                <w:color w:val="000000"/>
                <w:kern w:val="0"/>
                <w:sz w:val="24"/>
                <w:szCs w:val="24"/>
              </w:rPr>
            </w:pPr>
            <w:r>
              <w:rPr>
                <w:rFonts w:ascii="楷体_GB2312" w:hAnsi="Times New Roman" w:eastAsia="楷体_GB2312" w:cs="Times New Roman"/>
                <w:color w:val="000000"/>
                <w:kern w:val="0"/>
                <w:sz w:val="32"/>
                <w:szCs w:val="32"/>
              </w:rPr>
              <w:t>（一）</w:t>
            </w:r>
            <w:r>
              <w:rPr>
                <w:rFonts w:ascii="仿宋_GB2312" w:hAnsi="Times New Roman" w:eastAsia="仿宋_GB2312" w:cs="Times New Roman"/>
                <w:color w:val="000000"/>
                <w:kern w:val="0"/>
                <w:sz w:val="32"/>
                <w:szCs w:val="32"/>
              </w:rPr>
              <w:t>推动《关于全面推进公安数字督察的指导意见》《全省公安数字督察三年行动计划（</w:t>
            </w:r>
            <w:r>
              <w:rPr>
                <w:rFonts w:ascii="Times New Roman" w:hAnsi="Times New Roman" w:eastAsia="宋体" w:cs="Times New Roman"/>
                <w:color w:val="000000"/>
                <w:kern w:val="0"/>
                <w:sz w:val="32"/>
                <w:szCs w:val="32"/>
              </w:rPr>
              <w:t>2023-2025</w:t>
            </w:r>
            <w:r>
              <w:rPr>
                <w:rFonts w:ascii="仿宋_GB2312" w:hAnsi="Times New Roman" w:eastAsia="仿宋_GB2312" w:cs="Times New Roman"/>
                <w:color w:val="000000"/>
                <w:kern w:val="0"/>
                <w:sz w:val="32"/>
                <w:szCs w:val="32"/>
              </w:rPr>
              <w:t>）》等文件贯彻落实，参与数字督察政策宣讲、文件解读、规划阐释等；</w:t>
            </w:r>
          </w:p>
          <w:p w14:paraId="0AD6175E">
            <w:pPr>
              <w:widowControl/>
              <w:wordWrap w:val="0"/>
              <w:spacing w:line="600" w:lineRule="atLeast"/>
              <w:ind w:firstLine="640"/>
              <w:rPr>
                <w:rFonts w:ascii="Times New Roman" w:hAnsi="Times New Roman" w:eastAsia="仿宋" w:cs="Times New Roman"/>
                <w:color w:val="000000"/>
                <w:kern w:val="0"/>
                <w:sz w:val="32"/>
                <w:szCs w:val="32"/>
              </w:rPr>
            </w:pPr>
            <w:r>
              <w:rPr>
                <w:rFonts w:ascii="楷体_GB2312" w:hAnsi="Times New Roman" w:eastAsia="楷体_GB2312" w:cs="Times New Roman"/>
                <w:color w:val="000000"/>
                <w:kern w:val="0"/>
                <w:sz w:val="32"/>
                <w:szCs w:val="32"/>
                <w:shd w:val="clear" w:color="auto" w:fill="FFFFFF"/>
              </w:rPr>
              <w:t>（二）</w:t>
            </w:r>
            <w:r>
              <w:rPr>
                <w:rFonts w:ascii="仿宋_GB2312" w:hAnsi="Times New Roman" w:eastAsia="仿宋_GB2312" w:cs="Times New Roman"/>
                <w:color w:val="000000"/>
                <w:kern w:val="0"/>
                <w:sz w:val="32"/>
                <w:szCs w:val="32"/>
                <w:shd w:val="clear" w:color="auto" w:fill="FFFFFF"/>
              </w:rPr>
              <w:t>贯彻落实上级部门、本级党委和</w:t>
            </w:r>
            <w:r>
              <w:rPr>
                <w:rFonts w:ascii="仿宋_GB2312" w:hAnsi="Times New Roman" w:eastAsia="仿宋_GB2312" w:cs="Times New Roman"/>
                <w:color w:val="000000"/>
                <w:kern w:val="0"/>
                <w:sz w:val="32"/>
                <w:szCs w:val="32"/>
              </w:rPr>
              <w:t>数字督察工作领导小组</w:t>
            </w:r>
            <w:r>
              <w:rPr>
                <w:rFonts w:ascii="仿宋_GB2312" w:hAnsi="Times New Roman" w:eastAsia="仿宋_GB2312" w:cs="Times New Roman"/>
                <w:color w:val="000000"/>
                <w:kern w:val="0"/>
                <w:sz w:val="32"/>
                <w:szCs w:val="32"/>
                <w:shd w:val="clear" w:color="auto" w:fill="FFFFFF"/>
              </w:rPr>
              <w:t>有关工作部署；</w:t>
            </w:r>
          </w:p>
          <w:p w14:paraId="30034757">
            <w:pPr>
              <w:widowControl/>
              <w:wordWrap w:val="0"/>
              <w:spacing w:line="600" w:lineRule="atLeast"/>
              <w:ind w:firstLine="640"/>
              <w:rPr>
                <w:rFonts w:ascii="Times New Roman" w:hAnsi="Times New Roman" w:eastAsia="仿宋" w:cs="Times New Roman"/>
                <w:color w:val="000000"/>
                <w:kern w:val="0"/>
                <w:sz w:val="32"/>
                <w:szCs w:val="32"/>
              </w:rPr>
            </w:pPr>
            <w:r>
              <w:rPr>
                <w:rFonts w:ascii="仿宋_GB2312" w:hAnsi="Times New Roman" w:eastAsia="仿宋_GB2312" w:cs="Times New Roman"/>
                <w:color w:val="000000"/>
                <w:kern w:val="0"/>
                <w:sz w:val="32"/>
                <w:szCs w:val="32"/>
              </w:rPr>
              <w:t>（三）统筹日常调度指挥，密切警种协同，为开展数字督察工作在数据、平台、业务、政策等给予支撑保障，为现场督察、举报投诉核查、民警维权及重大案事件核查等提供数据支撑；</w:t>
            </w:r>
          </w:p>
          <w:p w14:paraId="3633C451">
            <w:pPr>
              <w:widowControl/>
              <w:wordWrap w:val="0"/>
              <w:spacing w:line="600" w:lineRule="atLeast"/>
              <w:ind w:firstLine="640"/>
              <w:rPr>
                <w:rFonts w:ascii="宋体" w:hAnsi="宋体" w:eastAsia="宋体" w:cs="宋体"/>
                <w:color w:val="000000"/>
                <w:kern w:val="0"/>
                <w:sz w:val="24"/>
                <w:szCs w:val="24"/>
              </w:rPr>
            </w:pPr>
            <w:r>
              <w:rPr>
                <w:rFonts w:ascii="楷体_GB2312" w:hAnsi="Times New Roman" w:eastAsia="楷体_GB2312" w:cs="Times New Roman"/>
                <w:color w:val="000000"/>
                <w:kern w:val="0"/>
                <w:sz w:val="32"/>
                <w:szCs w:val="32"/>
              </w:rPr>
              <w:t>（四）</w:t>
            </w:r>
            <w:r>
              <w:rPr>
                <w:rFonts w:ascii="仿宋_GB2312" w:hAnsi="Times New Roman" w:eastAsia="仿宋_GB2312" w:cs="Times New Roman"/>
                <w:color w:val="000000"/>
                <w:kern w:val="0"/>
                <w:sz w:val="32"/>
                <w:szCs w:val="32"/>
              </w:rPr>
              <w:t>聚焦中心工作、重大安保及执法办案、队伍管理、服务群众、矛盾纠纷等领域，开展常态、专项、战时数字督察实战，承担数据研判、建模分析、跟踪督办等工作；</w:t>
            </w:r>
          </w:p>
          <w:p w14:paraId="57DEDC17">
            <w:pPr>
              <w:widowControl/>
              <w:wordWrap w:val="0"/>
              <w:spacing w:line="600" w:lineRule="atLeast"/>
              <w:ind w:firstLine="640"/>
              <w:rPr>
                <w:rFonts w:ascii="宋体" w:hAnsi="宋体" w:eastAsia="宋体" w:cs="宋体"/>
                <w:color w:val="000000"/>
                <w:kern w:val="0"/>
                <w:sz w:val="24"/>
                <w:szCs w:val="24"/>
              </w:rPr>
            </w:pPr>
            <w:r>
              <w:rPr>
                <w:rFonts w:ascii="楷体_GB2312" w:hAnsi="Times New Roman" w:eastAsia="楷体_GB2312" w:cs="Times New Roman"/>
                <w:color w:val="000000"/>
                <w:kern w:val="0"/>
                <w:sz w:val="32"/>
                <w:szCs w:val="32"/>
              </w:rPr>
              <w:t>（五）</w:t>
            </w:r>
            <w:r>
              <w:rPr>
                <w:rFonts w:ascii="仿宋_GB2312" w:hAnsi="Times New Roman" w:eastAsia="仿宋_GB2312" w:cs="Times New Roman"/>
                <w:color w:val="000000"/>
                <w:kern w:val="0"/>
                <w:sz w:val="32"/>
                <w:szCs w:val="32"/>
              </w:rPr>
              <w:t>推进数字督察灵敏感知体系试点建设；</w:t>
            </w:r>
          </w:p>
          <w:p w14:paraId="714D357D">
            <w:pPr>
              <w:widowControl/>
              <w:wordWrap w:val="0"/>
              <w:spacing w:line="600" w:lineRule="atLeast"/>
              <w:ind w:firstLine="640"/>
              <w:rPr>
                <w:rFonts w:ascii="宋体" w:hAnsi="宋体" w:eastAsia="宋体" w:cs="宋体"/>
                <w:color w:val="000000"/>
                <w:kern w:val="0"/>
                <w:sz w:val="24"/>
                <w:szCs w:val="24"/>
              </w:rPr>
            </w:pPr>
            <w:r>
              <w:rPr>
                <w:rFonts w:ascii="楷体_GB2312" w:hAnsi="Times New Roman" w:eastAsia="楷体_GB2312" w:cs="Times New Roman"/>
                <w:color w:val="000000"/>
                <w:kern w:val="0"/>
                <w:sz w:val="32"/>
                <w:szCs w:val="32"/>
              </w:rPr>
              <w:t>（六）</w:t>
            </w:r>
            <w:r>
              <w:rPr>
                <w:rFonts w:ascii="仿宋_GB2312" w:hAnsi="Times New Roman" w:eastAsia="仿宋_GB2312" w:cs="Times New Roman"/>
                <w:color w:val="000000"/>
                <w:kern w:val="0"/>
                <w:sz w:val="32"/>
                <w:szCs w:val="32"/>
              </w:rPr>
              <w:t>推动完善数字督察靶向发起、联动支撑、协同处置、结果共享机制；</w:t>
            </w:r>
          </w:p>
          <w:p w14:paraId="6B5730F2">
            <w:pPr>
              <w:widowControl/>
              <w:wordWrap w:val="0"/>
              <w:spacing w:line="600" w:lineRule="atLeast"/>
              <w:ind w:firstLine="640"/>
              <w:rPr>
                <w:rFonts w:ascii="Times New Roman" w:hAnsi="Times New Roman" w:eastAsia="仿宋" w:cs="Times New Roman"/>
                <w:color w:val="000000"/>
                <w:kern w:val="0"/>
                <w:sz w:val="32"/>
                <w:szCs w:val="32"/>
              </w:rPr>
            </w:pPr>
            <w:r>
              <w:rPr>
                <w:rFonts w:ascii="楷体_GB2312" w:hAnsi="Times New Roman" w:eastAsia="楷体_GB2312" w:cs="Times New Roman"/>
                <w:color w:val="000000"/>
                <w:kern w:val="0"/>
                <w:sz w:val="32"/>
                <w:szCs w:val="32"/>
              </w:rPr>
              <w:t>（七）</w:t>
            </w:r>
            <w:r>
              <w:rPr>
                <w:rFonts w:ascii="仿宋_GB2312" w:hAnsi="Times New Roman" w:eastAsia="仿宋_GB2312" w:cs="Times New Roman"/>
                <w:color w:val="000000"/>
                <w:kern w:val="0"/>
                <w:sz w:val="32"/>
                <w:szCs w:val="32"/>
              </w:rPr>
              <w:t>开展</w:t>
            </w:r>
            <w:r>
              <w:rPr>
                <w:rFonts w:ascii="Times New Roman" w:hAnsi="Times New Roman" w:eastAsia="仿宋" w:cs="Times New Roman"/>
                <w:color w:val="000000"/>
                <w:kern w:val="0"/>
                <w:sz w:val="32"/>
                <w:szCs w:val="32"/>
              </w:rPr>
              <w:t>“</w:t>
            </w:r>
            <w:r>
              <w:rPr>
                <w:rFonts w:ascii="仿宋_GB2312" w:hAnsi="Times New Roman" w:eastAsia="仿宋_GB2312" w:cs="Times New Roman"/>
                <w:color w:val="000000"/>
                <w:kern w:val="0"/>
                <w:sz w:val="32"/>
                <w:szCs w:val="32"/>
              </w:rPr>
              <w:t>浙警智督</w:t>
            </w:r>
            <w:r>
              <w:rPr>
                <w:rFonts w:ascii="Times New Roman" w:hAnsi="Times New Roman" w:eastAsia="仿宋" w:cs="Times New Roman"/>
                <w:color w:val="000000"/>
                <w:kern w:val="0"/>
                <w:sz w:val="32"/>
                <w:szCs w:val="32"/>
              </w:rPr>
              <w:t>”</w:t>
            </w:r>
            <w:r>
              <w:rPr>
                <w:rFonts w:ascii="仿宋_GB2312" w:hAnsi="Times New Roman" w:eastAsia="仿宋_GB2312" w:cs="Times New Roman"/>
                <w:color w:val="000000"/>
                <w:kern w:val="0"/>
                <w:sz w:val="32"/>
                <w:szCs w:val="32"/>
              </w:rPr>
              <w:t>平台及各模块的日常运维及优化建设工作；</w:t>
            </w:r>
          </w:p>
          <w:p w14:paraId="421696D9">
            <w:pPr>
              <w:widowControl/>
              <w:wordWrap w:val="0"/>
              <w:spacing w:line="600" w:lineRule="atLeast"/>
              <w:ind w:firstLine="640"/>
              <w:rPr>
                <w:rFonts w:ascii="宋体" w:hAnsi="宋体" w:eastAsia="宋体" w:cs="宋体"/>
                <w:color w:val="000000"/>
                <w:kern w:val="0"/>
                <w:sz w:val="24"/>
                <w:szCs w:val="24"/>
              </w:rPr>
            </w:pPr>
            <w:r>
              <w:rPr>
                <w:rFonts w:ascii="楷体_GB2312" w:hAnsi="Times New Roman" w:eastAsia="楷体_GB2312" w:cs="Times New Roman"/>
                <w:color w:val="000000"/>
                <w:kern w:val="0"/>
                <w:sz w:val="32"/>
                <w:szCs w:val="32"/>
              </w:rPr>
              <w:t>（八）</w:t>
            </w:r>
            <w:r>
              <w:rPr>
                <w:rFonts w:ascii="仿宋_GB2312" w:hAnsi="Times New Roman" w:eastAsia="仿宋_GB2312" w:cs="Times New Roman"/>
                <w:color w:val="000000"/>
                <w:kern w:val="0"/>
                <w:sz w:val="32"/>
                <w:szCs w:val="32"/>
              </w:rPr>
              <w:t>开展数字督察专题授课、指导帮扶、轮岗练兵、实地攻坚等任务，积极培养数字督察专业人才；</w:t>
            </w:r>
          </w:p>
          <w:p w14:paraId="52A2B6C5">
            <w:pPr>
              <w:widowControl/>
              <w:wordWrap w:val="0"/>
              <w:spacing w:line="600" w:lineRule="atLeast"/>
              <w:ind w:firstLine="640"/>
              <w:rPr>
                <w:rFonts w:ascii="宋体" w:hAnsi="宋体" w:eastAsia="宋体" w:cs="宋体"/>
                <w:color w:val="000000"/>
                <w:kern w:val="0"/>
                <w:sz w:val="24"/>
                <w:szCs w:val="24"/>
              </w:rPr>
            </w:pPr>
            <w:r>
              <w:rPr>
                <w:rFonts w:ascii="楷体_GB2312" w:hAnsi="Times New Roman" w:eastAsia="楷体_GB2312" w:cs="Times New Roman"/>
                <w:color w:val="000000"/>
                <w:kern w:val="0"/>
                <w:sz w:val="32"/>
                <w:szCs w:val="32"/>
              </w:rPr>
              <w:t>（九）</w:t>
            </w:r>
            <w:r>
              <w:rPr>
                <w:rFonts w:ascii="仿宋_GB2312" w:hAnsi="Times New Roman" w:eastAsia="仿宋_GB2312" w:cs="Times New Roman"/>
                <w:color w:val="000000"/>
                <w:kern w:val="0"/>
                <w:sz w:val="32"/>
                <w:szCs w:val="32"/>
              </w:rPr>
              <w:t>完成数字督察工作领导小组及其办公室交办的其他工作任务。</w:t>
            </w:r>
          </w:p>
          <w:p w14:paraId="16CA033D">
            <w:pPr>
              <w:widowControl/>
              <w:wordWrap w:val="0"/>
              <w:spacing w:line="600" w:lineRule="atLeast"/>
              <w:jc w:val="left"/>
              <w:rPr>
                <w:rFonts w:ascii="Times New Roman" w:hAnsi="Times New Roman" w:eastAsia="仿宋" w:cs="Times New Roman"/>
                <w:color w:val="000000"/>
                <w:kern w:val="0"/>
                <w:sz w:val="32"/>
                <w:szCs w:val="32"/>
              </w:rPr>
            </w:pPr>
            <w:r>
              <w:rPr>
                <w:rFonts w:ascii="Times New Roman" w:hAnsi="Times New Roman" w:eastAsia="仿宋" w:cs="Times New Roman"/>
                <w:color w:val="000000"/>
                <w:kern w:val="0"/>
                <w:sz w:val="32"/>
                <w:szCs w:val="32"/>
              </w:rPr>
              <w:t> </w:t>
            </w:r>
          </w:p>
          <w:p w14:paraId="78D8FE1B">
            <w:pPr>
              <w:widowControl/>
              <w:wordWrap w:val="0"/>
              <w:spacing w:line="600" w:lineRule="atLeast"/>
              <w:jc w:val="center"/>
              <w:rPr>
                <w:rFonts w:ascii="宋体" w:hAnsi="宋体" w:eastAsia="宋体" w:cs="宋体"/>
                <w:color w:val="000000"/>
                <w:kern w:val="0"/>
                <w:sz w:val="24"/>
                <w:szCs w:val="24"/>
              </w:rPr>
            </w:pPr>
            <w:r>
              <w:rPr>
                <w:rFonts w:ascii="黑体" w:hAnsi="黑体" w:eastAsia="黑体" w:cs="Times New Roman"/>
                <w:color w:val="000000"/>
                <w:kern w:val="0"/>
                <w:sz w:val="32"/>
                <w:szCs w:val="32"/>
              </w:rPr>
              <w:t>第三章</w:t>
            </w:r>
            <w:r>
              <w:rPr>
                <w:rFonts w:ascii="Times New Roman" w:hAnsi="Times New Roman" w:eastAsia="宋体" w:cs="Times New Roman"/>
                <w:color w:val="000000"/>
                <w:kern w:val="0"/>
                <w:sz w:val="32"/>
                <w:szCs w:val="32"/>
              </w:rPr>
              <w:t>  </w:t>
            </w:r>
            <w:r>
              <w:rPr>
                <w:rFonts w:ascii="黑体" w:hAnsi="黑体" w:eastAsia="黑体" w:cs="Times New Roman"/>
                <w:color w:val="000000"/>
                <w:kern w:val="0"/>
                <w:sz w:val="32"/>
                <w:szCs w:val="32"/>
              </w:rPr>
              <w:t>建设要求</w:t>
            </w:r>
          </w:p>
          <w:p w14:paraId="12C2ED9A">
            <w:pPr>
              <w:widowControl/>
              <w:wordWrap w:val="0"/>
              <w:spacing w:line="600" w:lineRule="atLeast"/>
              <w:ind w:firstLine="640"/>
              <w:jc w:val="left"/>
              <w:rPr>
                <w:rFonts w:ascii="Times New Roman" w:hAnsi="Times New Roman" w:eastAsia="仿宋" w:cs="Times New Roman"/>
                <w:color w:val="000000"/>
                <w:kern w:val="0"/>
                <w:sz w:val="32"/>
                <w:szCs w:val="32"/>
              </w:rPr>
            </w:pPr>
            <w:r>
              <w:rPr>
                <w:rFonts w:ascii="黑体" w:hAnsi="黑体" w:eastAsia="黑体" w:cs="Times New Roman"/>
                <w:color w:val="000000"/>
                <w:kern w:val="0"/>
                <w:sz w:val="32"/>
                <w:szCs w:val="32"/>
              </w:rPr>
              <w:t>第八条</w:t>
            </w:r>
            <w:r>
              <w:rPr>
                <w:rFonts w:ascii="Times New Roman" w:hAnsi="Times New Roman" w:eastAsia="仿宋" w:cs="Times New Roman"/>
                <w:color w:val="000000"/>
                <w:kern w:val="0"/>
                <w:sz w:val="32"/>
                <w:szCs w:val="32"/>
              </w:rPr>
              <w:t> </w:t>
            </w:r>
            <w:r>
              <w:rPr>
                <w:rFonts w:ascii="仿宋_GB2312" w:hAnsi="Times New Roman" w:eastAsia="仿宋_GB2312" w:cs="Times New Roman"/>
                <w:color w:val="000000"/>
                <w:kern w:val="0"/>
                <w:sz w:val="32"/>
                <w:szCs w:val="32"/>
              </w:rPr>
              <w:t>数字督察中心建设必须遵守国家有关法律、法规和标准，按照《公安机关数字督察中心建设指引》要求，以满足公安机关数字督察业务需求为前提，立足</w:t>
            </w:r>
            <w:r>
              <w:rPr>
                <w:rFonts w:ascii="Times New Roman" w:hAnsi="Times New Roman" w:eastAsia="仿宋" w:cs="Times New Roman"/>
                <w:color w:val="000000"/>
                <w:kern w:val="0"/>
                <w:sz w:val="32"/>
                <w:szCs w:val="32"/>
              </w:rPr>
              <w:t>“</w:t>
            </w:r>
            <w:r>
              <w:rPr>
                <w:rFonts w:ascii="仿宋_GB2312" w:hAnsi="Times New Roman" w:eastAsia="仿宋_GB2312" w:cs="Times New Roman"/>
                <w:color w:val="000000"/>
                <w:kern w:val="0"/>
                <w:sz w:val="32"/>
                <w:szCs w:val="32"/>
              </w:rPr>
              <w:t>实战、实用、实效</w:t>
            </w:r>
            <w:r>
              <w:rPr>
                <w:rFonts w:ascii="Times New Roman" w:hAnsi="Times New Roman" w:eastAsia="仿宋" w:cs="Times New Roman"/>
                <w:color w:val="000000"/>
                <w:kern w:val="0"/>
                <w:sz w:val="32"/>
                <w:szCs w:val="32"/>
              </w:rPr>
              <w:t>”</w:t>
            </w:r>
            <w:r>
              <w:rPr>
                <w:rFonts w:ascii="仿宋_GB2312" w:hAnsi="Times New Roman" w:eastAsia="仿宋_GB2312" w:cs="Times New Roman"/>
                <w:color w:val="000000"/>
                <w:kern w:val="0"/>
                <w:sz w:val="32"/>
                <w:szCs w:val="32"/>
              </w:rPr>
              <w:t>原则，实事求是、统筹兼顾，合理确定建设规模及水平。</w:t>
            </w:r>
          </w:p>
          <w:p w14:paraId="5EB3EA94">
            <w:pPr>
              <w:widowControl/>
              <w:wordWrap w:val="0"/>
              <w:spacing w:line="600" w:lineRule="atLeast"/>
              <w:ind w:firstLine="640"/>
              <w:jc w:val="left"/>
              <w:rPr>
                <w:rFonts w:ascii="Times New Roman" w:hAnsi="Times New Roman" w:eastAsia="仿宋" w:cs="Times New Roman"/>
                <w:color w:val="000000"/>
                <w:kern w:val="0"/>
                <w:sz w:val="32"/>
                <w:szCs w:val="32"/>
              </w:rPr>
            </w:pPr>
            <w:r>
              <w:rPr>
                <w:rFonts w:ascii="黑体" w:hAnsi="黑体" w:eastAsia="黑体" w:cs="Times New Roman"/>
                <w:color w:val="000000"/>
                <w:kern w:val="0"/>
                <w:sz w:val="32"/>
                <w:szCs w:val="32"/>
              </w:rPr>
              <w:t>第九条</w:t>
            </w:r>
            <w:r>
              <w:rPr>
                <w:rFonts w:ascii="Times New Roman" w:hAnsi="Times New Roman" w:eastAsia="仿宋" w:cs="Times New Roman"/>
                <w:color w:val="000000"/>
                <w:kern w:val="0"/>
                <w:sz w:val="32"/>
                <w:szCs w:val="32"/>
              </w:rPr>
              <w:t> </w:t>
            </w:r>
            <w:r>
              <w:rPr>
                <w:rFonts w:ascii="仿宋_GB2312" w:hAnsi="Times New Roman" w:eastAsia="仿宋_GB2312" w:cs="Times New Roman"/>
                <w:color w:val="000000"/>
                <w:kern w:val="0"/>
                <w:sz w:val="32"/>
                <w:szCs w:val="32"/>
              </w:rPr>
              <w:t>数字督察中心应配齐配强专门力量，并配备支撑数字督察开展的必要软硬件设施、网络环境，满足公安信息网、公安视频专网、互联网等网络及通信使用需求。各项设施及装备配备符合国家、公安部和其他相关技术标准规范，符合网络安全等级保护、安可替代等要求。</w:t>
            </w:r>
          </w:p>
          <w:p w14:paraId="24129983">
            <w:pPr>
              <w:widowControl/>
              <w:wordWrap w:val="0"/>
              <w:spacing w:line="600" w:lineRule="atLeast"/>
              <w:ind w:firstLine="640"/>
              <w:jc w:val="left"/>
              <w:rPr>
                <w:rFonts w:ascii="Times New Roman" w:hAnsi="Times New Roman" w:eastAsia="仿宋" w:cs="Times New Roman"/>
                <w:color w:val="000000"/>
                <w:kern w:val="0"/>
                <w:sz w:val="32"/>
                <w:szCs w:val="32"/>
              </w:rPr>
            </w:pPr>
            <w:r>
              <w:rPr>
                <w:rFonts w:ascii="黑体" w:hAnsi="黑体" w:eastAsia="黑体" w:cs="Times New Roman"/>
                <w:color w:val="000000"/>
                <w:kern w:val="0"/>
                <w:sz w:val="32"/>
                <w:szCs w:val="32"/>
              </w:rPr>
              <w:t>第十条</w:t>
            </w:r>
            <w:r>
              <w:rPr>
                <w:rFonts w:ascii="Times New Roman" w:hAnsi="Times New Roman" w:eastAsia="仿宋" w:cs="Times New Roman"/>
                <w:color w:val="000000"/>
                <w:kern w:val="0"/>
                <w:sz w:val="32"/>
                <w:szCs w:val="32"/>
              </w:rPr>
              <w:t> </w:t>
            </w:r>
            <w:r>
              <w:rPr>
                <w:rFonts w:ascii="仿宋_GB2312" w:hAnsi="Times New Roman" w:eastAsia="仿宋_GB2312" w:cs="Times New Roman"/>
                <w:color w:val="000000"/>
                <w:kern w:val="0"/>
                <w:sz w:val="32"/>
                <w:szCs w:val="32"/>
              </w:rPr>
              <w:t>市级公安机关数字督察中心应配备背景标识区、大屏展示区、实战工作区、会议调度区、保障设备区；县（市、区）级公安机关数字督察中心应至少配备背景标识区、大屏展示区、实战工作区，并具备战时数字督察视频调度功能。可根据需求叠加设置相关功能分区。</w:t>
            </w:r>
          </w:p>
          <w:p w14:paraId="2B109351">
            <w:pPr>
              <w:widowControl/>
              <w:wordWrap w:val="0"/>
              <w:spacing w:line="600" w:lineRule="atLeast"/>
              <w:ind w:firstLine="640"/>
              <w:jc w:val="left"/>
              <w:textAlignment w:val="baseline"/>
              <w:rPr>
                <w:rFonts w:ascii="Times New Roman" w:hAnsi="Times New Roman" w:eastAsia="仿宋" w:cs="Times New Roman"/>
                <w:color w:val="000000"/>
                <w:kern w:val="0"/>
                <w:sz w:val="32"/>
                <w:szCs w:val="32"/>
              </w:rPr>
            </w:pPr>
            <w:r>
              <w:rPr>
                <w:rFonts w:ascii="黑体" w:hAnsi="黑体" w:eastAsia="黑体" w:cs="Times New Roman"/>
                <w:color w:val="000000"/>
                <w:kern w:val="0"/>
                <w:sz w:val="32"/>
                <w:szCs w:val="32"/>
              </w:rPr>
              <w:t>第十一条</w:t>
            </w:r>
            <w:r>
              <w:rPr>
                <w:rFonts w:ascii="Times New Roman" w:hAnsi="Times New Roman" w:eastAsia="仿宋" w:cs="Times New Roman"/>
                <w:color w:val="000000"/>
                <w:kern w:val="0"/>
                <w:sz w:val="32"/>
                <w:szCs w:val="32"/>
              </w:rPr>
              <w:t> </w:t>
            </w:r>
            <w:r>
              <w:rPr>
                <w:rFonts w:ascii="仿宋_GB2312" w:hAnsi="Times New Roman" w:eastAsia="仿宋_GB2312" w:cs="Times New Roman"/>
                <w:color w:val="000000"/>
                <w:kern w:val="0"/>
                <w:sz w:val="32"/>
                <w:szCs w:val="32"/>
              </w:rPr>
              <w:t>数字督察中心原则上应为独立的工作场所。未设立专职警务督察机构的县级公安机关，数字督察中心可与相关场所合建合用，并配备规范的背景标识区。</w:t>
            </w:r>
          </w:p>
          <w:p w14:paraId="27D887EC">
            <w:pPr>
              <w:widowControl/>
              <w:wordWrap w:val="0"/>
              <w:spacing w:line="600" w:lineRule="atLeast"/>
              <w:ind w:firstLine="640"/>
              <w:jc w:val="left"/>
              <w:textAlignment w:val="baseline"/>
              <w:rPr>
                <w:rFonts w:ascii="Times New Roman" w:hAnsi="Times New Roman" w:eastAsia="仿宋" w:cs="Times New Roman"/>
                <w:color w:val="000000"/>
                <w:kern w:val="0"/>
                <w:sz w:val="32"/>
                <w:szCs w:val="32"/>
              </w:rPr>
            </w:pPr>
            <w:r>
              <w:rPr>
                <w:rFonts w:ascii="黑体" w:hAnsi="黑体" w:eastAsia="黑体" w:cs="Times New Roman"/>
                <w:color w:val="000000"/>
                <w:kern w:val="0"/>
                <w:sz w:val="32"/>
                <w:szCs w:val="32"/>
              </w:rPr>
              <w:t>第十二条</w:t>
            </w:r>
            <w:r>
              <w:rPr>
                <w:rFonts w:ascii="Times New Roman" w:hAnsi="Times New Roman" w:eastAsia="仿宋" w:cs="Times New Roman"/>
                <w:color w:val="000000"/>
                <w:kern w:val="0"/>
                <w:sz w:val="32"/>
                <w:szCs w:val="32"/>
              </w:rPr>
              <w:t> </w:t>
            </w:r>
            <w:r>
              <w:rPr>
                <w:rFonts w:ascii="仿宋_GB2312" w:hAnsi="Times New Roman" w:eastAsia="仿宋_GB2312" w:cs="Times New Roman"/>
                <w:color w:val="000000"/>
                <w:kern w:val="0"/>
                <w:sz w:val="32"/>
                <w:szCs w:val="32"/>
              </w:rPr>
              <w:t>数字督察中心建筑面积满足从事数字督察工作的民辅警日常工作需求，市级原则上不低于</w:t>
            </w:r>
            <w:r>
              <w:rPr>
                <w:rFonts w:ascii="Times New Roman" w:hAnsi="Times New Roman" w:eastAsia="仿宋" w:cs="Times New Roman"/>
                <w:color w:val="000000"/>
                <w:kern w:val="0"/>
                <w:sz w:val="32"/>
                <w:szCs w:val="32"/>
              </w:rPr>
              <w:t>56</w:t>
            </w:r>
            <w:r>
              <w:rPr>
                <w:rFonts w:hint="eastAsia" w:ascii="Batang" w:hAnsi="Batang" w:eastAsia="Batang" w:cs="Batang"/>
                <w:color w:val="000000"/>
                <w:kern w:val="0"/>
                <w:sz w:val="32"/>
                <w:szCs w:val="32"/>
              </w:rPr>
              <w:t>㎡</w:t>
            </w:r>
            <w:r>
              <w:rPr>
                <w:rFonts w:hint="eastAsia" w:ascii="仿宋_GB2312" w:hAnsi="仿宋_GB2312" w:eastAsia="仿宋_GB2312" w:cs="仿宋_GB2312"/>
                <w:color w:val="000000"/>
                <w:kern w:val="0"/>
                <w:sz w:val="32"/>
                <w:szCs w:val="32"/>
              </w:rPr>
              <w:t>、县级原则上不低于</w:t>
            </w:r>
            <w:r>
              <w:rPr>
                <w:rFonts w:ascii="Times New Roman" w:hAnsi="Times New Roman" w:eastAsia="仿宋" w:cs="Times New Roman"/>
                <w:color w:val="000000"/>
                <w:kern w:val="0"/>
                <w:sz w:val="32"/>
                <w:szCs w:val="32"/>
              </w:rPr>
              <w:t>27</w:t>
            </w:r>
            <w:r>
              <w:rPr>
                <w:rFonts w:hint="eastAsia" w:ascii="Batang" w:hAnsi="Batang" w:eastAsia="Batang" w:cs="Batang"/>
                <w:color w:val="000000"/>
                <w:kern w:val="0"/>
                <w:sz w:val="32"/>
                <w:szCs w:val="32"/>
              </w:rPr>
              <w:t>㎡</w:t>
            </w:r>
            <w:r>
              <w:rPr>
                <w:rFonts w:hint="eastAsia" w:ascii="仿宋_GB2312" w:hAnsi="仿宋_GB2312" w:eastAsia="仿宋_GB2312" w:cs="仿宋_GB2312"/>
                <w:color w:val="000000"/>
                <w:kern w:val="0"/>
                <w:sz w:val="32"/>
                <w:szCs w:val="32"/>
              </w:rPr>
              <w:t>。</w:t>
            </w:r>
          </w:p>
          <w:p w14:paraId="13CBF45A">
            <w:pPr>
              <w:widowControl/>
              <w:wordWrap w:val="0"/>
              <w:spacing w:line="600" w:lineRule="atLeast"/>
              <w:ind w:firstLine="640"/>
              <w:jc w:val="left"/>
              <w:textAlignment w:val="baseline"/>
              <w:rPr>
                <w:rFonts w:ascii="Times New Roman" w:hAnsi="Times New Roman" w:eastAsia="仿宋" w:cs="Times New Roman"/>
                <w:color w:val="000000"/>
                <w:kern w:val="0"/>
                <w:sz w:val="32"/>
                <w:szCs w:val="32"/>
              </w:rPr>
            </w:pPr>
            <w:r>
              <w:rPr>
                <w:rFonts w:ascii="黑体" w:hAnsi="黑体" w:eastAsia="黑体" w:cs="Times New Roman"/>
                <w:color w:val="000000"/>
                <w:kern w:val="0"/>
                <w:sz w:val="32"/>
                <w:szCs w:val="32"/>
              </w:rPr>
              <w:t>第十三条</w:t>
            </w:r>
            <w:r>
              <w:rPr>
                <w:rFonts w:ascii="Times New Roman" w:hAnsi="Times New Roman" w:eastAsia="仿宋" w:cs="Times New Roman"/>
                <w:color w:val="000000"/>
                <w:kern w:val="0"/>
                <w:sz w:val="32"/>
                <w:szCs w:val="32"/>
              </w:rPr>
              <w:t> </w:t>
            </w:r>
            <w:r>
              <w:rPr>
                <w:rFonts w:ascii="仿宋_GB2312" w:hAnsi="Times New Roman" w:eastAsia="仿宋_GB2312" w:cs="Times New Roman"/>
                <w:color w:val="000000"/>
                <w:kern w:val="0"/>
                <w:sz w:val="32"/>
                <w:szCs w:val="32"/>
              </w:rPr>
              <w:t>数字督察中心安装能够覆盖全部工作区域的视频监控设施，视频图像推送至</w:t>
            </w:r>
            <w:r>
              <w:rPr>
                <w:rFonts w:ascii="Times New Roman" w:hAnsi="Times New Roman" w:eastAsia="仿宋" w:cs="Times New Roman"/>
                <w:color w:val="000000"/>
                <w:kern w:val="0"/>
                <w:sz w:val="32"/>
                <w:szCs w:val="32"/>
              </w:rPr>
              <w:t>“</w:t>
            </w:r>
            <w:r>
              <w:rPr>
                <w:rFonts w:ascii="仿宋_GB2312" w:hAnsi="Times New Roman" w:eastAsia="仿宋_GB2312" w:cs="Times New Roman"/>
                <w:color w:val="000000"/>
                <w:kern w:val="0"/>
                <w:sz w:val="32"/>
                <w:szCs w:val="32"/>
              </w:rPr>
              <w:t>浙警智督</w:t>
            </w:r>
            <w:r>
              <w:rPr>
                <w:rFonts w:ascii="Times New Roman" w:hAnsi="Times New Roman" w:eastAsia="仿宋" w:cs="Times New Roman"/>
                <w:color w:val="000000"/>
                <w:kern w:val="0"/>
                <w:sz w:val="32"/>
                <w:szCs w:val="32"/>
              </w:rPr>
              <w:t>”</w:t>
            </w:r>
            <w:r>
              <w:rPr>
                <w:rFonts w:ascii="仿宋_GB2312" w:hAnsi="Times New Roman" w:eastAsia="仿宋_GB2312" w:cs="Times New Roman"/>
                <w:color w:val="000000"/>
                <w:kern w:val="0"/>
                <w:sz w:val="32"/>
                <w:szCs w:val="32"/>
              </w:rPr>
              <w:t>平台。</w:t>
            </w:r>
          </w:p>
          <w:p w14:paraId="70D19920">
            <w:pPr>
              <w:widowControl/>
              <w:wordWrap w:val="0"/>
              <w:spacing w:line="600" w:lineRule="atLeast"/>
              <w:jc w:val="left"/>
              <w:rPr>
                <w:rFonts w:ascii="宋体" w:hAnsi="宋体" w:eastAsia="宋体" w:cs="宋体"/>
                <w:color w:val="000000"/>
                <w:kern w:val="0"/>
                <w:sz w:val="24"/>
                <w:szCs w:val="24"/>
              </w:rPr>
            </w:pPr>
            <w:r>
              <w:rPr>
                <w:rFonts w:ascii="Times New Roman" w:hAnsi="Times New Roman" w:eastAsia="宋体" w:cs="Times New Roman"/>
                <w:color w:val="000000"/>
                <w:kern w:val="0"/>
                <w:sz w:val="32"/>
                <w:szCs w:val="32"/>
              </w:rPr>
              <w:t> </w:t>
            </w:r>
          </w:p>
          <w:p w14:paraId="19F3F8DF">
            <w:pPr>
              <w:widowControl/>
              <w:wordWrap w:val="0"/>
              <w:spacing w:line="600" w:lineRule="atLeast"/>
              <w:jc w:val="center"/>
              <w:rPr>
                <w:rFonts w:ascii="宋体" w:hAnsi="宋体" w:eastAsia="宋体" w:cs="宋体"/>
                <w:color w:val="000000"/>
                <w:kern w:val="0"/>
                <w:sz w:val="24"/>
                <w:szCs w:val="24"/>
              </w:rPr>
            </w:pPr>
            <w:r>
              <w:rPr>
                <w:rFonts w:ascii="黑体" w:hAnsi="黑体" w:eastAsia="黑体" w:cs="Times New Roman"/>
                <w:color w:val="000000"/>
                <w:kern w:val="0"/>
                <w:sz w:val="32"/>
                <w:szCs w:val="32"/>
              </w:rPr>
              <w:t>第四章</w:t>
            </w:r>
            <w:r>
              <w:rPr>
                <w:rFonts w:ascii="Times New Roman" w:hAnsi="Times New Roman" w:eastAsia="宋体" w:cs="Times New Roman"/>
                <w:color w:val="000000"/>
                <w:kern w:val="0"/>
                <w:sz w:val="32"/>
                <w:szCs w:val="32"/>
              </w:rPr>
              <w:t>  </w:t>
            </w:r>
            <w:r>
              <w:rPr>
                <w:rFonts w:ascii="黑体" w:hAnsi="黑体" w:eastAsia="黑体" w:cs="Times New Roman"/>
                <w:color w:val="000000"/>
                <w:kern w:val="0"/>
                <w:sz w:val="32"/>
                <w:szCs w:val="32"/>
              </w:rPr>
              <w:t>运行机制</w:t>
            </w:r>
          </w:p>
          <w:p w14:paraId="6165F0D4">
            <w:pPr>
              <w:widowControl/>
              <w:wordWrap w:val="0"/>
              <w:spacing w:line="600" w:lineRule="atLeast"/>
              <w:ind w:firstLine="640"/>
              <w:jc w:val="left"/>
              <w:rPr>
                <w:rFonts w:ascii="宋体" w:hAnsi="宋体" w:eastAsia="宋体" w:cs="宋体"/>
                <w:color w:val="000000"/>
                <w:kern w:val="0"/>
                <w:sz w:val="24"/>
                <w:szCs w:val="24"/>
              </w:rPr>
            </w:pPr>
            <w:r>
              <w:rPr>
                <w:rFonts w:ascii="黑体" w:hAnsi="黑体" w:eastAsia="黑体" w:cs="Times New Roman"/>
                <w:color w:val="000000"/>
                <w:kern w:val="0"/>
                <w:sz w:val="32"/>
                <w:szCs w:val="32"/>
              </w:rPr>
              <w:t>第十四条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数字督察中心根据工作需要可设置视频巡查、数据研判、分析建模、跟踪督办等岗位，日常运行分为常态、专项、战时三种模式。</w:t>
            </w:r>
          </w:p>
          <w:p w14:paraId="3040E4C0">
            <w:pPr>
              <w:widowControl/>
              <w:wordWrap w:val="0"/>
              <w:spacing w:line="600" w:lineRule="atLeast"/>
              <w:ind w:firstLine="640"/>
              <w:jc w:val="left"/>
              <w:rPr>
                <w:rFonts w:ascii="宋体" w:hAnsi="宋体" w:eastAsia="宋体" w:cs="宋体"/>
                <w:color w:val="000000"/>
                <w:kern w:val="0"/>
                <w:sz w:val="24"/>
                <w:szCs w:val="24"/>
              </w:rPr>
            </w:pPr>
            <w:r>
              <w:rPr>
                <w:rFonts w:ascii="楷体_GB2312" w:hAnsi="Times New Roman" w:eastAsia="楷体_GB2312" w:cs="Times New Roman"/>
                <w:color w:val="000000"/>
                <w:kern w:val="0"/>
                <w:sz w:val="32"/>
                <w:szCs w:val="32"/>
              </w:rPr>
              <w:t>（一）常态运行模式。</w:t>
            </w:r>
            <w:r>
              <w:rPr>
                <w:rFonts w:ascii="仿宋_GB2312" w:hAnsi="Times New Roman" w:eastAsia="仿宋_GB2312" w:cs="Times New Roman"/>
                <w:color w:val="000000"/>
                <w:kern w:val="0"/>
                <w:sz w:val="32"/>
                <w:szCs w:val="32"/>
              </w:rPr>
              <w:t>按照全省数字督察中心工作流程，依托</w:t>
            </w:r>
            <w:r>
              <w:rPr>
                <w:rFonts w:ascii="Times New Roman" w:hAnsi="Times New Roman" w:eastAsia="宋体" w:cs="Times New Roman"/>
                <w:color w:val="000000"/>
                <w:kern w:val="0"/>
                <w:sz w:val="32"/>
                <w:szCs w:val="32"/>
              </w:rPr>
              <w:t>“</w:t>
            </w:r>
            <w:r>
              <w:rPr>
                <w:rFonts w:ascii="仿宋_GB2312" w:hAnsi="Times New Roman" w:eastAsia="仿宋_GB2312" w:cs="Times New Roman"/>
                <w:color w:val="000000"/>
                <w:kern w:val="0"/>
                <w:sz w:val="32"/>
                <w:szCs w:val="32"/>
              </w:rPr>
              <w:t>浙警智督</w:t>
            </w:r>
            <w:r>
              <w:rPr>
                <w:rFonts w:ascii="Times New Roman" w:hAnsi="Times New Roman" w:eastAsia="宋体" w:cs="Times New Roman"/>
                <w:color w:val="000000"/>
                <w:kern w:val="0"/>
                <w:sz w:val="32"/>
                <w:szCs w:val="32"/>
              </w:rPr>
              <w:t>”</w:t>
            </w:r>
            <w:r>
              <w:rPr>
                <w:rFonts w:ascii="仿宋_GB2312" w:hAnsi="Times New Roman" w:eastAsia="仿宋_GB2312" w:cs="Times New Roman"/>
                <w:color w:val="000000"/>
                <w:kern w:val="0"/>
                <w:sz w:val="32"/>
                <w:szCs w:val="32"/>
              </w:rPr>
              <w:t>平台开展线上合成作战，通过平台发起、流转、协同、反馈，实现问题整改闭环。</w:t>
            </w:r>
          </w:p>
          <w:p w14:paraId="08F814E5">
            <w:pPr>
              <w:widowControl/>
              <w:wordWrap w:val="0"/>
              <w:spacing w:line="600" w:lineRule="atLeast"/>
              <w:ind w:firstLine="640"/>
              <w:jc w:val="left"/>
              <w:rPr>
                <w:rFonts w:ascii="宋体" w:hAnsi="宋体" w:eastAsia="宋体" w:cs="宋体"/>
                <w:color w:val="000000"/>
                <w:kern w:val="0"/>
                <w:sz w:val="24"/>
                <w:szCs w:val="24"/>
              </w:rPr>
            </w:pPr>
            <w:r>
              <w:rPr>
                <w:rFonts w:ascii="楷体_GB2312" w:hAnsi="Times New Roman" w:eastAsia="楷体_GB2312" w:cs="Times New Roman"/>
                <w:color w:val="000000"/>
                <w:kern w:val="0"/>
                <w:sz w:val="32"/>
                <w:szCs w:val="32"/>
              </w:rPr>
              <w:t>（二）专项运行模式。</w:t>
            </w:r>
            <w:r>
              <w:rPr>
                <w:rFonts w:ascii="仿宋_GB2312" w:hAnsi="Times New Roman" w:eastAsia="仿宋_GB2312" w:cs="Times New Roman"/>
                <w:color w:val="000000"/>
                <w:kern w:val="0"/>
                <w:sz w:val="32"/>
                <w:szCs w:val="32"/>
              </w:rPr>
              <w:t>围绕公安中心工作、重大部署以及警种部门的条线监督管理需求，针对执法办案、服务群众、队伍管理等存在的突出问题和群众监督、舆论监督、社会监督等外部监督反映的突出问题，由数字督察工作领导小组办公室牵头，抽调数字督察战队成员入驻，组建工作专班，开展专项数字督察。</w:t>
            </w:r>
          </w:p>
          <w:p w14:paraId="46E20B5F">
            <w:pPr>
              <w:widowControl/>
              <w:wordWrap w:val="0"/>
              <w:spacing w:line="600" w:lineRule="atLeast"/>
              <w:ind w:firstLine="640"/>
              <w:jc w:val="left"/>
              <w:rPr>
                <w:rFonts w:ascii="宋体" w:hAnsi="宋体" w:eastAsia="宋体" w:cs="宋体"/>
                <w:color w:val="000000"/>
                <w:kern w:val="0"/>
                <w:sz w:val="24"/>
                <w:szCs w:val="24"/>
              </w:rPr>
            </w:pPr>
            <w:r>
              <w:rPr>
                <w:rFonts w:ascii="楷体_GB2312" w:hAnsi="Times New Roman" w:eastAsia="楷体_GB2312" w:cs="Times New Roman"/>
                <w:color w:val="000000"/>
                <w:kern w:val="0"/>
                <w:sz w:val="32"/>
                <w:szCs w:val="32"/>
              </w:rPr>
              <w:t>（三）战时运行模式。</w:t>
            </w:r>
            <w:r>
              <w:rPr>
                <w:rFonts w:ascii="仿宋_GB2312" w:hAnsi="Times New Roman" w:eastAsia="仿宋_GB2312" w:cs="Times New Roman"/>
                <w:color w:val="000000"/>
                <w:kern w:val="0"/>
                <w:sz w:val="32"/>
                <w:szCs w:val="32"/>
              </w:rPr>
              <w:t>围绕重要敏感节点、重大安保任务等，由数字督察工作领导小组牵头，警务督察部门主要负责人入驻本级数字督察中心，组建工作专班，启动</w:t>
            </w:r>
            <w:r>
              <w:rPr>
                <w:rFonts w:ascii="Times New Roman" w:hAnsi="Times New Roman" w:eastAsia="宋体" w:cs="Times New Roman"/>
                <w:color w:val="000000"/>
                <w:kern w:val="0"/>
                <w:sz w:val="32"/>
                <w:szCs w:val="32"/>
              </w:rPr>
              <w:t>24</w:t>
            </w:r>
            <w:r>
              <w:rPr>
                <w:rFonts w:ascii="仿宋_GB2312" w:hAnsi="Times New Roman" w:eastAsia="仿宋_GB2312" w:cs="Times New Roman"/>
                <w:color w:val="000000"/>
                <w:kern w:val="0"/>
                <w:sz w:val="32"/>
                <w:szCs w:val="32"/>
              </w:rPr>
              <w:t>小时不间断数字督察。</w:t>
            </w:r>
          </w:p>
          <w:p w14:paraId="6F3F4DC5">
            <w:pPr>
              <w:widowControl/>
              <w:wordWrap w:val="0"/>
              <w:spacing w:line="600" w:lineRule="atLeast"/>
              <w:ind w:firstLine="640"/>
              <w:rPr>
                <w:rFonts w:ascii="宋体" w:hAnsi="宋体" w:eastAsia="宋体" w:cs="宋体"/>
                <w:color w:val="000000"/>
                <w:kern w:val="0"/>
                <w:sz w:val="24"/>
                <w:szCs w:val="24"/>
              </w:rPr>
            </w:pPr>
            <w:r>
              <w:rPr>
                <w:rFonts w:ascii="黑体" w:hAnsi="黑体" w:eastAsia="黑体" w:cs="Times New Roman"/>
                <w:color w:val="000000"/>
                <w:kern w:val="0"/>
                <w:sz w:val="32"/>
                <w:szCs w:val="32"/>
              </w:rPr>
              <w:t>第十五条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数字督察中心日常落实专人以视频督察、建模导查、数字核查等方式，开展常态化数字督察工作，并做好与法制、监管等警种部门开展的数字化执法监督工作的衔接。</w:t>
            </w:r>
          </w:p>
          <w:p w14:paraId="24EF8753">
            <w:pPr>
              <w:widowControl/>
              <w:wordWrap w:val="0"/>
              <w:spacing w:line="600" w:lineRule="atLeast"/>
              <w:ind w:firstLine="640"/>
              <w:jc w:val="left"/>
              <w:rPr>
                <w:rFonts w:ascii="Times New Roman" w:hAnsi="Times New Roman" w:eastAsia="仿宋" w:cs="Times New Roman"/>
                <w:color w:val="000000"/>
                <w:kern w:val="0"/>
                <w:sz w:val="32"/>
                <w:szCs w:val="32"/>
              </w:rPr>
            </w:pPr>
            <w:r>
              <w:rPr>
                <w:rFonts w:ascii="楷体_GB2312" w:hAnsi="Times New Roman" w:eastAsia="楷体_GB2312" w:cs="Times New Roman"/>
                <w:color w:val="000000"/>
                <w:kern w:val="0"/>
                <w:sz w:val="32"/>
                <w:szCs w:val="32"/>
              </w:rPr>
              <w:t>（一）视频督察。</w:t>
            </w:r>
            <w:r>
              <w:rPr>
                <w:rFonts w:ascii="仿宋_GB2312" w:hAnsi="Times New Roman" w:eastAsia="仿宋_GB2312" w:cs="Times New Roman"/>
                <w:color w:val="000000"/>
                <w:kern w:val="0"/>
                <w:sz w:val="32"/>
                <w:szCs w:val="32"/>
              </w:rPr>
              <w:t>聚焦公安机关及其人民警察执法执勤、服务群众、内部管理等活动，通过</w:t>
            </w:r>
            <w:r>
              <w:rPr>
                <w:rFonts w:ascii="Times New Roman" w:hAnsi="Times New Roman" w:eastAsia="仿宋" w:cs="Times New Roman"/>
                <w:color w:val="000000"/>
                <w:kern w:val="0"/>
                <w:sz w:val="32"/>
                <w:szCs w:val="32"/>
              </w:rPr>
              <w:t>“</w:t>
            </w:r>
            <w:r>
              <w:rPr>
                <w:rFonts w:ascii="仿宋_GB2312" w:hAnsi="Times New Roman" w:eastAsia="仿宋_GB2312" w:cs="Times New Roman"/>
                <w:color w:val="000000"/>
                <w:kern w:val="0"/>
                <w:sz w:val="32"/>
                <w:szCs w:val="32"/>
              </w:rPr>
              <w:t>浙警智督</w:t>
            </w:r>
            <w:r>
              <w:rPr>
                <w:rFonts w:ascii="Times New Roman" w:hAnsi="Times New Roman" w:eastAsia="仿宋" w:cs="Times New Roman"/>
                <w:color w:val="000000"/>
                <w:kern w:val="0"/>
                <w:sz w:val="32"/>
                <w:szCs w:val="32"/>
              </w:rPr>
              <w:t>”</w:t>
            </w:r>
            <w:r>
              <w:rPr>
                <w:rFonts w:ascii="仿宋_GB2312" w:hAnsi="Times New Roman" w:eastAsia="仿宋_GB2312" w:cs="Times New Roman"/>
                <w:color w:val="000000"/>
                <w:kern w:val="0"/>
                <w:sz w:val="32"/>
                <w:szCs w:val="32"/>
              </w:rPr>
              <w:t>平台视频督察模块，安排专人开展常态化视频督察。</w:t>
            </w:r>
          </w:p>
          <w:p w14:paraId="4FFA3D0F">
            <w:pPr>
              <w:widowControl/>
              <w:wordWrap w:val="0"/>
              <w:spacing w:line="600" w:lineRule="atLeast"/>
              <w:ind w:firstLine="640"/>
              <w:jc w:val="left"/>
              <w:rPr>
                <w:rFonts w:ascii="Times New Roman" w:hAnsi="Times New Roman" w:eastAsia="仿宋" w:cs="Times New Roman"/>
                <w:color w:val="000000"/>
                <w:kern w:val="0"/>
                <w:sz w:val="32"/>
                <w:szCs w:val="32"/>
              </w:rPr>
            </w:pPr>
            <w:r>
              <w:rPr>
                <w:rFonts w:ascii="楷体_GB2312" w:hAnsi="Times New Roman" w:eastAsia="楷体_GB2312" w:cs="Times New Roman"/>
                <w:color w:val="000000"/>
                <w:kern w:val="0"/>
                <w:sz w:val="32"/>
                <w:szCs w:val="32"/>
              </w:rPr>
              <w:t>（二）建模导查。</w:t>
            </w:r>
            <w:r>
              <w:rPr>
                <w:rFonts w:ascii="仿宋_GB2312" w:hAnsi="Times New Roman" w:eastAsia="仿宋_GB2312" w:cs="Times New Roman"/>
                <w:color w:val="000000"/>
                <w:kern w:val="0"/>
                <w:sz w:val="32"/>
                <w:szCs w:val="32"/>
              </w:rPr>
              <w:t>根据专项数字督察工作任务，组建工作专班，精准选题、数据授权、模型搭建、监测预警，开展建模导查。</w:t>
            </w:r>
          </w:p>
          <w:p w14:paraId="316F8869">
            <w:pPr>
              <w:widowControl/>
              <w:wordWrap w:val="0"/>
              <w:spacing w:line="600" w:lineRule="atLeast"/>
              <w:ind w:firstLine="640"/>
              <w:jc w:val="left"/>
              <w:rPr>
                <w:rFonts w:ascii="Times New Roman" w:hAnsi="Times New Roman" w:eastAsia="仿宋" w:cs="Times New Roman"/>
                <w:color w:val="000000"/>
                <w:kern w:val="0"/>
                <w:sz w:val="32"/>
                <w:szCs w:val="32"/>
              </w:rPr>
            </w:pPr>
            <w:r>
              <w:rPr>
                <w:rFonts w:ascii="Times New Roman" w:hAnsi="Times New Roman" w:eastAsia="仿宋" w:cs="Times New Roman"/>
                <w:color w:val="000000"/>
                <w:kern w:val="0"/>
                <w:sz w:val="32"/>
                <w:szCs w:val="32"/>
              </w:rPr>
              <w:t>1. </w:t>
            </w:r>
            <w:r>
              <w:rPr>
                <w:rFonts w:ascii="仿宋_GB2312" w:hAnsi="Times New Roman" w:eastAsia="仿宋_GB2312" w:cs="Times New Roman"/>
                <w:color w:val="000000"/>
                <w:kern w:val="0"/>
                <w:sz w:val="32"/>
                <w:szCs w:val="32"/>
              </w:rPr>
              <w:t>精准选题。聚焦部局关注、省厅关切的执法办案、队伍管理、矛盾纠纷、灵敏感知等领域，结合年度数字督察重点工作安排、建模指引及专项数字督察任务，确定建模主题。</w:t>
            </w:r>
          </w:p>
          <w:p w14:paraId="0E966F64">
            <w:pPr>
              <w:widowControl/>
              <w:wordWrap w:val="0"/>
              <w:spacing w:line="600" w:lineRule="atLeast"/>
              <w:ind w:firstLine="640"/>
              <w:jc w:val="left"/>
              <w:rPr>
                <w:rFonts w:ascii="Times New Roman" w:hAnsi="Times New Roman" w:eastAsia="仿宋" w:cs="Times New Roman"/>
                <w:color w:val="000000"/>
                <w:kern w:val="0"/>
                <w:sz w:val="32"/>
                <w:szCs w:val="32"/>
              </w:rPr>
            </w:pPr>
            <w:r>
              <w:rPr>
                <w:rFonts w:ascii="Times New Roman" w:hAnsi="Times New Roman" w:eastAsia="仿宋" w:cs="Times New Roman"/>
                <w:color w:val="000000"/>
                <w:kern w:val="0"/>
                <w:sz w:val="32"/>
                <w:szCs w:val="32"/>
              </w:rPr>
              <w:t>2. </w:t>
            </w:r>
            <w:r>
              <w:rPr>
                <w:rFonts w:ascii="仿宋_GB2312" w:hAnsi="Times New Roman" w:eastAsia="仿宋_GB2312" w:cs="Times New Roman"/>
                <w:color w:val="000000"/>
                <w:kern w:val="0"/>
                <w:sz w:val="32"/>
                <w:szCs w:val="32"/>
              </w:rPr>
              <w:t>数据授权。根据建模主题，明晰所需数据及指标，形成建模方案，呈报数字督察工作领导小组办公室审批后，申请数据授权开展建模应用，由科信部门做好数据保障。</w:t>
            </w:r>
          </w:p>
          <w:p w14:paraId="700C0104">
            <w:pPr>
              <w:widowControl/>
              <w:wordWrap w:val="0"/>
              <w:spacing w:line="600" w:lineRule="atLeast"/>
              <w:ind w:firstLine="640"/>
              <w:jc w:val="left"/>
              <w:rPr>
                <w:rFonts w:ascii="Times New Roman" w:hAnsi="Times New Roman" w:eastAsia="仿宋" w:cs="Times New Roman"/>
                <w:color w:val="000000"/>
                <w:kern w:val="0"/>
                <w:sz w:val="32"/>
                <w:szCs w:val="32"/>
              </w:rPr>
            </w:pPr>
            <w:r>
              <w:rPr>
                <w:rFonts w:ascii="Times New Roman" w:hAnsi="Times New Roman" w:eastAsia="仿宋" w:cs="Times New Roman"/>
                <w:color w:val="000000"/>
                <w:kern w:val="0"/>
                <w:sz w:val="32"/>
                <w:szCs w:val="32"/>
              </w:rPr>
              <w:t>3. </w:t>
            </w:r>
            <w:r>
              <w:rPr>
                <w:rFonts w:ascii="仿宋_GB2312" w:hAnsi="Times New Roman" w:eastAsia="仿宋_GB2312" w:cs="Times New Roman"/>
                <w:color w:val="000000"/>
                <w:kern w:val="0"/>
                <w:sz w:val="32"/>
                <w:szCs w:val="32"/>
              </w:rPr>
              <w:t>模型搭建。组织数字督察战队成员，根据建模方案开展数据治理、建模攻坚、试行优化等工作。实时查看数据质量，按照一定规则对数据进行清洗，并对运算结果进行验证，不断调整优化，提升模型精准度。</w:t>
            </w:r>
          </w:p>
          <w:p w14:paraId="375995C2">
            <w:pPr>
              <w:widowControl/>
              <w:wordWrap w:val="0"/>
              <w:spacing w:line="600" w:lineRule="atLeast"/>
              <w:ind w:firstLine="640"/>
              <w:jc w:val="left"/>
              <w:rPr>
                <w:rFonts w:ascii="Times New Roman" w:hAnsi="Times New Roman" w:eastAsia="仿宋" w:cs="Times New Roman"/>
                <w:color w:val="000000"/>
                <w:kern w:val="0"/>
                <w:sz w:val="32"/>
                <w:szCs w:val="32"/>
              </w:rPr>
            </w:pPr>
            <w:r>
              <w:rPr>
                <w:rFonts w:ascii="Times New Roman" w:hAnsi="Times New Roman" w:eastAsia="仿宋" w:cs="Times New Roman"/>
                <w:color w:val="000000"/>
                <w:kern w:val="0"/>
                <w:sz w:val="32"/>
                <w:szCs w:val="32"/>
              </w:rPr>
              <w:t>4. </w:t>
            </w:r>
            <w:r>
              <w:rPr>
                <w:rFonts w:ascii="仿宋_GB2312" w:hAnsi="Times New Roman" w:eastAsia="仿宋_GB2312" w:cs="Times New Roman"/>
                <w:color w:val="000000"/>
                <w:kern w:val="0"/>
                <w:sz w:val="32"/>
                <w:szCs w:val="32"/>
              </w:rPr>
              <w:t>监测预警。根据专项任务，集中运行模型；根据监督需要，常态化运行模型。及时预警，查纠各类问题隐患。</w:t>
            </w:r>
          </w:p>
          <w:p w14:paraId="7A99F340">
            <w:pPr>
              <w:widowControl/>
              <w:wordWrap w:val="0"/>
              <w:spacing w:line="600" w:lineRule="atLeast"/>
              <w:ind w:firstLine="640"/>
              <w:rPr>
                <w:rFonts w:ascii="宋体" w:hAnsi="宋体" w:eastAsia="宋体" w:cs="宋体"/>
                <w:color w:val="000000"/>
                <w:kern w:val="0"/>
                <w:sz w:val="24"/>
                <w:szCs w:val="24"/>
              </w:rPr>
            </w:pPr>
            <w:r>
              <w:rPr>
                <w:rFonts w:ascii="楷体_GB2312" w:hAnsi="Times New Roman" w:eastAsia="楷体_GB2312" w:cs="Times New Roman"/>
                <w:color w:val="000000"/>
                <w:kern w:val="0"/>
                <w:sz w:val="32"/>
                <w:szCs w:val="32"/>
              </w:rPr>
              <w:t>（三）数字核查。</w:t>
            </w:r>
            <w:r>
              <w:rPr>
                <w:rFonts w:ascii="仿宋_GB2312" w:hAnsi="Times New Roman" w:eastAsia="仿宋_GB2312" w:cs="Times New Roman"/>
                <w:color w:val="000000"/>
                <w:kern w:val="0"/>
                <w:sz w:val="32"/>
                <w:szCs w:val="32"/>
              </w:rPr>
              <w:t>通过</w:t>
            </w:r>
            <w:r>
              <w:rPr>
                <w:rFonts w:ascii="Times New Roman" w:hAnsi="Times New Roman" w:eastAsia="宋体" w:cs="Times New Roman"/>
                <w:color w:val="000000"/>
                <w:kern w:val="0"/>
                <w:sz w:val="32"/>
                <w:szCs w:val="32"/>
              </w:rPr>
              <w:t>110</w:t>
            </w:r>
            <w:r>
              <w:rPr>
                <w:rFonts w:ascii="仿宋_GB2312" w:hAnsi="Times New Roman" w:eastAsia="仿宋_GB2312" w:cs="Times New Roman"/>
                <w:color w:val="000000"/>
                <w:kern w:val="0"/>
                <w:sz w:val="32"/>
                <w:szCs w:val="32"/>
              </w:rPr>
              <w:t>接处警系统、执法办案综合应用系统、公安监管信息系统及重点人动态预警等公安业务系统，运用数据比对分析等方式，开展常态数字督察。</w:t>
            </w:r>
          </w:p>
          <w:p w14:paraId="393EE544">
            <w:pPr>
              <w:widowControl/>
              <w:wordWrap w:val="0"/>
              <w:spacing w:line="600" w:lineRule="atLeast"/>
              <w:ind w:firstLine="640"/>
              <w:jc w:val="left"/>
              <w:rPr>
                <w:rFonts w:ascii="宋体" w:hAnsi="宋体" w:eastAsia="宋体" w:cs="宋体"/>
                <w:color w:val="000000"/>
                <w:kern w:val="0"/>
                <w:sz w:val="24"/>
                <w:szCs w:val="24"/>
              </w:rPr>
            </w:pPr>
            <w:r>
              <w:rPr>
                <w:rFonts w:ascii="楷体_GB2312" w:hAnsi="Times New Roman" w:eastAsia="楷体_GB2312" w:cs="Times New Roman"/>
                <w:color w:val="000000"/>
                <w:kern w:val="0"/>
                <w:sz w:val="32"/>
                <w:szCs w:val="32"/>
              </w:rPr>
              <w:t>（四）其他方式。</w:t>
            </w:r>
            <w:r>
              <w:rPr>
                <w:rFonts w:ascii="仿宋_GB2312" w:hAnsi="Times New Roman" w:eastAsia="仿宋_GB2312" w:cs="Times New Roman"/>
                <w:color w:val="000000"/>
                <w:kern w:val="0"/>
                <w:sz w:val="32"/>
                <w:szCs w:val="32"/>
              </w:rPr>
              <w:t>通过语音督察、灵敏感知体系监测预警等数字督察手段，开展常态数字督察。</w:t>
            </w:r>
          </w:p>
          <w:p w14:paraId="300B27AF">
            <w:pPr>
              <w:widowControl/>
              <w:wordWrap w:val="0"/>
              <w:spacing w:line="600" w:lineRule="atLeast"/>
              <w:ind w:firstLine="640"/>
              <w:rPr>
                <w:rFonts w:ascii="宋体" w:hAnsi="宋体" w:eastAsia="宋体" w:cs="宋体"/>
                <w:color w:val="000000"/>
                <w:kern w:val="0"/>
                <w:sz w:val="24"/>
                <w:szCs w:val="24"/>
              </w:rPr>
            </w:pPr>
            <w:r>
              <w:rPr>
                <w:rFonts w:ascii="黑体" w:hAnsi="黑体" w:eastAsia="黑体" w:cs="Times New Roman"/>
                <w:color w:val="000000"/>
                <w:kern w:val="0"/>
                <w:sz w:val="32"/>
                <w:szCs w:val="32"/>
              </w:rPr>
              <w:t>第十六条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对于督察发现的问题数据，按照问题派发、整改反馈、关注督办、复核确认、跟踪问效闭环流程予以流转，推动整改落实、总结复盘。</w:t>
            </w:r>
          </w:p>
          <w:p w14:paraId="4BB6D02B">
            <w:pPr>
              <w:widowControl/>
              <w:wordWrap w:val="0"/>
              <w:spacing w:line="600" w:lineRule="atLeast"/>
              <w:ind w:firstLine="640"/>
              <w:rPr>
                <w:rFonts w:ascii="宋体" w:hAnsi="宋体" w:eastAsia="宋体" w:cs="宋体"/>
                <w:color w:val="000000"/>
                <w:kern w:val="0"/>
                <w:sz w:val="24"/>
                <w:szCs w:val="24"/>
              </w:rPr>
            </w:pPr>
            <w:r>
              <w:rPr>
                <w:rFonts w:ascii="楷体_GB2312" w:hAnsi="Times New Roman" w:eastAsia="楷体_GB2312" w:cs="Times New Roman"/>
                <w:color w:val="000000"/>
                <w:kern w:val="0"/>
                <w:sz w:val="32"/>
                <w:szCs w:val="32"/>
              </w:rPr>
              <w:t>（一）问题派发。</w:t>
            </w:r>
            <w:r>
              <w:rPr>
                <w:rFonts w:ascii="仿宋_GB2312" w:hAnsi="Times New Roman" w:eastAsia="仿宋_GB2312" w:cs="Times New Roman"/>
                <w:color w:val="000000"/>
                <w:kern w:val="0"/>
                <w:sz w:val="32"/>
                <w:szCs w:val="32"/>
              </w:rPr>
              <w:t>对于督察发现的预警问题数据，经人工复核后，通过</w:t>
            </w:r>
            <w:r>
              <w:rPr>
                <w:rFonts w:ascii="Times New Roman" w:hAnsi="Times New Roman" w:eastAsia="宋体" w:cs="Times New Roman"/>
                <w:color w:val="000000"/>
                <w:kern w:val="0"/>
                <w:sz w:val="32"/>
                <w:szCs w:val="32"/>
              </w:rPr>
              <w:t>“</w:t>
            </w:r>
            <w:r>
              <w:rPr>
                <w:rFonts w:ascii="仿宋_GB2312" w:hAnsi="Times New Roman" w:eastAsia="仿宋_GB2312" w:cs="Times New Roman"/>
                <w:color w:val="000000"/>
                <w:kern w:val="0"/>
                <w:sz w:val="32"/>
                <w:szCs w:val="32"/>
              </w:rPr>
              <w:t>浙警智督</w:t>
            </w:r>
            <w:r>
              <w:rPr>
                <w:rFonts w:ascii="Times New Roman" w:hAnsi="Times New Roman" w:eastAsia="宋体" w:cs="Times New Roman"/>
                <w:color w:val="000000"/>
                <w:kern w:val="0"/>
                <w:sz w:val="32"/>
                <w:szCs w:val="32"/>
              </w:rPr>
              <w:t>”</w:t>
            </w:r>
            <w:r>
              <w:rPr>
                <w:rFonts w:ascii="仿宋_GB2312" w:hAnsi="Times New Roman" w:eastAsia="仿宋_GB2312" w:cs="Times New Roman"/>
                <w:color w:val="000000"/>
                <w:kern w:val="0"/>
                <w:sz w:val="32"/>
                <w:szCs w:val="32"/>
              </w:rPr>
              <w:t>平台逐级推送给警种部门、问题单位及同级督察部门。其中，对于提醒类问题，通过</w:t>
            </w:r>
            <w:r>
              <w:rPr>
                <w:rFonts w:ascii="Times New Roman" w:hAnsi="Times New Roman" w:eastAsia="宋体" w:cs="Times New Roman"/>
                <w:color w:val="000000"/>
                <w:kern w:val="0"/>
                <w:sz w:val="32"/>
                <w:szCs w:val="32"/>
              </w:rPr>
              <w:t>“</w:t>
            </w:r>
            <w:r>
              <w:rPr>
                <w:rFonts w:ascii="仿宋_GB2312" w:hAnsi="Times New Roman" w:eastAsia="仿宋_GB2312" w:cs="Times New Roman"/>
                <w:color w:val="000000"/>
                <w:kern w:val="0"/>
                <w:sz w:val="32"/>
                <w:szCs w:val="32"/>
              </w:rPr>
              <w:t>浙警智督</w:t>
            </w:r>
            <w:r>
              <w:rPr>
                <w:rFonts w:ascii="Times New Roman" w:hAnsi="Times New Roman" w:eastAsia="宋体" w:cs="Times New Roman"/>
                <w:color w:val="000000"/>
                <w:kern w:val="0"/>
                <w:sz w:val="32"/>
                <w:szCs w:val="32"/>
              </w:rPr>
              <w:t>”</w:t>
            </w:r>
            <w:r>
              <w:rPr>
                <w:rFonts w:ascii="仿宋_GB2312" w:hAnsi="Times New Roman" w:eastAsia="仿宋_GB2312" w:cs="Times New Roman"/>
                <w:color w:val="000000"/>
                <w:kern w:val="0"/>
                <w:sz w:val="32"/>
                <w:szCs w:val="32"/>
              </w:rPr>
              <w:t>平台提醒至问题单位，落实签收。</w:t>
            </w:r>
          </w:p>
          <w:p w14:paraId="22DDF0CF">
            <w:pPr>
              <w:widowControl/>
              <w:wordWrap w:val="0"/>
              <w:spacing w:line="600" w:lineRule="atLeast"/>
              <w:ind w:firstLine="640"/>
              <w:jc w:val="left"/>
              <w:rPr>
                <w:rFonts w:ascii="Times New Roman" w:hAnsi="Times New Roman" w:eastAsia="仿宋" w:cs="Times New Roman"/>
                <w:color w:val="000000"/>
                <w:kern w:val="0"/>
                <w:sz w:val="32"/>
                <w:szCs w:val="32"/>
              </w:rPr>
            </w:pPr>
            <w:r>
              <w:rPr>
                <w:rFonts w:ascii="楷体_GB2312" w:hAnsi="Times New Roman" w:eastAsia="楷体_GB2312" w:cs="Times New Roman"/>
                <w:color w:val="000000"/>
                <w:kern w:val="0"/>
                <w:sz w:val="32"/>
                <w:szCs w:val="32"/>
              </w:rPr>
              <w:t>（二）整改反馈。</w:t>
            </w:r>
            <w:r>
              <w:rPr>
                <w:rFonts w:ascii="仿宋_GB2312" w:hAnsi="Times New Roman" w:eastAsia="仿宋_GB2312" w:cs="Times New Roman"/>
                <w:color w:val="000000"/>
                <w:kern w:val="0"/>
                <w:sz w:val="32"/>
                <w:szCs w:val="32"/>
              </w:rPr>
              <w:t>问题单位将交办类整改结果及相关证据材料，通过</w:t>
            </w:r>
            <w:r>
              <w:rPr>
                <w:rFonts w:ascii="Times New Roman" w:hAnsi="Times New Roman" w:eastAsia="仿宋" w:cs="Times New Roman"/>
                <w:color w:val="000000"/>
                <w:kern w:val="0"/>
                <w:sz w:val="32"/>
                <w:szCs w:val="32"/>
              </w:rPr>
              <w:t>“</w:t>
            </w:r>
            <w:r>
              <w:rPr>
                <w:rFonts w:ascii="仿宋_GB2312" w:hAnsi="Times New Roman" w:eastAsia="仿宋_GB2312" w:cs="Times New Roman"/>
                <w:color w:val="000000"/>
                <w:kern w:val="0"/>
                <w:sz w:val="32"/>
                <w:szCs w:val="32"/>
              </w:rPr>
              <w:t>浙警智督</w:t>
            </w:r>
            <w:r>
              <w:rPr>
                <w:rFonts w:ascii="Times New Roman" w:hAnsi="Times New Roman" w:eastAsia="仿宋" w:cs="Times New Roman"/>
                <w:color w:val="000000"/>
                <w:kern w:val="0"/>
                <w:sz w:val="32"/>
                <w:szCs w:val="32"/>
              </w:rPr>
              <w:t>”</w:t>
            </w:r>
            <w:r>
              <w:rPr>
                <w:rFonts w:ascii="仿宋_GB2312" w:hAnsi="Times New Roman" w:eastAsia="仿宋_GB2312" w:cs="Times New Roman"/>
                <w:color w:val="000000"/>
                <w:kern w:val="0"/>
                <w:sz w:val="32"/>
                <w:szCs w:val="32"/>
              </w:rPr>
              <w:t>平台逐级上报反馈，本级警务督察部门或警种部门审核后提交至问题派发单位。</w:t>
            </w:r>
          </w:p>
          <w:p w14:paraId="0FAEB4FE">
            <w:pPr>
              <w:widowControl/>
              <w:wordWrap w:val="0"/>
              <w:spacing w:line="600" w:lineRule="atLeast"/>
              <w:ind w:firstLine="640"/>
              <w:jc w:val="left"/>
              <w:rPr>
                <w:rFonts w:ascii="Times New Roman" w:hAnsi="Times New Roman" w:eastAsia="仿宋" w:cs="Times New Roman"/>
                <w:color w:val="000000"/>
                <w:kern w:val="0"/>
                <w:sz w:val="32"/>
                <w:szCs w:val="32"/>
              </w:rPr>
            </w:pPr>
            <w:r>
              <w:rPr>
                <w:rFonts w:ascii="楷体_GB2312" w:hAnsi="Times New Roman" w:eastAsia="楷体_GB2312" w:cs="Times New Roman"/>
                <w:color w:val="000000"/>
                <w:kern w:val="0"/>
                <w:sz w:val="32"/>
                <w:szCs w:val="32"/>
              </w:rPr>
              <w:t>（三）关注督办。</w:t>
            </w:r>
            <w:r>
              <w:rPr>
                <w:rFonts w:ascii="仿宋_GB2312" w:hAnsi="Times New Roman" w:eastAsia="仿宋_GB2312" w:cs="Times New Roman"/>
                <w:color w:val="000000"/>
                <w:kern w:val="0"/>
                <w:sz w:val="32"/>
                <w:szCs w:val="32"/>
              </w:rPr>
              <w:t>针对问题比较突出的，视情开展现场督察，督促落实整改；无法立即整改到位的，明确整改时限，督促落实措施，跟踪督办直至完成整改。</w:t>
            </w:r>
          </w:p>
          <w:p w14:paraId="49CEA6CA">
            <w:pPr>
              <w:widowControl/>
              <w:wordWrap w:val="0"/>
              <w:spacing w:line="600" w:lineRule="atLeast"/>
              <w:ind w:firstLine="640"/>
              <w:jc w:val="left"/>
              <w:rPr>
                <w:rFonts w:ascii="Times New Roman" w:hAnsi="Times New Roman" w:eastAsia="仿宋" w:cs="Times New Roman"/>
                <w:color w:val="000000"/>
                <w:kern w:val="0"/>
                <w:sz w:val="32"/>
                <w:szCs w:val="32"/>
              </w:rPr>
            </w:pPr>
            <w:r>
              <w:rPr>
                <w:rFonts w:ascii="楷体_GB2312" w:hAnsi="Times New Roman" w:eastAsia="楷体_GB2312" w:cs="Times New Roman"/>
                <w:color w:val="000000"/>
                <w:kern w:val="0"/>
                <w:sz w:val="32"/>
                <w:szCs w:val="32"/>
              </w:rPr>
              <w:t>（四）复核确认。</w:t>
            </w:r>
            <w:r>
              <w:rPr>
                <w:rFonts w:ascii="仿宋_GB2312" w:hAnsi="Times New Roman" w:eastAsia="仿宋_GB2312" w:cs="Times New Roman"/>
                <w:color w:val="000000"/>
                <w:kern w:val="0"/>
                <w:sz w:val="32"/>
                <w:szCs w:val="32"/>
              </w:rPr>
              <w:t>问题派发单位组织专人对</w:t>
            </w:r>
            <w:r>
              <w:rPr>
                <w:rFonts w:ascii="Times New Roman" w:hAnsi="Times New Roman" w:eastAsia="仿宋" w:cs="Times New Roman"/>
                <w:color w:val="000000"/>
                <w:kern w:val="0"/>
                <w:sz w:val="32"/>
                <w:szCs w:val="32"/>
              </w:rPr>
              <w:t>“</w:t>
            </w:r>
            <w:r>
              <w:rPr>
                <w:rFonts w:ascii="仿宋_GB2312" w:hAnsi="Times New Roman" w:eastAsia="仿宋_GB2312" w:cs="Times New Roman"/>
                <w:color w:val="000000"/>
                <w:kern w:val="0"/>
                <w:sz w:val="32"/>
                <w:szCs w:val="32"/>
              </w:rPr>
              <w:t>浙警智督</w:t>
            </w:r>
            <w:r>
              <w:rPr>
                <w:rFonts w:ascii="Times New Roman" w:hAnsi="Times New Roman" w:eastAsia="仿宋" w:cs="Times New Roman"/>
                <w:color w:val="000000"/>
                <w:kern w:val="0"/>
                <w:sz w:val="32"/>
                <w:szCs w:val="32"/>
              </w:rPr>
              <w:t>”</w:t>
            </w:r>
            <w:r>
              <w:rPr>
                <w:rFonts w:ascii="仿宋_GB2312" w:hAnsi="Times New Roman" w:eastAsia="仿宋_GB2312" w:cs="Times New Roman"/>
                <w:color w:val="000000"/>
                <w:kern w:val="0"/>
                <w:sz w:val="32"/>
                <w:szCs w:val="32"/>
              </w:rPr>
              <w:t>平台交办问题整改反馈结果进行复核确认。对于确已整改到位的，予以销号；对于未整改到位的，予以退回，督促整改到位。</w:t>
            </w:r>
          </w:p>
          <w:p w14:paraId="774EE739">
            <w:pPr>
              <w:widowControl/>
              <w:wordWrap w:val="0"/>
              <w:spacing w:line="600" w:lineRule="atLeast"/>
              <w:ind w:firstLine="640"/>
              <w:jc w:val="left"/>
              <w:rPr>
                <w:rFonts w:ascii="Times New Roman" w:hAnsi="Times New Roman" w:eastAsia="仿宋" w:cs="Times New Roman"/>
                <w:color w:val="000000"/>
                <w:kern w:val="0"/>
                <w:sz w:val="32"/>
                <w:szCs w:val="32"/>
              </w:rPr>
            </w:pPr>
            <w:r>
              <w:rPr>
                <w:rFonts w:ascii="楷体_GB2312" w:hAnsi="Times New Roman" w:eastAsia="楷体_GB2312" w:cs="Times New Roman"/>
                <w:color w:val="000000"/>
                <w:kern w:val="0"/>
                <w:sz w:val="32"/>
                <w:szCs w:val="32"/>
              </w:rPr>
              <w:t>（五）跟踪问效。</w:t>
            </w:r>
            <w:r>
              <w:rPr>
                <w:rFonts w:ascii="仿宋_GB2312" w:hAnsi="Times New Roman" w:eastAsia="仿宋_GB2312" w:cs="Times New Roman"/>
                <w:color w:val="000000"/>
                <w:kern w:val="0"/>
                <w:sz w:val="32"/>
                <w:szCs w:val="32"/>
              </w:rPr>
              <w:t>数字督察中心不定期对各类数字督察问题和数据进行分类汇总、持续跟踪，适时组织</w:t>
            </w:r>
            <w:r>
              <w:rPr>
                <w:rFonts w:ascii="Times New Roman" w:hAnsi="Times New Roman" w:eastAsia="仿宋" w:cs="Times New Roman"/>
                <w:color w:val="000000"/>
                <w:kern w:val="0"/>
                <w:sz w:val="32"/>
                <w:szCs w:val="32"/>
              </w:rPr>
              <w:t>“</w:t>
            </w:r>
            <w:r>
              <w:rPr>
                <w:rFonts w:ascii="仿宋_GB2312" w:hAnsi="Times New Roman" w:eastAsia="仿宋_GB2312" w:cs="Times New Roman"/>
                <w:color w:val="000000"/>
                <w:kern w:val="0"/>
                <w:sz w:val="32"/>
                <w:szCs w:val="32"/>
              </w:rPr>
              <w:t>回头看</w:t>
            </w:r>
            <w:r>
              <w:rPr>
                <w:rFonts w:ascii="Times New Roman" w:hAnsi="Times New Roman" w:eastAsia="仿宋" w:cs="Times New Roman"/>
                <w:color w:val="000000"/>
                <w:kern w:val="0"/>
                <w:sz w:val="32"/>
                <w:szCs w:val="32"/>
              </w:rPr>
              <w:t>”</w:t>
            </w:r>
            <w:r>
              <w:rPr>
                <w:rFonts w:ascii="仿宋_GB2312" w:hAnsi="Times New Roman" w:eastAsia="仿宋_GB2312" w:cs="Times New Roman"/>
                <w:color w:val="000000"/>
                <w:kern w:val="0"/>
                <w:sz w:val="32"/>
                <w:szCs w:val="32"/>
              </w:rPr>
              <w:t>，推动落实长效机制。同时，对领导不重视、组织不力、问题整改不到位的，下发督察文书予以倒查问责，形成问题整改闭环。深入开展态势分析，总结研提相关工作建议。</w:t>
            </w:r>
          </w:p>
          <w:p w14:paraId="57E02F8D">
            <w:pPr>
              <w:widowControl/>
              <w:wordWrap w:val="0"/>
              <w:spacing w:line="600" w:lineRule="atLeast"/>
              <w:ind w:firstLine="640"/>
              <w:rPr>
                <w:rFonts w:ascii="宋体" w:hAnsi="宋体" w:eastAsia="宋体" w:cs="宋体"/>
                <w:color w:val="000000"/>
                <w:kern w:val="0"/>
                <w:sz w:val="24"/>
                <w:szCs w:val="24"/>
              </w:rPr>
            </w:pPr>
            <w:r>
              <w:rPr>
                <w:rFonts w:ascii="黑体" w:hAnsi="黑体" w:eastAsia="黑体" w:cs="Times New Roman"/>
                <w:color w:val="000000"/>
                <w:kern w:val="0"/>
                <w:sz w:val="32"/>
                <w:szCs w:val="32"/>
              </w:rPr>
              <w:t>第十七条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数字督察中心实行会商调度、联动处置和信息通报工作机制，研判会商工作、密切警种联系、压实工作责任。</w:t>
            </w:r>
          </w:p>
          <w:p w14:paraId="2E153E6D">
            <w:pPr>
              <w:widowControl/>
              <w:wordWrap w:val="0"/>
              <w:spacing w:line="600" w:lineRule="atLeast"/>
              <w:ind w:firstLine="640"/>
              <w:rPr>
                <w:rFonts w:ascii="宋体" w:hAnsi="宋体" w:eastAsia="宋体" w:cs="宋体"/>
                <w:color w:val="000000"/>
                <w:kern w:val="0"/>
                <w:sz w:val="24"/>
                <w:szCs w:val="24"/>
              </w:rPr>
            </w:pPr>
            <w:r>
              <w:rPr>
                <w:rFonts w:ascii="楷体_GB2312" w:hAnsi="Times New Roman" w:eastAsia="楷体_GB2312" w:cs="Times New Roman"/>
                <w:color w:val="000000"/>
                <w:kern w:val="0"/>
                <w:sz w:val="32"/>
                <w:szCs w:val="32"/>
              </w:rPr>
              <w:t>（一）会商调度机制。</w:t>
            </w:r>
            <w:r>
              <w:rPr>
                <w:rFonts w:ascii="仿宋_GB2312" w:hAnsi="Times New Roman" w:eastAsia="仿宋_GB2312" w:cs="Times New Roman"/>
                <w:color w:val="000000"/>
                <w:kern w:val="0"/>
                <w:sz w:val="32"/>
                <w:szCs w:val="32"/>
              </w:rPr>
              <w:t>根据工作需要，经数字督察工作领导小组组长或副组长批准，每季度至少开展一次数字督察会商调度。研究数字督察制度措施，部署数字督察工作任务，通报、交流数字督察阶段性工作进展及成果。专项或战时</w:t>
            </w:r>
            <w:r>
              <w:rPr>
                <w:rFonts w:hint="eastAsia" w:ascii="仿宋_GB2312" w:hAnsi="宋体" w:eastAsia="仿宋_GB2312" w:cs="宋体"/>
                <w:color w:val="000000"/>
                <w:kern w:val="0"/>
                <w:sz w:val="32"/>
                <w:szCs w:val="32"/>
              </w:rPr>
              <w:t>期间</w:t>
            </w:r>
            <w:r>
              <w:rPr>
                <w:rFonts w:ascii="仿宋_GB2312" w:hAnsi="Times New Roman" w:eastAsia="仿宋_GB2312" w:cs="Times New Roman"/>
                <w:color w:val="000000"/>
                <w:kern w:val="0"/>
                <w:sz w:val="32"/>
                <w:szCs w:val="32"/>
              </w:rPr>
              <w:t>，根据工作推进需要</w:t>
            </w:r>
            <w:r>
              <w:rPr>
                <w:rFonts w:hint="eastAsia" w:ascii="仿宋_GB2312" w:hAnsi="宋体" w:eastAsia="仿宋_GB2312" w:cs="宋体"/>
                <w:color w:val="000000"/>
                <w:kern w:val="0"/>
                <w:sz w:val="32"/>
                <w:szCs w:val="32"/>
              </w:rPr>
              <w:t>进行</w:t>
            </w:r>
            <w:r>
              <w:rPr>
                <w:rFonts w:ascii="仿宋_GB2312" w:hAnsi="Times New Roman" w:eastAsia="仿宋_GB2312" w:cs="Times New Roman"/>
                <w:color w:val="000000"/>
                <w:kern w:val="0"/>
                <w:sz w:val="32"/>
                <w:szCs w:val="32"/>
              </w:rPr>
              <w:t>专题会商。</w:t>
            </w:r>
          </w:p>
          <w:p w14:paraId="1E966F7C">
            <w:pPr>
              <w:widowControl/>
              <w:wordWrap w:val="0"/>
              <w:spacing w:line="600" w:lineRule="atLeast"/>
              <w:ind w:firstLine="640"/>
              <w:jc w:val="left"/>
              <w:rPr>
                <w:rFonts w:ascii="宋体" w:hAnsi="宋体" w:eastAsia="宋体" w:cs="宋体"/>
                <w:color w:val="000000"/>
                <w:kern w:val="0"/>
                <w:sz w:val="24"/>
                <w:szCs w:val="24"/>
              </w:rPr>
            </w:pPr>
            <w:r>
              <w:rPr>
                <w:rFonts w:ascii="楷体_GB2312" w:hAnsi="Times New Roman" w:eastAsia="楷体_GB2312" w:cs="Times New Roman"/>
                <w:color w:val="000000"/>
                <w:kern w:val="0"/>
                <w:sz w:val="32"/>
                <w:szCs w:val="32"/>
              </w:rPr>
              <w:t>（二）联动处置机制。</w:t>
            </w:r>
            <w:r>
              <w:rPr>
                <w:rFonts w:ascii="仿宋_GB2312" w:hAnsi="Times New Roman" w:eastAsia="仿宋_GB2312" w:cs="Times New Roman"/>
                <w:color w:val="000000"/>
                <w:kern w:val="0"/>
                <w:sz w:val="32"/>
                <w:szCs w:val="32"/>
              </w:rPr>
              <w:t>数字督察结果报告本级公安机关督察长及分管领导，并推送相关警种部门联合督办处置。对数字督察中发现的重大、典型问题会同相关警种部门启动复核程序、分析复盘，提出整改建议，推动实现公安内部风险隐患的动态感知、防范处置，对违规违纪人员予以精准处理，为改进业务工作、加强队伍管理、综合绩效评估提供支撑。</w:t>
            </w:r>
          </w:p>
          <w:p w14:paraId="6602C6B7">
            <w:pPr>
              <w:widowControl/>
              <w:wordWrap w:val="0"/>
              <w:spacing w:line="600" w:lineRule="atLeast"/>
              <w:ind w:firstLine="640"/>
              <w:jc w:val="left"/>
              <w:rPr>
                <w:rFonts w:ascii="宋体" w:hAnsi="宋体" w:eastAsia="宋体" w:cs="宋体"/>
                <w:color w:val="000000"/>
                <w:kern w:val="0"/>
                <w:sz w:val="24"/>
                <w:szCs w:val="24"/>
              </w:rPr>
            </w:pPr>
            <w:r>
              <w:rPr>
                <w:rFonts w:ascii="楷体_GB2312" w:hAnsi="Times New Roman" w:eastAsia="楷体_GB2312" w:cs="Times New Roman"/>
                <w:color w:val="000000"/>
                <w:kern w:val="0"/>
                <w:sz w:val="32"/>
                <w:szCs w:val="32"/>
              </w:rPr>
              <w:t>（三）信息通报机制。</w:t>
            </w:r>
            <w:r>
              <w:rPr>
                <w:rFonts w:ascii="仿宋_GB2312" w:hAnsi="Times New Roman" w:eastAsia="仿宋_GB2312" w:cs="Times New Roman"/>
                <w:color w:val="000000"/>
                <w:kern w:val="0"/>
                <w:sz w:val="32"/>
                <w:szCs w:val="32"/>
              </w:rPr>
              <w:t>突出问题导向、目标导向和效果导向，有效利用问题数据资源，广泛开展信息研判和态势分析，建立月通报、季分析制度。每月汇总并筛查重点单位、重点问题，形成数字督察月报告，通报至相关部门；每季度开展全面分析研判，形成数字督察季度报告，服务领导决策和警种实战。</w:t>
            </w:r>
          </w:p>
          <w:p w14:paraId="30AA93D9">
            <w:pPr>
              <w:widowControl/>
              <w:wordWrap w:val="0"/>
              <w:spacing w:line="600" w:lineRule="atLeast"/>
              <w:jc w:val="left"/>
              <w:rPr>
                <w:rFonts w:ascii="Times New Roman" w:hAnsi="Times New Roman" w:eastAsia="仿宋" w:cs="Times New Roman"/>
                <w:color w:val="000000"/>
                <w:kern w:val="0"/>
                <w:sz w:val="32"/>
                <w:szCs w:val="32"/>
              </w:rPr>
            </w:pPr>
            <w:r>
              <w:rPr>
                <w:rFonts w:ascii="Times New Roman" w:hAnsi="Times New Roman" w:eastAsia="仿宋" w:cs="Times New Roman"/>
                <w:color w:val="000000"/>
                <w:kern w:val="0"/>
                <w:szCs w:val="21"/>
              </w:rPr>
              <w:t> </w:t>
            </w:r>
          </w:p>
          <w:p w14:paraId="3B42823F">
            <w:pPr>
              <w:widowControl/>
              <w:wordWrap w:val="0"/>
              <w:spacing w:line="600" w:lineRule="atLeast"/>
              <w:ind w:firstLine="180"/>
              <w:jc w:val="center"/>
              <w:rPr>
                <w:rFonts w:ascii="宋体" w:hAnsi="宋体" w:eastAsia="宋体" w:cs="宋体"/>
                <w:color w:val="000000"/>
                <w:kern w:val="0"/>
                <w:sz w:val="24"/>
                <w:szCs w:val="24"/>
              </w:rPr>
            </w:pPr>
            <w:r>
              <w:rPr>
                <w:rFonts w:ascii="黑体" w:hAnsi="黑体" w:eastAsia="黑体" w:cs="Times New Roman"/>
                <w:color w:val="000000"/>
                <w:kern w:val="0"/>
                <w:sz w:val="32"/>
                <w:szCs w:val="32"/>
              </w:rPr>
              <w:t>第五章</w:t>
            </w:r>
            <w:r>
              <w:rPr>
                <w:rFonts w:ascii="Times New Roman" w:hAnsi="Times New Roman" w:eastAsia="宋体" w:cs="Times New Roman"/>
                <w:color w:val="000000"/>
                <w:kern w:val="0"/>
                <w:sz w:val="32"/>
                <w:szCs w:val="32"/>
              </w:rPr>
              <w:t>  </w:t>
            </w:r>
            <w:r>
              <w:rPr>
                <w:rFonts w:ascii="黑体" w:hAnsi="黑体" w:eastAsia="黑体" w:cs="Times New Roman"/>
                <w:color w:val="000000"/>
                <w:kern w:val="0"/>
                <w:sz w:val="32"/>
                <w:szCs w:val="32"/>
              </w:rPr>
              <w:t>工作纪律</w:t>
            </w:r>
          </w:p>
          <w:p w14:paraId="0D20B996">
            <w:pPr>
              <w:widowControl/>
              <w:wordWrap w:val="0"/>
              <w:spacing w:line="600" w:lineRule="atLeast"/>
              <w:ind w:firstLine="640"/>
              <w:jc w:val="left"/>
              <w:rPr>
                <w:rFonts w:ascii="宋体" w:hAnsi="宋体" w:eastAsia="宋体" w:cs="宋体"/>
                <w:color w:val="000000"/>
                <w:kern w:val="0"/>
                <w:sz w:val="24"/>
                <w:szCs w:val="24"/>
              </w:rPr>
            </w:pPr>
            <w:r>
              <w:rPr>
                <w:rFonts w:ascii="黑体" w:hAnsi="黑体" w:eastAsia="黑体" w:cs="Times New Roman"/>
                <w:color w:val="000000"/>
                <w:kern w:val="0"/>
                <w:sz w:val="32"/>
                <w:szCs w:val="32"/>
              </w:rPr>
              <w:t>第十八条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数字督察中心应参照公安机关计算机机房安全管理规范管理，坚持</w:t>
            </w:r>
            <w:r>
              <w:rPr>
                <w:rFonts w:ascii="Times New Roman" w:hAnsi="Times New Roman" w:eastAsia="宋体" w:cs="Times New Roman"/>
                <w:color w:val="000000"/>
                <w:kern w:val="0"/>
                <w:sz w:val="32"/>
                <w:szCs w:val="32"/>
              </w:rPr>
              <w:t>“</w:t>
            </w:r>
            <w:r>
              <w:rPr>
                <w:rFonts w:ascii="仿宋_GB2312" w:hAnsi="Times New Roman" w:eastAsia="仿宋_GB2312" w:cs="Times New Roman"/>
                <w:color w:val="000000"/>
                <w:kern w:val="0"/>
                <w:sz w:val="32"/>
                <w:szCs w:val="32"/>
              </w:rPr>
              <w:t>专网专用</w:t>
            </w:r>
            <w:r>
              <w:rPr>
                <w:rFonts w:ascii="Times New Roman" w:hAnsi="Times New Roman" w:eastAsia="宋体" w:cs="Times New Roman"/>
                <w:color w:val="000000"/>
                <w:kern w:val="0"/>
                <w:sz w:val="32"/>
                <w:szCs w:val="32"/>
              </w:rPr>
              <w:t>”“</w:t>
            </w:r>
            <w:r>
              <w:rPr>
                <w:rFonts w:ascii="仿宋_GB2312" w:hAnsi="Times New Roman" w:eastAsia="仿宋_GB2312" w:cs="Times New Roman"/>
                <w:color w:val="000000"/>
                <w:kern w:val="0"/>
                <w:sz w:val="32"/>
                <w:szCs w:val="32"/>
              </w:rPr>
              <w:t>专机专用</w:t>
            </w:r>
            <w:r>
              <w:rPr>
                <w:rFonts w:ascii="Times New Roman" w:hAnsi="Times New Roman" w:eastAsia="宋体" w:cs="Times New Roman"/>
                <w:color w:val="000000"/>
                <w:kern w:val="0"/>
                <w:sz w:val="32"/>
                <w:szCs w:val="32"/>
              </w:rPr>
              <w:t>”</w:t>
            </w:r>
            <w:r>
              <w:rPr>
                <w:rFonts w:ascii="仿宋_GB2312" w:hAnsi="Times New Roman" w:eastAsia="仿宋_GB2312" w:cs="Times New Roman"/>
                <w:color w:val="000000"/>
                <w:kern w:val="0"/>
                <w:sz w:val="32"/>
                <w:szCs w:val="32"/>
              </w:rPr>
              <w:t>的原则，实行</w:t>
            </w:r>
            <w:r>
              <w:rPr>
                <w:rFonts w:ascii="Times New Roman" w:hAnsi="Times New Roman" w:eastAsia="宋体" w:cs="Times New Roman"/>
                <w:color w:val="000000"/>
                <w:kern w:val="0"/>
                <w:sz w:val="32"/>
                <w:szCs w:val="32"/>
              </w:rPr>
              <w:t>“</w:t>
            </w:r>
            <w:r>
              <w:rPr>
                <w:rFonts w:ascii="仿宋_GB2312" w:hAnsi="Times New Roman" w:eastAsia="仿宋_GB2312" w:cs="Times New Roman"/>
                <w:color w:val="000000"/>
                <w:kern w:val="0"/>
                <w:sz w:val="32"/>
                <w:szCs w:val="32"/>
              </w:rPr>
              <w:t>谁管理、谁负责</w:t>
            </w:r>
            <w:r>
              <w:rPr>
                <w:rFonts w:ascii="Times New Roman" w:hAnsi="Times New Roman" w:eastAsia="宋体" w:cs="Times New Roman"/>
                <w:color w:val="000000"/>
                <w:kern w:val="0"/>
                <w:sz w:val="32"/>
                <w:szCs w:val="32"/>
              </w:rPr>
              <w:t>”“</w:t>
            </w:r>
            <w:r>
              <w:rPr>
                <w:rFonts w:ascii="仿宋_GB2312" w:hAnsi="Times New Roman" w:eastAsia="仿宋_GB2312" w:cs="Times New Roman"/>
                <w:color w:val="000000"/>
                <w:kern w:val="0"/>
                <w:sz w:val="32"/>
                <w:szCs w:val="32"/>
              </w:rPr>
              <w:t>谁使用、谁负责</w:t>
            </w:r>
            <w:r>
              <w:rPr>
                <w:rFonts w:ascii="Times New Roman" w:hAnsi="Times New Roman" w:eastAsia="宋体" w:cs="Times New Roman"/>
                <w:color w:val="000000"/>
                <w:kern w:val="0"/>
                <w:sz w:val="32"/>
                <w:szCs w:val="32"/>
              </w:rPr>
              <w:t>”</w:t>
            </w:r>
            <w:r>
              <w:rPr>
                <w:rFonts w:ascii="仿宋_GB2312" w:hAnsi="Times New Roman" w:eastAsia="仿宋_GB2312" w:cs="Times New Roman"/>
                <w:color w:val="000000"/>
                <w:kern w:val="0"/>
                <w:sz w:val="32"/>
                <w:szCs w:val="32"/>
              </w:rPr>
              <w:t>的安全责任制。</w:t>
            </w:r>
          </w:p>
          <w:p w14:paraId="10DD8093">
            <w:pPr>
              <w:widowControl/>
              <w:wordWrap w:val="0"/>
              <w:spacing w:line="600" w:lineRule="atLeast"/>
              <w:ind w:firstLine="640"/>
              <w:jc w:val="left"/>
              <w:rPr>
                <w:rFonts w:ascii="Times New Roman" w:hAnsi="Times New Roman" w:eastAsia="仿宋" w:cs="Times New Roman"/>
                <w:color w:val="000000"/>
                <w:kern w:val="0"/>
                <w:sz w:val="32"/>
                <w:szCs w:val="32"/>
              </w:rPr>
            </w:pPr>
            <w:r>
              <w:rPr>
                <w:rFonts w:ascii="黑体" w:hAnsi="黑体" w:eastAsia="黑体" w:cs="Times New Roman"/>
                <w:color w:val="000000"/>
                <w:kern w:val="0"/>
                <w:sz w:val="32"/>
                <w:szCs w:val="32"/>
              </w:rPr>
              <w:t>第十九条</w:t>
            </w:r>
            <w:r>
              <w:rPr>
                <w:rFonts w:ascii="Times New Roman" w:hAnsi="Times New Roman" w:eastAsia="仿宋" w:cs="Times New Roman"/>
                <w:color w:val="000000"/>
                <w:kern w:val="0"/>
                <w:sz w:val="32"/>
                <w:szCs w:val="32"/>
              </w:rPr>
              <w:t> </w:t>
            </w:r>
            <w:r>
              <w:rPr>
                <w:rFonts w:ascii="仿宋_GB2312" w:hAnsi="Times New Roman" w:eastAsia="仿宋_GB2312" w:cs="Times New Roman"/>
                <w:color w:val="000000"/>
                <w:kern w:val="0"/>
                <w:sz w:val="32"/>
                <w:szCs w:val="32"/>
              </w:rPr>
              <w:t>数字督察中心工作人员应当严格遵守保密纪律、警务督察工作纪律和计算机信息管理等有关规定。民辅警日常工作必须严格遵守《公安信息共享查询应用</w:t>
            </w:r>
            <w:r>
              <w:rPr>
                <w:rFonts w:ascii="Times New Roman" w:hAnsi="Times New Roman" w:eastAsia="仿宋" w:cs="Times New Roman"/>
                <w:color w:val="000000"/>
                <w:kern w:val="0"/>
                <w:sz w:val="32"/>
                <w:szCs w:val="32"/>
              </w:rPr>
              <w:t>“</w:t>
            </w:r>
            <w:r>
              <w:rPr>
                <w:rFonts w:ascii="仿宋_GB2312" w:hAnsi="Times New Roman" w:eastAsia="仿宋_GB2312" w:cs="Times New Roman"/>
                <w:color w:val="000000"/>
                <w:kern w:val="0"/>
                <w:sz w:val="32"/>
                <w:szCs w:val="32"/>
              </w:rPr>
              <w:t>七不准</w:t>
            </w:r>
            <w:r>
              <w:rPr>
                <w:rFonts w:ascii="Times New Roman" w:hAnsi="Times New Roman" w:eastAsia="仿宋" w:cs="Times New Roman"/>
                <w:color w:val="000000"/>
                <w:kern w:val="0"/>
                <w:sz w:val="32"/>
                <w:szCs w:val="32"/>
              </w:rPr>
              <w:t>”</w:t>
            </w:r>
            <w:r>
              <w:rPr>
                <w:rFonts w:ascii="仿宋_GB2312" w:hAnsi="Times New Roman" w:eastAsia="仿宋_GB2312" w:cs="Times New Roman"/>
                <w:color w:val="000000"/>
                <w:kern w:val="0"/>
                <w:sz w:val="32"/>
                <w:szCs w:val="32"/>
              </w:rPr>
              <w:t>》《浙江省公安机关警务辅助人员数字证书管理办法（试行）》等规定。加强对外部合作单位、人员的安全保密管理，严防失泄密问题。</w:t>
            </w:r>
          </w:p>
          <w:p w14:paraId="19B2F9B2">
            <w:pPr>
              <w:widowControl/>
              <w:wordWrap w:val="0"/>
              <w:spacing w:line="600" w:lineRule="atLeast"/>
              <w:ind w:firstLine="640"/>
              <w:jc w:val="left"/>
              <w:rPr>
                <w:rFonts w:ascii="宋体" w:hAnsi="宋体" w:eastAsia="宋体" w:cs="宋体"/>
                <w:color w:val="000000"/>
                <w:kern w:val="0"/>
                <w:sz w:val="24"/>
                <w:szCs w:val="24"/>
              </w:rPr>
            </w:pPr>
            <w:r>
              <w:rPr>
                <w:rFonts w:ascii="黑体" w:hAnsi="黑体" w:eastAsia="黑体" w:cs="Times New Roman"/>
                <w:color w:val="000000"/>
                <w:kern w:val="0"/>
                <w:sz w:val="32"/>
                <w:szCs w:val="32"/>
              </w:rPr>
              <w:t>第二十条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警务督察部门负责本级数字督察中心各系统使用权限和账号密码的管理，非授权人员不得应用数字督察各系统。</w:t>
            </w:r>
          </w:p>
          <w:p w14:paraId="181C2BA8">
            <w:pPr>
              <w:widowControl/>
              <w:wordWrap w:val="0"/>
              <w:spacing w:line="600" w:lineRule="atLeast"/>
              <w:ind w:firstLine="640"/>
              <w:jc w:val="left"/>
              <w:rPr>
                <w:rFonts w:ascii="宋体" w:hAnsi="宋体" w:eastAsia="宋体" w:cs="宋体"/>
                <w:color w:val="000000"/>
                <w:kern w:val="0"/>
                <w:sz w:val="24"/>
                <w:szCs w:val="24"/>
              </w:rPr>
            </w:pPr>
            <w:r>
              <w:rPr>
                <w:rFonts w:ascii="黑体" w:hAnsi="黑体" w:eastAsia="黑体" w:cs="Times New Roman"/>
                <w:color w:val="000000"/>
                <w:kern w:val="0"/>
                <w:sz w:val="32"/>
                <w:szCs w:val="32"/>
              </w:rPr>
              <w:t>第二十一条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数字督察工作人员在开展数字督察工作中，不得超越职责权限使用数字督察相关系统，不得擅自掩盖、隐瞒发现的问题，不得擅自下载、复制、拍照、录像或传播数字督察相关信息资料。若有相关违反纪律行为，依据相关规定予以处理。</w:t>
            </w:r>
          </w:p>
          <w:p w14:paraId="4A87506D">
            <w:pPr>
              <w:widowControl/>
              <w:wordWrap w:val="0"/>
              <w:spacing w:line="600" w:lineRule="atLeast"/>
              <w:jc w:val="left"/>
              <w:rPr>
                <w:rFonts w:ascii="宋体" w:hAnsi="宋体" w:eastAsia="宋体" w:cs="宋体"/>
                <w:color w:val="000000"/>
                <w:kern w:val="0"/>
                <w:sz w:val="24"/>
                <w:szCs w:val="24"/>
              </w:rPr>
            </w:pPr>
            <w:r>
              <w:rPr>
                <w:rFonts w:ascii="Times New Roman" w:hAnsi="Times New Roman" w:eastAsia="宋体" w:cs="Times New Roman"/>
                <w:color w:val="313031"/>
                <w:kern w:val="0"/>
                <w:sz w:val="32"/>
                <w:szCs w:val="32"/>
              </w:rPr>
              <w:t> </w:t>
            </w:r>
          </w:p>
          <w:p w14:paraId="5962EFB6">
            <w:pPr>
              <w:widowControl/>
              <w:wordWrap w:val="0"/>
              <w:spacing w:line="600" w:lineRule="atLeast"/>
              <w:jc w:val="center"/>
              <w:rPr>
                <w:rFonts w:ascii="宋体" w:hAnsi="宋体" w:eastAsia="宋体" w:cs="宋体"/>
                <w:color w:val="000000"/>
                <w:kern w:val="0"/>
                <w:sz w:val="24"/>
                <w:szCs w:val="24"/>
              </w:rPr>
            </w:pPr>
            <w:r>
              <w:rPr>
                <w:rFonts w:ascii="黑体" w:hAnsi="黑体" w:eastAsia="黑体" w:cs="Times New Roman"/>
                <w:color w:val="000000"/>
                <w:kern w:val="0"/>
                <w:sz w:val="32"/>
                <w:szCs w:val="32"/>
              </w:rPr>
              <w:t>第六章</w:t>
            </w:r>
            <w:r>
              <w:rPr>
                <w:rFonts w:ascii="Times New Roman" w:hAnsi="Times New Roman" w:eastAsia="宋体" w:cs="Times New Roman"/>
                <w:color w:val="000000"/>
                <w:kern w:val="0"/>
                <w:sz w:val="32"/>
                <w:szCs w:val="32"/>
              </w:rPr>
              <w:t>  </w:t>
            </w:r>
            <w:r>
              <w:rPr>
                <w:rFonts w:ascii="黑体" w:hAnsi="黑体" w:eastAsia="黑体" w:cs="Times New Roman"/>
                <w:color w:val="000000"/>
                <w:kern w:val="0"/>
                <w:sz w:val="32"/>
                <w:szCs w:val="32"/>
              </w:rPr>
              <w:t>附</w:t>
            </w:r>
            <w:r>
              <w:rPr>
                <w:rFonts w:ascii="Times New Roman" w:hAnsi="Times New Roman" w:eastAsia="宋体" w:cs="Times New Roman"/>
                <w:color w:val="000000"/>
                <w:kern w:val="0"/>
                <w:sz w:val="32"/>
                <w:szCs w:val="32"/>
              </w:rPr>
              <w:t>  </w:t>
            </w:r>
            <w:r>
              <w:rPr>
                <w:rFonts w:ascii="黑体" w:hAnsi="黑体" w:eastAsia="黑体" w:cs="Times New Roman"/>
                <w:color w:val="000000"/>
                <w:kern w:val="0"/>
                <w:sz w:val="32"/>
                <w:szCs w:val="32"/>
              </w:rPr>
              <w:t>则</w:t>
            </w:r>
          </w:p>
          <w:p w14:paraId="47FC25D2">
            <w:pPr>
              <w:widowControl/>
              <w:wordWrap w:val="0"/>
              <w:spacing w:line="600" w:lineRule="atLeast"/>
              <w:ind w:firstLine="640"/>
              <w:jc w:val="left"/>
              <w:rPr>
                <w:rFonts w:ascii="宋体" w:hAnsi="宋体" w:eastAsia="宋体" w:cs="宋体"/>
                <w:color w:val="000000"/>
                <w:kern w:val="0"/>
                <w:sz w:val="24"/>
                <w:szCs w:val="24"/>
              </w:rPr>
            </w:pPr>
            <w:r>
              <w:rPr>
                <w:rFonts w:ascii="黑体" w:hAnsi="黑体" w:eastAsia="黑体" w:cs="Times New Roman"/>
                <w:color w:val="000000"/>
                <w:kern w:val="0"/>
                <w:sz w:val="32"/>
                <w:szCs w:val="32"/>
              </w:rPr>
              <w:t>第二十二条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现有网上督察中心按照本规范完成标准化升级改造，原有设备能正常使用的，要合理利旧，提倡节约、避免浪费。</w:t>
            </w:r>
          </w:p>
          <w:p w14:paraId="4FB1B6BB">
            <w:pPr>
              <w:widowControl/>
              <w:wordWrap w:val="0"/>
              <w:spacing w:line="600" w:lineRule="atLeast"/>
              <w:ind w:firstLine="640"/>
              <w:jc w:val="left"/>
              <w:rPr>
                <w:rFonts w:ascii="宋体" w:hAnsi="宋体" w:eastAsia="宋体" w:cs="宋体"/>
                <w:color w:val="000000"/>
                <w:kern w:val="0"/>
                <w:sz w:val="24"/>
                <w:szCs w:val="24"/>
              </w:rPr>
            </w:pPr>
            <w:r>
              <w:rPr>
                <w:rFonts w:ascii="黑体" w:hAnsi="黑体" w:eastAsia="黑体" w:cs="Times New Roman"/>
                <w:color w:val="000000"/>
                <w:kern w:val="0"/>
                <w:sz w:val="32"/>
                <w:szCs w:val="32"/>
              </w:rPr>
              <w:t>第二十三条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本规范自发布之日起施行，由浙江省公安厅数字督察工作领导小组办公室负责解释。</w:t>
            </w:r>
          </w:p>
        </w:tc>
      </w:tr>
    </w:tbl>
    <w:p w14:paraId="31E7ECA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方正小标宋简体">
    <w:altName w:val="方正舒体"/>
    <w:panose1 w:val="03000509000000000000"/>
    <w:charset w:val="86"/>
    <w:family w:val="script"/>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Batang">
    <w:altName w:val="NanumGothic"/>
    <w:panose1 w:val="02030600000101010101"/>
    <w:charset w:val="81"/>
    <w:family w:val="roman"/>
    <w:pitch w:val="default"/>
    <w:sig w:usb0="00000000" w:usb1="00000000" w:usb2="00000030" w:usb3="00000000" w:csb0="0008009F" w:csb1="00000000"/>
  </w:font>
  <w:font w:name="바탕">
    <w:altName w:val="Segoe Print"/>
    <w:panose1 w:val="00000000000000000000"/>
    <w:charset w:val="00"/>
    <w:family w:val="auto"/>
    <w:pitch w:val="default"/>
    <w:sig w:usb0="00000000" w:usb1="00000000" w:usb2="00000000" w:usb3="00000000" w:csb0="00000000" w:csb1="00000000"/>
  </w:font>
  <w:font w:name="方正舒体">
    <w:panose1 w:val="02010601030101010101"/>
    <w:charset w:val="86"/>
    <w:family w:val="auto"/>
    <w:pitch w:val="default"/>
    <w:sig w:usb0="00000003"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NanumGothic">
    <w:panose1 w:val="020D0604000000000000"/>
    <w:charset w:val="81"/>
    <w:family w:val="auto"/>
    <w:pitch w:val="default"/>
    <w:sig w:usb0="900002A7" w:usb1="29D7FCFB" w:usb2="00000010" w:usb3="00000000" w:csb0="00080001"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5CE"/>
    <w:rsid w:val="00147DD1"/>
    <w:rsid w:val="00ED098A"/>
    <w:rsid w:val="00FC75CE"/>
    <w:rsid w:val="371504C8"/>
    <w:rsid w:val="79912A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paragraph" w:customStyle="1" w:styleId="5">
    <w:name w:val="19"/>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
    <w:name w:val="18"/>
    <w:basedOn w:val="1"/>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4035</Words>
  <Characters>4088</Characters>
  <Lines>30</Lines>
  <Paragraphs>8</Paragraphs>
  <TotalTime>0</TotalTime>
  <ScaleCrop>false</ScaleCrop>
  <LinksUpToDate>false</LinksUpToDate>
  <CharactersWithSpaces>4251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2025-02-18T02:01:00Z</dcterms:created>
  <dc:creator>IBM</dc:creator>
  <cp:lastModifiedBy>马丽娜</cp:lastModifiedBy>
  <dcterms:modified xsi:type="dcterms:W3CDTF">2025-03-24T08:18:24Z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eyJoZGlkIjoiZTFhZGJjMjlmMmZjZTNjZDI1YmM2ZTk0YWVjZmI2OTkiLCJ1c2VySWQiOiIxNjUyMjQ2MDYxIn0=</vt:lpwstr>
  </property>
  <property fmtid="{D5CDD505-2E9C-101B-9397-08002B2CF9AE}" pid="3" name="KSOProductBuildVer">
    <vt:lpwstr>2052-12.1.0.19302</vt:lpwstr>
  </property>
  <property fmtid="{D5CDD505-2E9C-101B-9397-08002B2CF9AE}" pid="4" name="ICV">
    <vt:lpwstr>23D53787B4D04F669D577B65EBB34FA2_12</vt:lpwstr>
  </property>
</Properties>
</file>