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089B4E8F">
        <w:tblPrEx>
          <w:shd w:val="clear" w:color="auto" w:fill="FFFFFF"/>
          <w:tblCellMar>
            <w:top w:w="15" w:type="dxa"/>
            <w:left w:w="15" w:type="dxa"/>
            <w:bottom w:w="15" w:type="dxa"/>
            <w:right w:w="15" w:type="dxa"/>
          </w:tblCellMar>
        </w:tblPrEx>
        <w:trPr>
          <w:trHeight w:val="15" w:hRule="atLeast"/>
          <w:tblCellSpacing w:w="15" w:type="dxa"/>
          <w:jc w:val="center"/>
        </w:trPr>
        <w:tc>
          <w:tcPr>
            <w:tcW w:w="0" w:type="auto"/>
            <w:shd w:val="clear" w:color="auto" w:fill="FFFFFF"/>
            <w:vAlign w:val="center"/>
          </w:tcPr>
          <w:p w14:paraId="7E45BE36">
            <w:pPr>
              <w:widowControl/>
              <w:jc w:val="center"/>
              <w:rPr>
                <w:rFonts w:ascii="微软雅黑" w:hAnsi="微软雅黑" w:eastAsia="微软雅黑" w:cs="宋体"/>
                <w:kern w:val="0"/>
                <w:sz w:val="24"/>
                <w:szCs w:val="24"/>
              </w:rPr>
            </w:pPr>
            <w:r>
              <w:rPr>
                <w:rFonts w:hint="eastAsia" w:ascii="黑体" w:hAnsi="黑体" w:eastAsia="黑体" w:cs="宋体"/>
                <w:kern w:val="0"/>
                <w:sz w:val="36"/>
                <w:szCs w:val="36"/>
              </w:rPr>
              <w:t>浙江省公安机关兼职督察员工作规定（试行）</w:t>
            </w:r>
          </w:p>
        </w:tc>
      </w:tr>
    </w:tbl>
    <w:p w14:paraId="6F7BB23E">
      <w:pPr>
        <w:widowControl/>
        <w:jc w:val="left"/>
        <w:rPr>
          <w:rFonts w:ascii="宋体" w:hAnsi="宋体" w:eastAsia="宋体" w:cs="宋体"/>
          <w:vanish/>
          <w:kern w:val="0"/>
          <w:sz w:val="24"/>
          <w:szCs w:val="24"/>
        </w:rPr>
      </w:pPr>
    </w:p>
    <w:tbl>
      <w:tblPr>
        <w:tblStyle w:val="3"/>
        <w:tblW w:w="9000" w:type="dxa"/>
        <w:jc w:val="center"/>
        <w:tblCellSpacing w:w="15" w:type="dxa"/>
        <w:shd w:val="clear" w:color="auto" w:fill="FFFFFF"/>
        <w:tblLayout w:type="autofit"/>
        <w:tblCellMar>
          <w:top w:w="15" w:type="dxa"/>
          <w:left w:w="15" w:type="dxa"/>
          <w:bottom w:w="15" w:type="dxa"/>
          <w:right w:w="15" w:type="dxa"/>
        </w:tblCellMar>
      </w:tblPr>
      <w:tblGrid>
        <w:gridCol w:w="9000"/>
      </w:tblGrid>
      <w:tr w14:paraId="30B199B9">
        <w:tblPrEx>
          <w:tblCellMar>
            <w:top w:w="15" w:type="dxa"/>
            <w:left w:w="15" w:type="dxa"/>
            <w:bottom w:w="15" w:type="dxa"/>
            <w:right w:w="15" w:type="dxa"/>
          </w:tblCellMar>
        </w:tblPrEx>
        <w:trPr>
          <w:tblCellSpacing w:w="15" w:type="dxa"/>
          <w:jc w:val="center"/>
        </w:trPr>
        <w:tc>
          <w:tcPr>
            <w:tcW w:w="0" w:type="auto"/>
            <w:shd w:val="clear" w:color="auto" w:fill="FFFFFF"/>
            <w:vAlign w:val="center"/>
          </w:tcPr>
          <w:p w14:paraId="2E9B2175">
            <w:pPr>
              <w:widowControl/>
              <w:wordWrap w:val="0"/>
              <w:ind w:firstLine="640"/>
              <w:jc w:val="center"/>
              <w:rPr>
                <w:rFonts w:ascii="宋体" w:hAnsi="宋体" w:eastAsia="宋体" w:cs="宋体"/>
                <w:kern w:val="0"/>
                <w:sz w:val="24"/>
                <w:szCs w:val="24"/>
              </w:rPr>
            </w:pPr>
            <w:bookmarkStart w:id="0" w:name="_GoBack"/>
            <w:bookmarkEnd w:id="0"/>
            <w:r>
              <w:rPr>
                <w:rFonts w:hint="eastAsia" w:ascii="黑体" w:hAnsi="黑体" w:eastAsia="黑体" w:cs="宋体"/>
                <w:kern w:val="0"/>
                <w:sz w:val="32"/>
                <w:szCs w:val="32"/>
              </w:rPr>
              <w:t>第一章</w:t>
            </w:r>
            <w:r>
              <w:rPr>
                <w:rFonts w:ascii="Calibri" w:hAnsi="Calibri" w:eastAsia="黑体" w:cs="Calibri"/>
                <w:kern w:val="0"/>
                <w:sz w:val="32"/>
                <w:szCs w:val="32"/>
              </w:rPr>
              <w:t>  </w:t>
            </w:r>
            <w:r>
              <w:rPr>
                <w:rFonts w:hint="eastAsia" w:ascii="黑体" w:hAnsi="黑体" w:eastAsia="黑体" w:cs="宋体"/>
                <w:kern w:val="0"/>
                <w:sz w:val="32"/>
                <w:szCs w:val="32"/>
              </w:rPr>
              <w:t>总</w:t>
            </w:r>
            <w:r>
              <w:rPr>
                <w:rFonts w:ascii="Calibri" w:hAnsi="Calibri" w:eastAsia="黑体" w:cs="Calibri"/>
                <w:kern w:val="0"/>
                <w:sz w:val="32"/>
                <w:szCs w:val="32"/>
              </w:rPr>
              <w:t>  </w:t>
            </w:r>
            <w:r>
              <w:rPr>
                <w:rFonts w:hint="eastAsia" w:ascii="黑体" w:hAnsi="黑体" w:eastAsia="黑体" w:cs="宋体"/>
                <w:kern w:val="0"/>
                <w:sz w:val="32"/>
                <w:szCs w:val="32"/>
              </w:rPr>
              <w:t>则</w:t>
            </w:r>
          </w:p>
          <w:p w14:paraId="27F29244">
            <w:pPr>
              <w:widowControl/>
              <w:wordWrap w:val="0"/>
              <w:ind w:firstLine="640"/>
              <w:jc w:val="center"/>
              <w:rPr>
                <w:rFonts w:ascii="宋体" w:hAnsi="宋体" w:eastAsia="宋体" w:cs="宋体"/>
                <w:kern w:val="0"/>
                <w:sz w:val="24"/>
                <w:szCs w:val="24"/>
              </w:rPr>
            </w:pPr>
            <w:r>
              <w:rPr>
                <w:rFonts w:ascii="Calibri" w:hAnsi="Calibri" w:eastAsia="仿宋" w:cs="Calibri"/>
                <w:kern w:val="0"/>
                <w:sz w:val="32"/>
                <w:szCs w:val="32"/>
              </w:rPr>
              <w:t> </w:t>
            </w:r>
          </w:p>
          <w:p w14:paraId="2C92F76B">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第一条</w:t>
            </w:r>
            <w:r>
              <w:rPr>
                <w:rFonts w:ascii="Calibri" w:hAnsi="Calibri" w:eastAsia="仿宋" w:cs="Calibri"/>
                <w:kern w:val="0"/>
                <w:sz w:val="32"/>
                <w:szCs w:val="32"/>
              </w:rPr>
              <w:t>  </w:t>
            </w:r>
            <w:r>
              <w:rPr>
                <w:rFonts w:hint="eastAsia" w:ascii="仿宋" w:hAnsi="仿宋" w:eastAsia="仿宋" w:cs="宋体"/>
                <w:kern w:val="0"/>
                <w:sz w:val="32"/>
                <w:szCs w:val="32"/>
              </w:rPr>
              <w:t>为进一步健全和完善公安机关内部监督制约机制，优化警务督察运行模式，充分发挥警务督察部门督促抓落实的职能作用，切实推动公安机关所属部门（单位）认真履行业务工作和队伍建设的主体责任，根据《公安机关督察条例》等规定，结合我省警务督察工作实际，制定本规定。</w:t>
            </w:r>
          </w:p>
          <w:p w14:paraId="6A84FD42">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第二条</w:t>
            </w:r>
            <w:r>
              <w:rPr>
                <w:rFonts w:ascii="Calibri" w:hAnsi="Calibri" w:eastAsia="仿宋" w:cs="Calibri"/>
                <w:kern w:val="0"/>
                <w:sz w:val="32"/>
                <w:szCs w:val="32"/>
              </w:rPr>
              <w:t>  </w:t>
            </w:r>
            <w:r>
              <w:rPr>
                <w:rFonts w:hint="eastAsia" w:ascii="仿宋" w:hAnsi="仿宋" w:eastAsia="仿宋" w:cs="宋体"/>
                <w:kern w:val="0"/>
                <w:sz w:val="32"/>
                <w:szCs w:val="32"/>
              </w:rPr>
              <w:t>本规定所称兼职督察员，是指由各级公安机关所属部门（单位）推荐，对本部门（单位）及其民警、辅警履行职责、行使职权和遵守纪律等情况进行监督的人员。</w:t>
            </w:r>
          </w:p>
          <w:p w14:paraId="4D238B98">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第三条</w:t>
            </w:r>
            <w:r>
              <w:rPr>
                <w:rFonts w:ascii="Calibri" w:hAnsi="Calibri" w:eastAsia="仿宋" w:cs="Calibri"/>
                <w:kern w:val="0"/>
                <w:sz w:val="32"/>
                <w:szCs w:val="32"/>
              </w:rPr>
              <w:t>  </w:t>
            </w:r>
            <w:r>
              <w:rPr>
                <w:rFonts w:hint="eastAsia" w:ascii="仿宋" w:hAnsi="仿宋" w:eastAsia="仿宋" w:cs="宋体"/>
                <w:kern w:val="0"/>
                <w:sz w:val="32"/>
                <w:szCs w:val="32"/>
              </w:rPr>
              <w:t>兼职督察员工作是警务督察工作的重要组成部分，受本部门（单位）和同级警务督察部门监督。上级公安机关警务督察部门对下级公安机关兼职督察员工作情况进行指导和监督。</w:t>
            </w:r>
          </w:p>
          <w:p w14:paraId="60BC06E3">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75EDE464">
            <w:pPr>
              <w:widowControl/>
              <w:wordWrap w:val="0"/>
              <w:ind w:firstLine="640"/>
              <w:jc w:val="center"/>
              <w:rPr>
                <w:rFonts w:ascii="宋体" w:hAnsi="宋体" w:eastAsia="宋体" w:cs="宋体"/>
                <w:kern w:val="0"/>
                <w:sz w:val="24"/>
                <w:szCs w:val="24"/>
              </w:rPr>
            </w:pPr>
            <w:r>
              <w:rPr>
                <w:rFonts w:hint="eastAsia" w:ascii="黑体" w:hAnsi="黑体" w:eastAsia="黑体" w:cs="宋体"/>
                <w:kern w:val="0"/>
                <w:sz w:val="32"/>
                <w:szCs w:val="32"/>
              </w:rPr>
              <w:t>第二章</w:t>
            </w:r>
            <w:r>
              <w:rPr>
                <w:rFonts w:ascii="Calibri" w:hAnsi="Calibri" w:eastAsia="黑体" w:cs="Calibri"/>
                <w:kern w:val="0"/>
                <w:sz w:val="32"/>
                <w:szCs w:val="32"/>
              </w:rPr>
              <w:t>  </w:t>
            </w:r>
            <w:r>
              <w:rPr>
                <w:rFonts w:hint="eastAsia" w:ascii="黑体" w:hAnsi="黑体" w:eastAsia="黑体" w:cs="宋体"/>
                <w:kern w:val="0"/>
                <w:sz w:val="32"/>
                <w:szCs w:val="32"/>
              </w:rPr>
              <w:t>人员选任</w:t>
            </w:r>
          </w:p>
          <w:p w14:paraId="434F2569">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67FCA869">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第四条</w:t>
            </w:r>
            <w:r>
              <w:rPr>
                <w:rFonts w:ascii="Calibri" w:hAnsi="Calibri" w:eastAsia="仿宋" w:cs="Calibri"/>
                <w:kern w:val="0"/>
                <w:sz w:val="32"/>
                <w:szCs w:val="32"/>
              </w:rPr>
              <w:t>  </w:t>
            </w:r>
            <w:r>
              <w:rPr>
                <w:rFonts w:hint="eastAsia" w:ascii="仿宋" w:hAnsi="仿宋" w:eastAsia="仿宋" w:cs="宋体"/>
                <w:kern w:val="0"/>
                <w:sz w:val="32"/>
                <w:szCs w:val="32"/>
              </w:rPr>
              <w:t>各级公安机关所属部门（单位）应选配至少2名民警任兼职督察员，其中1名应当为部门（单位）分管政工工作领导，报同级警务督察部门备案。</w:t>
            </w:r>
          </w:p>
          <w:p w14:paraId="1405CF05">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第五条</w:t>
            </w:r>
            <w:r>
              <w:rPr>
                <w:rFonts w:ascii="Calibri" w:hAnsi="Calibri" w:eastAsia="仿宋" w:cs="Calibri"/>
                <w:kern w:val="0"/>
                <w:sz w:val="32"/>
                <w:szCs w:val="32"/>
              </w:rPr>
              <w:t>  </w:t>
            </w:r>
            <w:r>
              <w:rPr>
                <w:rFonts w:hint="eastAsia" w:ascii="仿宋" w:hAnsi="仿宋" w:eastAsia="仿宋" w:cs="宋体"/>
                <w:kern w:val="0"/>
                <w:sz w:val="32"/>
                <w:szCs w:val="32"/>
              </w:rPr>
              <w:t>兼职督察员应当具备以下条件：</w:t>
            </w:r>
          </w:p>
          <w:p w14:paraId="6728753D">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（一）政治过硬，坚持原则，清正廉洁，严守纪律；</w:t>
            </w:r>
          </w:p>
          <w:p w14:paraId="03E7C4CC">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（二）具有较高的政策水平和法律知识，熟悉本部门业务和队伍情况；</w:t>
            </w:r>
          </w:p>
          <w:p w14:paraId="3942CAD2">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（三）具有3年以上公安工作经历和一定的组织协调能力；</w:t>
            </w:r>
          </w:p>
          <w:p w14:paraId="6BBD7682">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（四）无违规违纪情形。</w:t>
            </w:r>
          </w:p>
          <w:p w14:paraId="6A82F6D4">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327C222D">
            <w:pPr>
              <w:widowControl/>
              <w:wordWrap w:val="0"/>
              <w:ind w:firstLine="640"/>
              <w:jc w:val="center"/>
              <w:rPr>
                <w:rFonts w:ascii="宋体" w:hAnsi="宋体" w:eastAsia="宋体" w:cs="宋体"/>
                <w:kern w:val="0"/>
                <w:sz w:val="24"/>
                <w:szCs w:val="24"/>
              </w:rPr>
            </w:pPr>
            <w:r>
              <w:rPr>
                <w:rFonts w:hint="eastAsia" w:ascii="黑体" w:hAnsi="黑体" w:eastAsia="黑体" w:cs="宋体"/>
                <w:kern w:val="0"/>
                <w:sz w:val="32"/>
                <w:szCs w:val="32"/>
              </w:rPr>
              <w:t>第三章</w:t>
            </w:r>
            <w:r>
              <w:rPr>
                <w:rFonts w:ascii="Calibri" w:hAnsi="Calibri" w:eastAsia="黑体" w:cs="Calibri"/>
                <w:kern w:val="0"/>
                <w:sz w:val="32"/>
                <w:szCs w:val="32"/>
              </w:rPr>
              <w:t>  </w:t>
            </w:r>
            <w:r>
              <w:rPr>
                <w:rFonts w:hint="eastAsia" w:ascii="黑体" w:hAnsi="黑体" w:eastAsia="黑体" w:cs="宋体"/>
                <w:kern w:val="0"/>
                <w:sz w:val="32"/>
                <w:szCs w:val="32"/>
              </w:rPr>
              <w:t>职责任务</w:t>
            </w:r>
          </w:p>
          <w:p w14:paraId="38CB2C97">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64E2BA85">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第六条</w:t>
            </w:r>
            <w:r>
              <w:rPr>
                <w:rFonts w:ascii="Calibri" w:hAnsi="Calibri" w:eastAsia="仿宋" w:cs="Calibri"/>
                <w:kern w:val="0"/>
                <w:sz w:val="32"/>
                <w:szCs w:val="32"/>
              </w:rPr>
              <w:t>  </w:t>
            </w:r>
            <w:r>
              <w:rPr>
                <w:rFonts w:hint="eastAsia" w:ascii="仿宋" w:hAnsi="仿宋" w:eastAsia="仿宋" w:cs="宋体"/>
                <w:kern w:val="0"/>
                <w:sz w:val="32"/>
                <w:szCs w:val="32"/>
              </w:rPr>
              <w:t>兼职督察员具体职责任务是：</w:t>
            </w:r>
          </w:p>
          <w:p w14:paraId="3CD26CFB">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（一）对本级公安机关中心工作和重大警务部署落实情况进行监督检查，确保政令执行、警令畅通；</w:t>
            </w:r>
          </w:p>
          <w:p w14:paraId="0EBA6234">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（二）对本部门（单位）和民警、辅警开展管理服务和执法执勤情况进行监督检查，确保服务到位、执法规范；</w:t>
            </w:r>
          </w:p>
          <w:p w14:paraId="0E7413FE">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（三）对本部门（单位）和民警、辅警队伍内部管理、遵纪守法情况进行监督检查，确保队伍廉洁自律、纪律严格；</w:t>
            </w:r>
          </w:p>
          <w:p w14:paraId="521471AD">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（四）协助同级警务督察部门跟踪督办侵犯本部门（单位）民警、辅警执法权威的案件办理情况；</w:t>
            </w:r>
          </w:p>
          <w:p w14:paraId="739FBCD6">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（五）运用网上平台、APP等信息化督察手段加强督导检查，推动督导及整改情况实行全量上网、闭环运行；</w:t>
            </w:r>
          </w:p>
          <w:p w14:paraId="7337EA27">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（六）完成同级警务督察部门交办的其他任务。</w:t>
            </w:r>
          </w:p>
          <w:p w14:paraId="598BE7BB">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31427607">
            <w:pPr>
              <w:widowControl/>
              <w:wordWrap w:val="0"/>
              <w:ind w:firstLine="640"/>
              <w:jc w:val="center"/>
              <w:rPr>
                <w:rFonts w:ascii="宋体" w:hAnsi="宋体" w:eastAsia="宋体" w:cs="宋体"/>
                <w:kern w:val="0"/>
                <w:sz w:val="24"/>
                <w:szCs w:val="24"/>
              </w:rPr>
            </w:pPr>
            <w:r>
              <w:rPr>
                <w:rFonts w:hint="eastAsia" w:ascii="黑体" w:hAnsi="黑体" w:eastAsia="黑体" w:cs="宋体"/>
                <w:kern w:val="0"/>
                <w:sz w:val="32"/>
                <w:szCs w:val="32"/>
              </w:rPr>
              <w:t>第四章</w:t>
            </w:r>
            <w:r>
              <w:rPr>
                <w:rFonts w:ascii="Calibri" w:hAnsi="Calibri" w:eastAsia="黑体" w:cs="Calibri"/>
                <w:kern w:val="0"/>
                <w:sz w:val="32"/>
                <w:szCs w:val="32"/>
              </w:rPr>
              <w:t>  </w:t>
            </w:r>
            <w:r>
              <w:rPr>
                <w:rFonts w:hint="eastAsia" w:ascii="黑体" w:hAnsi="黑体" w:eastAsia="黑体" w:cs="宋体"/>
                <w:kern w:val="0"/>
                <w:sz w:val="32"/>
                <w:szCs w:val="32"/>
              </w:rPr>
              <w:t>工作运行</w:t>
            </w:r>
          </w:p>
          <w:p w14:paraId="228C835B">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0CC08602">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第七条</w:t>
            </w:r>
            <w:r>
              <w:rPr>
                <w:rFonts w:ascii="Calibri" w:hAnsi="Calibri" w:eastAsia="仿宋" w:cs="Calibri"/>
                <w:kern w:val="0"/>
                <w:sz w:val="32"/>
                <w:szCs w:val="32"/>
              </w:rPr>
              <w:t>  </w:t>
            </w:r>
            <w:r>
              <w:rPr>
                <w:rFonts w:hint="eastAsia" w:ascii="仿宋" w:hAnsi="仿宋" w:eastAsia="仿宋" w:cs="宋体"/>
                <w:kern w:val="0"/>
                <w:sz w:val="32"/>
                <w:szCs w:val="32"/>
              </w:rPr>
              <w:t>经同级警务督察部门审批同意，兼职督察员可以根据职责任务并结合工作实际，对本部门（单位）和民警、辅警依法履行职责、行使职权、遵守纪律情况开展明查暗访。</w:t>
            </w:r>
          </w:p>
          <w:p w14:paraId="2EC246E3">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第八条</w:t>
            </w:r>
            <w:r>
              <w:rPr>
                <w:rFonts w:ascii="Calibri" w:hAnsi="Calibri" w:eastAsia="仿宋" w:cs="Calibri"/>
                <w:kern w:val="0"/>
                <w:sz w:val="32"/>
                <w:szCs w:val="32"/>
              </w:rPr>
              <w:t>  </w:t>
            </w:r>
            <w:r>
              <w:rPr>
                <w:rFonts w:hint="eastAsia" w:ascii="仿宋" w:hAnsi="仿宋" w:eastAsia="仿宋" w:cs="宋体"/>
                <w:kern w:val="0"/>
                <w:sz w:val="32"/>
                <w:szCs w:val="32"/>
              </w:rPr>
              <w:t>兼职督察员对工作中发现的问题，可以按照以下规定进行处置：</w:t>
            </w:r>
          </w:p>
          <w:p w14:paraId="4C74CAE5">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（一）情节显著轻微的，当场责令整改；</w:t>
            </w:r>
          </w:p>
          <w:p w14:paraId="62AD61CB">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（二）需要扣留相关武器、装备，或对民警、辅警采取带离现场措施的，应当报由同级警务警务督察部门进行处置；</w:t>
            </w:r>
          </w:p>
          <w:p w14:paraId="4A079B73">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（三）发现民警或辅警涉嫌违法违纪的，应当报由同级警务督察、纪检监察部门进行处置；</w:t>
            </w:r>
          </w:p>
          <w:p w14:paraId="685513C1">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（四）对涉及本部门（单位）以外的违规、违法或违纪行为，应当及时报告同级警务督察部门。</w:t>
            </w:r>
          </w:p>
          <w:p w14:paraId="3774A457">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第九条</w:t>
            </w:r>
            <w:r>
              <w:rPr>
                <w:rFonts w:hint="eastAsia" w:ascii="仿宋" w:hAnsi="仿宋" w:eastAsia="仿宋" w:cs="宋体"/>
                <w:kern w:val="0"/>
                <w:sz w:val="32"/>
                <w:szCs w:val="32"/>
              </w:rPr>
              <w:t>　对兼职督察员前期发现并已落实整改的督察问题，已经逐级报告省厅警务督察总队备案的，同一年度全省综合督查如有发现，则不予通报。</w:t>
            </w:r>
          </w:p>
          <w:p w14:paraId="7C9DBD69">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20FB9CD4">
            <w:pPr>
              <w:widowControl/>
              <w:wordWrap w:val="0"/>
              <w:ind w:firstLine="640"/>
              <w:jc w:val="center"/>
              <w:rPr>
                <w:rFonts w:ascii="宋体" w:hAnsi="宋体" w:eastAsia="宋体" w:cs="宋体"/>
                <w:kern w:val="0"/>
                <w:sz w:val="24"/>
                <w:szCs w:val="24"/>
              </w:rPr>
            </w:pPr>
            <w:r>
              <w:rPr>
                <w:rFonts w:hint="eastAsia" w:ascii="黑体" w:hAnsi="黑体" w:eastAsia="黑体" w:cs="宋体"/>
                <w:kern w:val="0"/>
                <w:sz w:val="32"/>
                <w:szCs w:val="32"/>
              </w:rPr>
              <w:t>第五章</w:t>
            </w:r>
            <w:r>
              <w:rPr>
                <w:rFonts w:ascii="Calibri" w:hAnsi="Calibri" w:eastAsia="黑体" w:cs="Calibri"/>
                <w:kern w:val="0"/>
                <w:sz w:val="32"/>
                <w:szCs w:val="32"/>
              </w:rPr>
              <w:t>  </w:t>
            </w:r>
            <w:r>
              <w:rPr>
                <w:rFonts w:hint="eastAsia" w:ascii="黑体" w:hAnsi="黑体" w:eastAsia="黑体" w:cs="宋体"/>
                <w:kern w:val="0"/>
                <w:sz w:val="32"/>
                <w:szCs w:val="32"/>
              </w:rPr>
              <w:t>日常管理</w:t>
            </w:r>
          </w:p>
          <w:p w14:paraId="58AFEFBA">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10B6CEC9">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第十条</w:t>
            </w:r>
            <w:r>
              <w:rPr>
                <w:rFonts w:hint="eastAsia" w:ascii="仿宋" w:hAnsi="仿宋" w:eastAsia="仿宋" w:cs="宋体"/>
                <w:kern w:val="0"/>
                <w:sz w:val="32"/>
                <w:szCs w:val="32"/>
              </w:rPr>
              <w:t>　各级公安机关警务督察部门应当加强对本级兼职督察员的督察业务指导和工作培训，建立相应工作制度和管理台账，实行规范化运行。</w:t>
            </w:r>
          </w:p>
          <w:p w14:paraId="7786B2BC">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第十一条</w:t>
            </w:r>
            <w:r>
              <w:rPr>
                <w:rFonts w:hint="eastAsia" w:ascii="仿宋" w:hAnsi="仿宋" w:eastAsia="仿宋" w:cs="宋体"/>
                <w:kern w:val="0"/>
                <w:sz w:val="32"/>
                <w:szCs w:val="32"/>
              </w:rPr>
              <w:t>　各级公安机关警务督察部门应当定期听取兼职督察员督察工作情况，适时组织兼职督察员开展专项督察、交叉督察。</w:t>
            </w:r>
          </w:p>
          <w:p w14:paraId="0E15A6F1">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第十二条</w:t>
            </w:r>
            <w:r>
              <w:rPr>
                <w:rFonts w:hint="eastAsia" w:ascii="仿宋" w:hAnsi="仿宋" w:eastAsia="仿宋" w:cs="宋体"/>
                <w:kern w:val="0"/>
                <w:sz w:val="32"/>
                <w:szCs w:val="32"/>
              </w:rPr>
              <w:t>　各级公安机关部门（单位）要积极支持兼职督察员开展工作，提供必要的工作保障。</w:t>
            </w:r>
          </w:p>
          <w:p w14:paraId="2EC2844E">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第十三条</w:t>
            </w:r>
            <w:r>
              <w:rPr>
                <w:rFonts w:hint="eastAsia" w:ascii="仿宋" w:hAnsi="仿宋" w:eastAsia="仿宋" w:cs="宋体"/>
                <w:kern w:val="0"/>
                <w:sz w:val="32"/>
                <w:szCs w:val="32"/>
              </w:rPr>
              <w:t>　兼职督察员工作情况应当纳入本级公安机关工作考核。对工作认真负责、表现突出的兼职督察员，应当按照规定予以表彰奖励。</w:t>
            </w:r>
          </w:p>
          <w:p w14:paraId="4A664008">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459CFF47">
            <w:pPr>
              <w:widowControl/>
              <w:wordWrap w:val="0"/>
              <w:ind w:firstLine="640"/>
              <w:jc w:val="center"/>
              <w:rPr>
                <w:rFonts w:ascii="宋体" w:hAnsi="宋体" w:eastAsia="宋体" w:cs="宋体"/>
                <w:kern w:val="0"/>
                <w:sz w:val="24"/>
                <w:szCs w:val="24"/>
              </w:rPr>
            </w:pPr>
            <w:r>
              <w:rPr>
                <w:rFonts w:hint="eastAsia" w:ascii="黑体" w:hAnsi="黑体" w:eastAsia="黑体" w:cs="宋体"/>
                <w:kern w:val="0"/>
                <w:sz w:val="32"/>
                <w:szCs w:val="32"/>
              </w:rPr>
              <w:t>第六章</w:t>
            </w:r>
            <w:r>
              <w:rPr>
                <w:rFonts w:ascii="Calibri" w:hAnsi="Calibri" w:eastAsia="黑体" w:cs="Calibri"/>
                <w:kern w:val="0"/>
                <w:sz w:val="32"/>
                <w:szCs w:val="32"/>
              </w:rPr>
              <w:t>  </w:t>
            </w:r>
            <w:r>
              <w:rPr>
                <w:rFonts w:hint="eastAsia" w:ascii="黑体" w:hAnsi="黑体" w:eastAsia="黑体" w:cs="宋体"/>
                <w:kern w:val="0"/>
                <w:sz w:val="32"/>
                <w:szCs w:val="32"/>
              </w:rPr>
              <w:t>工作纪律</w:t>
            </w:r>
          </w:p>
          <w:p w14:paraId="5CCBADF3">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1D6A2D56">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第十四条</w:t>
            </w:r>
            <w:r>
              <w:rPr>
                <w:rFonts w:hint="eastAsia" w:ascii="仿宋" w:hAnsi="仿宋" w:eastAsia="仿宋" w:cs="宋体"/>
                <w:kern w:val="0"/>
                <w:sz w:val="32"/>
                <w:szCs w:val="32"/>
              </w:rPr>
              <w:t>　各级公安机关及其民警、辅警应当自觉接受、服从、配合本级兼职督察员的监督管理。</w:t>
            </w:r>
          </w:p>
          <w:p w14:paraId="3A206E89">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第十五条</w:t>
            </w:r>
            <w:r>
              <w:rPr>
                <w:rFonts w:hint="eastAsia" w:ascii="仿宋" w:hAnsi="仿宋" w:eastAsia="仿宋" w:cs="宋体"/>
                <w:kern w:val="0"/>
                <w:sz w:val="32"/>
                <w:szCs w:val="32"/>
              </w:rPr>
              <w:t>　对兼职督察员在工作中发现的问题，被检查单位或民警、辅警必须认真查纠整改，并在限定时间内报告整改结果。</w:t>
            </w:r>
          </w:p>
          <w:p w14:paraId="05026705">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第十六条</w:t>
            </w:r>
            <w:r>
              <w:rPr>
                <w:rFonts w:hint="eastAsia" w:ascii="仿宋" w:hAnsi="仿宋" w:eastAsia="仿宋" w:cs="宋体"/>
                <w:kern w:val="0"/>
                <w:sz w:val="32"/>
                <w:szCs w:val="32"/>
              </w:rPr>
              <w:t>　被检查单位或民警、辅警有下列行为之一的，应当责令检讨或者通报批评；情节严重的，依法依纪追究相关人员责任。</w:t>
            </w:r>
          </w:p>
          <w:p w14:paraId="44D7E844">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（一）拒绝、阻碍兼职督察员工作的；</w:t>
            </w:r>
          </w:p>
          <w:p w14:paraId="39CDB0E7">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（二）对兼职督察员指出问题拒不整改的，或者无正当理由拒不采纳督察建议的；</w:t>
            </w:r>
          </w:p>
          <w:p w14:paraId="65B3DAEE">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（三）打击、报复兼职督察员的；</w:t>
            </w:r>
          </w:p>
          <w:p w14:paraId="6AE3D157">
            <w:pPr>
              <w:widowControl/>
              <w:wordWrap w:val="0"/>
              <w:ind w:firstLine="640"/>
              <w:rPr>
                <w:rFonts w:ascii="宋体" w:hAnsi="宋体" w:eastAsia="宋体" w:cs="宋体"/>
                <w:kern w:val="0"/>
                <w:sz w:val="24"/>
                <w:szCs w:val="24"/>
              </w:rPr>
            </w:pPr>
            <w:r>
              <w:rPr>
                <w:rFonts w:hint="eastAsia" w:ascii="仿宋" w:hAnsi="仿宋" w:eastAsia="仿宋" w:cs="宋体"/>
                <w:kern w:val="0"/>
                <w:sz w:val="32"/>
                <w:szCs w:val="32"/>
              </w:rPr>
              <w:t>（四）其他严重影响兼职督察员工作正常进行的。</w:t>
            </w:r>
          </w:p>
          <w:p w14:paraId="5F6E667E">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第十七条</w:t>
            </w:r>
            <w:r>
              <w:rPr>
                <w:rFonts w:hint="eastAsia" w:ascii="仿宋" w:hAnsi="仿宋" w:eastAsia="仿宋" w:cs="宋体"/>
                <w:kern w:val="0"/>
                <w:sz w:val="32"/>
                <w:szCs w:val="32"/>
              </w:rPr>
              <w:t>　对兼职督察员指出的问题或提出的督察建议不服的，被检查单位或民警、辅警可以向同级警务督察部门提出申诉。经核查认定兼职督察员的工作存在不当的，应当及时予以纠正。</w:t>
            </w:r>
          </w:p>
          <w:p w14:paraId="52984ABA">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第十八条</w:t>
            </w:r>
            <w:r>
              <w:rPr>
                <w:rFonts w:hint="eastAsia" w:ascii="仿宋" w:hAnsi="仿宋" w:eastAsia="仿宋" w:cs="宋体"/>
                <w:kern w:val="0"/>
                <w:sz w:val="32"/>
                <w:szCs w:val="32"/>
              </w:rPr>
              <w:t>　兼职督察员要坚持求真务实、谦虚谨慎的工作作风，以人为本，尊重基层，关爱民警，依法、文明、理性、平和地开展工作，模范遵守各项警规警纪，主动接受社会各界、人民群众和被检查对象的监督。</w:t>
            </w:r>
          </w:p>
          <w:p w14:paraId="3E8F0D29">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第十九条</w:t>
            </w:r>
            <w:r>
              <w:rPr>
                <w:rFonts w:hint="eastAsia" w:ascii="仿宋" w:hAnsi="仿宋" w:eastAsia="仿宋" w:cs="宋体"/>
                <w:kern w:val="0"/>
                <w:sz w:val="32"/>
                <w:szCs w:val="32"/>
              </w:rPr>
              <w:t>　兼职督察员有对工作不负责任或不能胜任工作的，应当及时予以调整；有违法违纪情形的，按照有关规定追究责任。</w:t>
            </w:r>
          </w:p>
          <w:p w14:paraId="099996EA">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02145D6F">
            <w:pPr>
              <w:widowControl/>
              <w:wordWrap w:val="0"/>
              <w:ind w:firstLine="640"/>
              <w:jc w:val="center"/>
              <w:rPr>
                <w:rFonts w:ascii="宋体" w:hAnsi="宋体" w:eastAsia="宋体" w:cs="宋体"/>
                <w:kern w:val="0"/>
                <w:sz w:val="24"/>
                <w:szCs w:val="24"/>
              </w:rPr>
            </w:pPr>
            <w:r>
              <w:rPr>
                <w:rFonts w:hint="eastAsia" w:ascii="黑体" w:hAnsi="黑体" w:eastAsia="黑体" w:cs="宋体"/>
                <w:kern w:val="0"/>
                <w:sz w:val="32"/>
                <w:szCs w:val="32"/>
              </w:rPr>
              <w:t>第七章</w:t>
            </w:r>
            <w:r>
              <w:rPr>
                <w:rFonts w:ascii="Calibri" w:hAnsi="Calibri" w:eastAsia="黑体" w:cs="Calibri"/>
                <w:kern w:val="0"/>
                <w:sz w:val="32"/>
                <w:szCs w:val="32"/>
              </w:rPr>
              <w:t>  </w:t>
            </w:r>
            <w:r>
              <w:rPr>
                <w:rFonts w:hint="eastAsia" w:ascii="黑体" w:hAnsi="黑体" w:eastAsia="黑体" w:cs="宋体"/>
                <w:kern w:val="0"/>
                <w:sz w:val="32"/>
                <w:szCs w:val="32"/>
              </w:rPr>
              <w:t>附</w:t>
            </w:r>
            <w:r>
              <w:rPr>
                <w:rFonts w:ascii="Calibri" w:hAnsi="Calibri" w:eastAsia="黑体" w:cs="Calibri"/>
                <w:kern w:val="0"/>
                <w:sz w:val="32"/>
                <w:szCs w:val="32"/>
              </w:rPr>
              <w:t>  </w:t>
            </w:r>
            <w:r>
              <w:rPr>
                <w:rFonts w:hint="eastAsia" w:ascii="黑体" w:hAnsi="黑体" w:eastAsia="黑体" w:cs="宋体"/>
                <w:kern w:val="0"/>
                <w:sz w:val="32"/>
                <w:szCs w:val="32"/>
              </w:rPr>
              <w:t>则</w:t>
            </w:r>
          </w:p>
          <w:p w14:paraId="211C1656">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p w14:paraId="09532B41">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第二十条</w:t>
            </w:r>
            <w:r>
              <w:rPr>
                <w:rFonts w:hint="eastAsia" w:ascii="仿宋" w:hAnsi="仿宋" w:eastAsia="仿宋" w:cs="宋体"/>
                <w:kern w:val="0"/>
                <w:sz w:val="32"/>
                <w:szCs w:val="32"/>
              </w:rPr>
              <w:t>　本规定由浙江省公安厅警务督察总队负责解释。</w:t>
            </w:r>
          </w:p>
          <w:p w14:paraId="245E1699">
            <w:pPr>
              <w:widowControl/>
              <w:wordWrap w:val="0"/>
              <w:ind w:firstLine="640"/>
              <w:rPr>
                <w:rFonts w:ascii="宋体" w:hAnsi="宋体" w:eastAsia="宋体" w:cs="宋体"/>
                <w:kern w:val="0"/>
                <w:sz w:val="24"/>
                <w:szCs w:val="24"/>
              </w:rPr>
            </w:pPr>
            <w:r>
              <w:rPr>
                <w:rFonts w:hint="eastAsia" w:ascii="黑体" w:hAnsi="黑体" w:eastAsia="黑体" w:cs="宋体"/>
                <w:kern w:val="0"/>
                <w:sz w:val="32"/>
                <w:szCs w:val="32"/>
              </w:rPr>
              <w:t>第二十一条</w:t>
            </w:r>
            <w:r>
              <w:rPr>
                <w:rFonts w:hint="eastAsia" w:ascii="仿宋" w:hAnsi="仿宋" w:eastAsia="仿宋" w:cs="宋体"/>
                <w:kern w:val="0"/>
                <w:sz w:val="32"/>
                <w:szCs w:val="32"/>
              </w:rPr>
              <w:t>　本规定自发布之日起施行。</w:t>
            </w:r>
          </w:p>
          <w:p w14:paraId="7AFA8160">
            <w:pPr>
              <w:widowControl/>
              <w:wordWrap w:val="0"/>
              <w:ind w:firstLine="640"/>
              <w:rPr>
                <w:rFonts w:ascii="宋体" w:hAnsi="宋体" w:eastAsia="宋体" w:cs="宋体"/>
                <w:kern w:val="0"/>
                <w:sz w:val="24"/>
                <w:szCs w:val="24"/>
              </w:rPr>
            </w:pPr>
            <w:r>
              <w:rPr>
                <w:rFonts w:ascii="Calibri" w:hAnsi="Calibri" w:eastAsia="仿宋" w:cs="Calibri"/>
                <w:kern w:val="0"/>
                <w:sz w:val="32"/>
                <w:szCs w:val="32"/>
              </w:rPr>
              <w:t> </w:t>
            </w:r>
          </w:p>
        </w:tc>
      </w:tr>
    </w:tbl>
    <w:p w14:paraId="562785A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小标宋_GBK">
    <w:altName w:val="微软雅黑"/>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7E5"/>
    <w:rsid w:val="00355597"/>
    <w:rsid w:val="009817E5"/>
    <w:rsid w:val="00ED098A"/>
    <w:rsid w:val="024D1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1970</Words>
  <Characters>1976</Characters>
  <Lines>15</Lines>
  <Paragraphs>4</Paragraphs>
  <TotalTime>1</TotalTime>
  <ScaleCrop>false</ScaleCrop>
  <LinksUpToDate>false</LinksUpToDate>
  <CharactersWithSpaces>2069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2025-02-18T01:51:00Z</dcterms:created>
  <dc:creator>IBM</dc:creator>
  <cp:lastModifiedBy>马丽娜</cp:lastModifiedBy>
  <dcterms:modified xsi:type="dcterms:W3CDTF">2025-03-24T08:07:47Z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eyJoZGlkIjoiZTFhZGJjMjlmMmZjZTNjZDI1YmM2ZTk0YWVjZmI2OTkiLCJ1c2VySWQiOiIxNjUyMjQ2MDYxIn0=</vt:lpwstr>
  </property>
  <property fmtid="{D5CDD505-2E9C-101B-9397-08002B2CF9AE}" pid="3" name="KSOProductBuildVer">
    <vt:lpwstr>2052-12.1.0.19302</vt:lpwstr>
  </property>
  <property fmtid="{D5CDD505-2E9C-101B-9397-08002B2CF9AE}" pid="4" name="ICV">
    <vt:lpwstr>A7A1ABAEAD5741DBB07695C57B90F409_12</vt:lpwstr>
  </property>
</Properties>
</file>