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00" w:type="dxa"/>
        <w:jc w:val="center"/>
        <w:tblCellSpacing w:w="15" w:type="dxa"/>
        <w:tblCellMar>
          <w:top w:w="15" w:type="dxa"/>
          <w:left w:w="15" w:type="dxa"/>
          <w:bottom w:w="15" w:type="dxa"/>
          <w:right w:w="15" w:type="dxa"/>
        </w:tblCellMar>
        <w:tblLook w:val="04A0" w:firstRow="1" w:lastRow="0" w:firstColumn="1" w:lastColumn="0" w:noHBand="0" w:noVBand="1"/>
      </w:tblPr>
      <w:tblGrid>
        <w:gridCol w:w="9000"/>
      </w:tblGrid>
      <w:tr w:rsidR="001E2A1F" w:rsidRPr="001E2A1F" w:rsidTr="001E2A1F">
        <w:trPr>
          <w:trHeight w:val="15"/>
          <w:tblCellSpacing w:w="15" w:type="dxa"/>
          <w:jc w:val="center"/>
        </w:trPr>
        <w:tc>
          <w:tcPr>
            <w:tcW w:w="0" w:type="auto"/>
            <w:vAlign w:val="center"/>
            <w:hideMark/>
          </w:tcPr>
          <w:p w:rsidR="001E2A1F" w:rsidRPr="001E2A1F" w:rsidRDefault="001E2A1F" w:rsidP="001E2A1F">
            <w:pPr>
              <w:widowControl/>
              <w:jc w:val="center"/>
              <w:rPr>
                <w:rFonts w:ascii="宋体" w:eastAsia="宋体" w:hAnsi="宋体" w:cs="宋体"/>
                <w:kern w:val="0"/>
                <w:sz w:val="24"/>
                <w:szCs w:val="24"/>
              </w:rPr>
            </w:pPr>
            <w:r w:rsidRPr="001E2A1F">
              <w:rPr>
                <w:rFonts w:ascii="黑体" w:eastAsia="黑体" w:hAnsi="黑体" w:cs="宋体"/>
                <w:kern w:val="0"/>
                <w:sz w:val="36"/>
                <w:szCs w:val="36"/>
              </w:rPr>
              <w:t>浙江省公安机关办理干预司法“三个规定”违规线索工作实施细则（试行）</w:t>
            </w:r>
          </w:p>
        </w:tc>
      </w:tr>
    </w:tbl>
    <w:p w:rsidR="001E2A1F" w:rsidRPr="001E2A1F" w:rsidRDefault="001E2A1F" w:rsidP="001E2A1F">
      <w:pPr>
        <w:widowControl/>
        <w:jc w:val="left"/>
        <w:rPr>
          <w:rFonts w:ascii="宋体" w:eastAsia="宋体" w:hAnsi="宋体" w:cs="宋体"/>
          <w:vanish/>
          <w:kern w:val="0"/>
          <w:sz w:val="24"/>
          <w:szCs w:val="24"/>
        </w:rPr>
      </w:pPr>
    </w:p>
    <w:tbl>
      <w:tblPr>
        <w:tblW w:w="9000" w:type="dxa"/>
        <w:jc w:val="center"/>
        <w:tblCellSpacing w:w="15" w:type="dxa"/>
        <w:tblCellMar>
          <w:top w:w="15" w:type="dxa"/>
          <w:left w:w="15" w:type="dxa"/>
          <w:bottom w:w="15" w:type="dxa"/>
          <w:right w:w="15" w:type="dxa"/>
        </w:tblCellMar>
        <w:tblLook w:val="04A0" w:firstRow="1" w:lastRow="0" w:firstColumn="1" w:lastColumn="0" w:noHBand="0" w:noVBand="1"/>
      </w:tblPr>
      <w:tblGrid>
        <w:gridCol w:w="9000"/>
      </w:tblGrid>
      <w:tr w:rsidR="001E2A1F" w:rsidRPr="001E2A1F" w:rsidTr="001E2A1F">
        <w:trPr>
          <w:tblCellSpacing w:w="15" w:type="dxa"/>
          <w:jc w:val="center"/>
        </w:trPr>
        <w:tc>
          <w:tcPr>
            <w:tcW w:w="0" w:type="auto"/>
            <w:vAlign w:val="center"/>
            <w:hideMark/>
          </w:tcPr>
          <w:p w:rsidR="001E2A1F" w:rsidRPr="001E2A1F" w:rsidRDefault="001E2A1F" w:rsidP="001E2A1F">
            <w:pPr>
              <w:widowControl/>
              <w:jc w:val="left"/>
              <w:rPr>
                <w:rFonts w:ascii="仿宋_GB2312" w:eastAsia="仿宋_GB2312" w:hAnsi="宋体" w:cs="宋体"/>
                <w:kern w:val="0"/>
                <w:sz w:val="26"/>
                <w:szCs w:val="26"/>
              </w:rPr>
            </w:pPr>
          </w:p>
          <w:p w:rsidR="001E2A1F" w:rsidRPr="001E2A1F" w:rsidRDefault="001E2A1F" w:rsidP="001E2A1F">
            <w:pPr>
              <w:widowControl/>
              <w:wordWrap w:val="0"/>
              <w:spacing w:line="578" w:lineRule="atLeast"/>
              <w:jc w:val="center"/>
              <w:rPr>
                <w:rFonts w:ascii="宋体" w:eastAsia="宋体" w:hAnsi="宋体" w:cs="宋体"/>
                <w:kern w:val="0"/>
                <w:sz w:val="24"/>
                <w:szCs w:val="24"/>
              </w:rPr>
            </w:pPr>
            <w:r w:rsidRPr="001E2A1F">
              <w:rPr>
                <w:rFonts w:ascii="黑体" w:eastAsia="黑体" w:hAnsi="黑体" w:cs="宋体" w:hint="eastAsia"/>
                <w:kern w:val="0"/>
                <w:sz w:val="32"/>
                <w:szCs w:val="32"/>
              </w:rPr>
              <w:t>第一章</w:t>
            </w:r>
            <w:r w:rsidRPr="001E2A1F">
              <w:rPr>
                <w:rFonts w:ascii="Calibri" w:eastAsia="黑体" w:hAnsi="Calibri" w:cs="Calibri"/>
                <w:kern w:val="0"/>
                <w:sz w:val="32"/>
                <w:szCs w:val="32"/>
              </w:rPr>
              <w:t> </w:t>
            </w:r>
            <w:r w:rsidRPr="001E2A1F">
              <w:rPr>
                <w:rFonts w:ascii="黑体" w:eastAsia="黑体" w:hAnsi="黑体" w:cs="宋体" w:hint="eastAsia"/>
                <w:kern w:val="0"/>
                <w:sz w:val="32"/>
                <w:szCs w:val="32"/>
              </w:rPr>
              <w:t>总</w:t>
            </w:r>
            <w:r w:rsidRPr="001E2A1F">
              <w:rPr>
                <w:rFonts w:ascii="Calibri" w:eastAsia="黑体" w:hAnsi="Calibri" w:cs="Calibri"/>
                <w:kern w:val="0"/>
                <w:sz w:val="32"/>
                <w:szCs w:val="32"/>
              </w:rPr>
              <w:t>  </w:t>
            </w:r>
            <w:r w:rsidRPr="001E2A1F">
              <w:rPr>
                <w:rFonts w:ascii="黑体" w:eastAsia="黑体" w:hAnsi="黑体" w:cs="宋体" w:hint="eastAsia"/>
                <w:kern w:val="0"/>
                <w:sz w:val="32"/>
                <w:szCs w:val="32"/>
              </w:rPr>
              <w:t>则</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第一条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根据《领导干部干预司法活动、插手具体案件处理的记录、通报和责任追究规定》《司法机关内部人员过问案件的记录和责任追究规定》《关于进一步规范司法人员与当事人、律师、特殊关系人、中介组织接触交往行为的若干规定》等文件精神，为进一步加强违反干预司法“三个规定”线索（以下简称违规线索）发现、审核、移送工作，结合我省实际，制定本工作实施细则。</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第二条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公安机关内部人员应当严格依法依规执法办案，严禁违规接触案件当事人、律师、特殊关系人或中介组织，自觉抵制各种干预、插手案件办理的行为。发现违规线索的，要主动及时上报。</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第三条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公安机关应当建立由机关纪委、督察、法制和相关警种组成的违规线索会商审核机制，加强沟通与协作。</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第四条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违规线索处置应当做到发现及时、核查严格、认定准确，遵循实事求是、有错必纠、过错与处罚相适应、教育与惩处相结合的原则，体现“自查从宽、被查从严”的宽严相济政策。</w:t>
            </w:r>
          </w:p>
          <w:p w:rsidR="001E2A1F" w:rsidRPr="001E2A1F" w:rsidRDefault="001E2A1F" w:rsidP="001E2A1F">
            <w:pPr>
              <w:widowControl/>
              <w:wordWrap w:val="0"/>
              <w:spacing w:line="578" w:lineRule="atLeast"/>
              <w:ind w:firstLine="640"/>
              <w:jc w:val="center"/>
              <w:rPr>
                <w:rFonts w:ascii="宋体" w:eastAsia="宋体" w:hAnsi="宋体" w:cs="宋体"/>
                <w:kern w:val="0"/>
                <w:sz w:val="24"/>
                <w:szCs w:val="24"/>
              </w:rPr>
            </w:pPr>
            <w:r w:rsidRPr="001E2A1F">
              <w:rPr>
                <w:rFonts w:ascii="黑体" w:eastAsia="黑体" w:hAnsi="黑体" w:cs="宋体" w:hint="eastAsia"/>
                <w:kern w:val="0"/>
                <w:sz w:val="32"/>
                <w:szCs w:val="32"/>
              </w:rPr>
              <w:t>第二章</w:t>
            </w:r>
            <w:r w:rsidRPr="001E2A1F">
              <w:rPr>
                <w:rFonts w:ascii="Calibri" w:eastAsia="黑体" w:hAnsi="Calibri" w:cs="Calibri"/>
                <w:kern w:val="0"/>
                <w:sz w:val="32"/>
                <w:szCs w:val="32"/>
              </w:rPr>
              <w:t> </w:t>
            </w:r>
            <w:r w:rsidRPr="001E2A1F">
              <w:rPr>
                <w:rFonts w:ascii="黑体" w:eastAsia="黑体" w:hAnsi="黑体" w:cs="宋体" w:hint="eastAsia"/>
                <w:kern w:val="0"/>
                <w:sz w:val="32"/>
                <w:szCs w:val="32"/>
              </w:rPr>
              <w:t>违规线索发现</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lastRenderedPageBreak/>
              <w:t>第五条</w:t>
            </w:r>
            <w:r w:rsidRPr="001E2A1F">
              <w:rPr>
                <w:rFonts w:ascii="Calibri" w:eastAsia="黑体" w:hAnsi="Calibri" w:cs="Calibri"/>
                <w:kern w:val="0"/>
                <w:sz w:val="32"/>
                <w:szCs w:val="32"/>
              </w:rPr>
              <w:t> </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公安机关办案单位或者办案人员遇有过问案件办理情况的，应当如实填写《公安机关内部人员过问案件办理行为登记表》（非公安机关内部人员过问案件办理的，应在表上注明）。</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仿宋_GB2312" w:eastAsia="仿宋_GB2312" w:hAnsi="宋体" w:cs="宋体" w:hint="eastAsia"/>
                <w:kern w:val="0"/>
                <w:sz w:val="32"/>
                <w:szCs w:val="32"/>
              </w:rPr>
              <w:t>公安机关办案单位或者办案人员对于以口头、书面、电话、短信、即时通讯等方式过问案件的，自过问行为发生之日起3个工作日内，记录并上报发生时间、场所和在场人员，以及相关书证、物证、视听资料等其他证据材料，无须所在部门领导审核批准，直接报同级警务督察部门，必要时可越级向上级公安机关警务督察部门报告。</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第六条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民警在工作中，发现其它办案单位、办案民警存在未登记或未如实登记干预、插手案件办理线索的，应当报告所在单位警务督察部门。</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第七条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办案民警除填写明确违反“三个规定”情形外的，还应当将以下资料，存入案卷备查：</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仿宋_GB2312" w:eastAsia="仿宋_GB2312" w:hAnsi="宋体" w:cs="宋体" w:hint="eastAsia"/>
                <w:kern w:val="0"/>
                <w:sz w:val="32"/>
                <w:szCs w:val="32"/>
              </w:rPr>
              <w:t>（一）公安机关内部人员履行法定职责提出监督、指导意见的批示、函文、记录等书面资料；</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仿宋_GB2312" w:eastAsia="仿宋_GB2312" w:hAnsi="宋体" w:cs="宋体" w:hint="eastAsia"/>
                <w:kern w:val="0"/>
                <w:sz w:val="32"/>
                <w:szCs w:val="32"/>
              </w:rPr>
              <w:t>（二）非公安机关内部人员因履行法定职责，向办案单位或办案民警了解正在办理案件的有关情况，所出具的法律文书或者公函等文件资料；</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仿宋_GB2312" w:eastAsia="仿宋_GB2312" w:hAnsi="宋体" w:cs="宋体" w:hint="eastAsia"/>
                <w:kern w:val="0"/>
                <w:sz w:val="32"/>
                <w:szCs w:val="32"/>
              </w:rPr>
              <w:t>（三）办案单位或者办案人员记录的公安机关内部人员因履行职责需要，向办案单位或者办案人员口头了解正在办理案件的有关情况的纸质工作记录。</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lastRenderedPageBreak/>
              <w:t>第八条</w:t>
            </w:r>
            <w:r w:rsidRPr="001E2A1F">
              <w:rPr>
                <w:rFonts w:ascii="Calibri" w:eastAsia="黑体" w:hAnsi="Calibri" w:cs="Calibri"/>
                <w:kern w:val="0"/>
                <w:sz w:val="32"/>
                <w:szCs w:val="32"/>
              </w:rPr>
              <w:t> </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办案民警可以采取以下方式填报违规线索：</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仿宋_GB2312" w:eastAsia="仿宋_GB2312" w:hAnsi="宋体" w:cs="宋体" w:hint="eastAsia"/>
                <w:kern w:val="0"/>
                <w:sz w:val="32"/>
                <w:szCs w:val="32"/>
              </w:rPr>
              <w:t>（一）在执法办案平台的强制填报记录系统中上报违规线索。填报程序未完成嵌入期间，在案卷中存入《公安机关内部人员过问案件办理行为登记表》；</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仿宋_GB2312" w:eastAsia="仿宋_GB2312" w:hAnsi="宋体" w:cs="宋体" w:hint="eastAsia"/>
                <w:kern w:val="0"/>
                <w:sz w:val="32"/>
                <w:szCs w:val="32"/>
              </w:rPr>
              <w:t>（二）在案卷中存入案件相关的批示、函文、记录等资料；</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仿宋_GB2312" w:eastAsia="仿宋_GB2312" w:hAnsi="宋体" w:cs="宋体" w:hint="eastAsia"/>
                <w:kern w:val="0"/>
                <w:sz w:val="32"/>
                <w:szCs w:val="32"/>
              </w:rPr>
              <w:t>（三）</w:t>
            </w:r>
            <w:proofErr w:type="gramStart"/>
            <w:r w:rsidRPr="001E2A1F">
              <w:rPr>
                <w:rFonts w:ascii="仿宋_GB2312" w:eastAsia="仿宋_GB2312" w:hAnsi="宋体" w:cs="宋体" w:hint="eastAsia"/>
                <w:kern w:val="0"/>
                <w:sz w:val="32"/>
                <w:szCs w:val="32"/>
              </w:rPr>
              <w:t>在浙政钉小</w:t>
            </w:r>
            <w:proofErr w:type="gramEnd"/>
            <w:r w:rsidRPr="001E2A1F">
              <w:rPr>
                <w:rFonts w:ascii="仿宋_GB2312" w:eastAsia="仿宋_GB2312" w:hAnsi="宋体" w:cs="宋体" w:hint="eastAsia"/>
                <w:kern w:val="0"/>
                <w:sz w:val="32"/>
                <w:szCs w:val="32"/>
              </w:rPr>
              <w:t>程序中直报本级或上级警务督察部门。</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第九条</w:t>
            </w:r>
            <w:r w:rsidRPr="001E2A1F">
              <w:rPr>
                <w:rFonts w:ascii="Calibri" w:eastAsia="黑体" w:hAnsi="Calibri" w:cs="Calibri"/>
                <w:kern w:val="0"/>
                <w:sz w:val="32"/>
                <w:szCs w:val="32"/>
              </w:rPr>
              <w:t> </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机关纪委在查处民警、辅警违纪违法案件时，发现线索应当及时告知警务督察部门。</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第十条</w:t>
            </w:r>
            <w:r w:rsidRPr="001E2A1F">
              <w:rPr>
                <w:rFonts w:ascii="Calibri" w:eastAsia="黑体" w:hAnsi="Calibri" w:cs="Calibri"/>
                <w:kern w:val="0"/>
                <w:sz w:val="32"/>
                <w:szCs w:val="32"/>
              </w:rPr>
              <w:t> </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经</w:t>
            </w:r>
            <w:proofErr w:type="gramStart"/>
            <w:r w:rsidRPr="001E2A1F">
              <w:rPr>
                <w:rFonts w:ascii="仿宋_GB2312" w:eastAsia="仿宋_GB2312" w:hAnsi="宋体" w:cs="宋体" w:hint="eastAsia"/>
                <w:kern w:val="0"/>
                <w:sz w:val="32"/>
                <w:szCs w:val="32"/>
              </w:rPr>
              <w:t>侦</w:t>
            </w:r>
            <w:proofErr w:type="gramEnd"/>
            <w:r w:rsidRPr="001E2A1F">
              <w:rPr>
                <w:rFonts w:ascii="仿宋_GB2312" w:eastAsia="仿宋_GB2312" w:hAnsi="宋体" w:cs="宋体" w:hint="eastAsia"/>
                <w:kern w:val="0"/>
                <w:sz w:val="32"/>
                <w:szCs w:val="32"/>
              </w:rPr>
              <w:t>、治安、</w:t>
            </w:r>
            <w:proofErr w:type="gramStart"/>
            <w:r w:rsidRPr="001E2A1F">
              <w:rPr>
                <w:rFonts w:ascii="仿宋_GB2312" w:eastAsia="仿宋_GB2312" w:hAnsi="宋体" w:cs="宋体" w:hint="eastAsia"/>
                <w:kern w:val="0"/>
                <w:sz w:val="32"/>
                <w:szCs w:val="32"/>
              </w:rPr>
              <w:t>食药环知侦查</w:t>
            </w:r>
            <w:proofErr w:type="gramEnd"/>
            <w:r w:rsidRPr="001E2A1F">
              <w:rPr>
                <w:rFonts w:ascii="仿宋_GB2312" w:eastAsia="仿宋_GB2312" w:hAnsi="宋体" w:cs="宋体" w:hint="eastAsia"/>
                <w:kern w:val="0"/>
                <w:sz w:val="32"/>
                <w:szCs w:val="32"/>
              </w:rPr>
              <w:t>、刑侦、交管、</w:t>
            </w:r>
            <w:proofErr w:type="gramStart"/>
            <w:r w:rsidRPr="001E2A1F">
              <w:rPr>
                <w:rFonts w:ascii="仿宋_GB2312" w:eastAsia="仿宋_GB2312" w:hAnsi="宋体" w:cs="宋体" w:hint="eastAsia"/>
                <w:kern w:val="0"/>
                <w:sz w:val="32"/>
                <w:szCs w:val="32"/>
              </w:rPr>
              <w:t>网安等</w:t>
            </w:r>
            <w:proofErr w:type="gramEnd"/>
            <w:r w:rsidRPr="001E2A1F">
              <w:rPr>
                <w:rFonts w:ascii="仿宋_GB2312" w:eastAsia="仿宋_GB2312" w:hAnsi="宋体" w:cs="宋体" w:hint="eastAsia"/>
                <w:kern w:val="0"/>
                <w:sz w:val="32"/>
                <w:szCs w:val="32"/>
              </w:rPr>
              <w:t>业务警种在案件评查、监督检查中，发现干预、插手案件办理线索的，应当及时移交同级警务督察部门。</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仿宋_GB2312" w:eastAsia="仿宋_GB2312" w:hAnsi="宋体" w:cs="宋体" w:hint="eastAsia"/>
                <w:kern w:val="0"/>
                <w:sz w:val="32"/>
                <w:szCs w:val="32"/>
              </w:rPr>
              <w:t>法制部门在案件审核时，应当将办案单位、办案民警登记领导干部、公安机关内部人员干预、插手案件办理的情况纳入审核范围，发现线索应当及时移交同级警务督察部门。</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仿宋_GB2312" w:eastAsia="仿宋_GB2312" w:hAnsi="宋体" w:cs="宋体" w:hint="eastAsia"/>
                <w:kern w:val="0"/>
                <w:sz w:val="32"/>
                <w:szCs w:val="32"/>
              </w:rPr>
              <w:t>警务督察、信访部门在受理举报投诉、信访的违法违纪线索时，应同步审核民警违规线索。</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第十一条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其他政法单位发现民警违规线索的，由民警所在单位同级警务督察部门负责登记受理。</w:t>
            </w:r>
          </w:p>
          <w:p w:rsidR="001E2A1F" w:rsidRPr="001E2A1F" w:rsidRDefault="001E2A1F" w:rsidP="001E2A1F">
            <w:pPr>
              <w:widowControl/>
              <w:wordWrap w:val="0"/>
              <w:spacing w:line="578" w:lineRule="atLeast"/>
              <w:ind w:firstLine="640"/>
              <w:jc w:val="center"/>
              <w:rPr>
                <w:rFonts w:ascii="宋体" w:eastAsia="宋体" w:hAnsi="宋体" w:cs="宋体"/>
                <w:kern w:val="0"/>
                <w:sz w:val="24"/>
                <w:szCs w:val="24"/>
              </w:rPr>
            </w:pPr>
            <w:r w:rsidRPr="001E2A1F">
              <w:rPr>
                <w:rFonts w:ascii="黑体" w:eastAsia="黑体" w:hAnsi="黑体" w:cs="宋体" w:hint="eastAsia"/>
                <w:kern w:val="0"/>
                <w:sz w:val="32"/>
                <w:szCs w:val="32"/>
              </w:rPr>
              <w:t>第三章</w:t>
            </w:r>
            <w:r w:rsidRPr="001E2A1F">
              <w:rPr>
                <w:rFonts w:ascii="Calibri" w:eastAsia="黑体" w:hAnsi="Calibri" w:cs="Calibri"/>
                <w:kern w:val="0"/>
                <w:sz w:val="32"/>
                <w:szCs w:val="32"/>
              </w:rPr>
              <w:t> </w:t>
            </w:r>
            <w:r w:rsidRPr="001E2A1F">
              <w:rPr>
                <w:rFonts w:ascii="黑体" w:eastAsia="黑体" w:hAnsi="黑体" w:cs="宋体" w:hint="eastAsia"/>
                <w:kern w:val="0"/>
                <w:sz w:val="32"/>
                <w:szCs w:val="32"/>
              </w:rPr>
              <w:t>违规线索审核移送</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第十二条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警务督察部门接到违规线索报告后，应当在七个工作日内</w:t>
            </w:r>
            <w:proofErr w:type="gramStart"/>
            <w:r w:rsidRPr="001E2A1F">
              <w:rPr>
                <w:rFonts w:ascii="仿宋_GB2312" w:eastAsia="仿宋_GB2312" w:hAnsi="宋体" w:cs="宋体" w:hint="eastAsia"/>
                <w:kern w:val="0"/>
                <w:sz w:val="32"/>
                <w:szCs w:val="32"/>
              </w:rPr>
              <w:t>作出</w:t>
            </w:r>
            <w:proofErr w:type="gramEnd"/>
            <w:r w:rsidRPr="001E2A1F">
              <w:rPr>
                <w:rFonts w:ascii="仿宋_GB2312" w:eastAsia="仿宋_GB2312" w:hAnsi="宋体" w:cs="宋体" w:hint="eastAsia"/>
                <w:kern w:val="0"/>
                <w:sz w:val="32"/>
                <w:szCs w:val="32"/>
              </w:rPr>
              <w:t>审核认定，必要时可以与机关纪委、人训、法制</w:t>
            </w:r>
            <w:r w:rsidRPr="001E2A1F">
              <w:rPr>
                <w:rFonts w:ascii="仿宋_GB2312" w:eastAsia="仿宋_GB2312" w:hAnsi="宋体" w:cs="宋体" w:hint="eastAsia"/>
                <w:kern w:val="0"/>
                <w:sz w:val="32"/>
                <w:szCs w:val="32"/>
              </w:rPr>
              <w:lastRenderedPageBreak/>
              <w:t>部门及办案部门按职责分工开展会商审核，审核认定后应当提出督察建议。</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第十三条</w:t>
            </w:r>
            <w:r w:rsidRPr="001E2A1F">
              <w:rPr>
                <w:rFonts w:ascii="Calibri" w:eastAsia="黑体" w:hAnsi="Calibri" w:cs="Calibri"/>
                <w:kern w:val="0"/>
                <w:sz w:val="32"/>
                <w:szCs w:val="32"/>
              </w:rPr>
              <w:t> </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督察建议经本级公安机关督察长签批同意后生效。</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第十四条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审核认定为公安机关领导干部或内部人员干预、插手案件办理的，按照干部管理权限移交派驻纪检监察、机关纪委或人训部门调查处理。</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第十五条</w:t>
            </w:r>
            <w:r w:rsidRPr="001E2A1F">
              <w:rPr>
                <w:rFonts w:ascii="Calibri" w:eastAsia="黑体" w:hAnsi="Calibri" w:cs="Calibri"/>
                <w:kern w:val="0"/>
                <w:sz w:val="32"/>
                <w:szCs w:val="32"/>
              </w:rPr>
              <w:t> </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审核认定为上级公安机关领导干部、内部人员，或者无隶属关系的其它公安机关领导干部、内部人员干预、插手案件办理的，移送机关纪委按程序向有权管辖的纪检监察部门报告。</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第十六条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审核认定为非公安机关内部人员干预、插手案件办理的，移送机关纪委按程序向有权管辖的纪检监察部门报告或通报。</w:t>
            </w:r>
          </w:p>
          <w:p w:rsidR="001E2A1F" w:rsidRPr="001E2A1F" w:rsidRDefault="001E2A1F" w:rsidP="001E2A1F">
            <w:pPr>
              <w:widowControl/>
              <w:wordWrap w:val="0"/>
              <w:spacing w:line="578" w:lineRule="atLeast"/>
              <w:ind w:firstLine="640"/>
              <w:jc w:val="center"/>
              <w:rPr>
                <w:rFonts w:ascii="宋体" w:eastAsia="宋体" w:hAnsi="宋体" w:cs="宋体"/>
                <w:kern w:val="0"/>
                <w:sz w:val="24"/>
                <w:szCs w:val="24"/>
              </w:rPr>
            </w:pPr>
            <w:r w:rsidRPr="001E2A1F">
              <w:rPr>
                <w:rFonts w:ascii="黑体" w:eastAsia="黑体" w:hAnsi="黑体" w:cs="宋体" w:hint="eastAsia"/>
                <w:kern w:val="0"/>
                <w:sz w:val="32"/>
                <w:szCs w:val="32"/>
              </w:rPr>
              <w:t>第四章</w:t>
            </w:r>
            <w:r w:rsidRPr="001E2A1F">
              <w:rPr>
                <w:rFonts w:ascii="Calibri" w:eastAsia="黑体" w:hAnsi="Calibri" w:cs="Calibri"/>
                <w:kern w:val="0"/>
                <w:sz w:val="32"/>
                <w:szCs w:val="32"/>
              </w:rPr>
              <w:t> </w:t>
            </w:r>
            <w:r w:rsidRPr="001E2A1F">
              <w:rPr>
                <w:rFonts w:ascii="黑体" w:eastAsia="黑体" w:hAnsi="黑体" w:cs="宋体" w:hint="eastAsia"/>
                <w:kern w:val="0"/>
                <w:sz w:val="32"/>
                <w:szCs w:val="32"/>
              </w:rPr>
              <w:t>违规线索统计分析</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第十七条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公安机关办案部门应当于每季度末填写本部门《公安机关贯彻落实“三个规定”情况统计季报表》，报同级警务督察部门汇总。</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第十八条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各级公安机关应当定期对本单位落实防止干预司法“三个规定”情况进行分析评估，开展预警预防，视情通报典型案例。</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lastRenderedPageBreak/>
              <w:t>第十九条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各级公安机关应当严格违规线索登记管理，实现全程留痕，做好保密工作。</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第二十条</w:t>
            </w:r>
            <w:r w:rsidRPr="001E2A1F">
              <w:rPr>
                <w:rFonts w:ascii="Calibri" w:eastAsia="黑体" w:hAnsi="Calibri" w:cs="Calibri"/>
                <w:kern w:val="0"/>
                <w:sz w:val="32"/>
                <w:szCs w:val="32"/>
              </w:rPr>
              <w:t>  </w:t>
            </w:r>
            <w:r w:rsidRPr="001E2A1F">
              <w:rPr>
                <w:rFonts w:ascii="仿宋_GB2312" w:eastAsia="仿宋_GB2312" w:hAnsi="宋体" w:cs="宋体" w:hint="eastAsia"/>
                <w:kern w:val="0"/>
                <w:sz w:val="32"/>
                <w:szCs w:val="32"/>
              </w:rPr>
              <w:t>上级公安机关应当加强对违规线索核查情况跟踪督办和业务指导，确保办理质量。</w:t>
            </w:r>
          </w:p>
          <w:p w:rsidR="001E2A1F" w:rsidRPr="001E2A1F" w:rsidRDefault="001E2A1F" w:rsidP="001E2A1F">
            <w:pPr>
              <w:widowControl/>
              <w:wordWrap w:val="0"/>
              <w:spacing w:line="578" w:lineRule="atLeast"/>
              <w:ind w:firstLine="640"/>
              <w:jc w:val="center"/>
              <w:rPr>
                <w:rFonts w:ascii="宋体" w:eastAsia="宋体" w:hAnsi="宋体" w:cs="宋体"/>
                <w:kern w:val="0"/>
                <w:sz w:val="24"/>
                <w:szCs w:val="24"/>
              </w:rPr>
            </w:pPr>
            <w:r w:rsidRPr="001E2A1F">
              <w:rPr>
                <w:rFonts w:ascii="黑体" w:eastAsia="黑体" w:hAnsi="黑体" w:cs="宋体" w:hint="eastAsia"/>
                <w:kern w:val="0"/>
                <w:sz w:val="32"/>
                <w:szCs w:val="32"/>
              </w:rPr>
              <w:t>第五章</w:t>
            </w:r>
            <w:r w:rsidRPr="001E2A1F">
              <w:rPr>
                <w:rFonts w:ascii="Calibri" w:eastAsia="黑体" w:hAnsi="Calibri" w:cs="Calibri"/>
                <w:kern w:val="0"/>
                <w:sz w:val="32"/>
                <w:szCs w:val="32"/>
              </w:rPr>
              <w:t> </w:t>
            </w:r>
            <w:r w:rsidRPr="001E2A1F">
              <w:rPr>
                <w:rFonts w:ascii="黑体" w:eastAsia="黑体" w:hAnsi="黑体" w:cs="宋体" w:hint="eastAsia"/>
                <w:kern w:val="0"/>
                <w:sz w:val="32"/>
                <w:szCs w:val="32"/>
              </w:rPr>
              <w:t>责任追究</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第二十一条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各级公安机关应当定期对违规线索核查情况开展倒查，发现以下情形的，从严追究有关人员责任：</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仿宋_GB2312" w:eastAsia="仿宋_GB2312" w:hAnsi="宋体" w:cs="宋体" w:hint="eastAsia"/>
                <w:kern w:val="0"/>
                <w:sz w:val="32"/>
                <w:szCs w:val="32"/>
              </w:rPr>
              <w:t>（一）对因失职或未如实填报等不作为导致违规线索未能及时发现并移送的，被其他公安机关或者其他部门查实的；</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仿宋_GB2312" w:eastAsia="仿宋_GB2312" w:hAnsi="宋体" w:cs="宋体" w:hint="eastAsia"/>
                <w:kern w:val="0"/>
                <w:sz w:val="32"/>
                <w:szCs w:val="32"/>
              </w:rPr>
              <w:t>（二）在违规线索核查工作中弄虚作假、降格认定、徇私枉法、通风报信的；</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仿宋_GB2312" w:eastAsia="仿宋_GB2312" w:hAnsi="宋体" w:cs="宋体" w:hint="eastAsia"/>
                <w:kern w:val="0"/>
                <w:sz w:val="32"/>
                <w:szCs w:val="32"/>
              </w:rPr>
              <w:t>（三）对违规线索压线不查、久拖未决，造成不良后果，影响较大的。</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第二十二条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对故意干扰、影响违规线索核查工作，情节严重、造成后果的，从严追究有关人员责任。</w:t>
            </w:r>
          </w:p>
          <w:p w:rsidR="001E2A1F" w:rsidRPr="001E2A1F" w:rsidRDefault="001E2A1F" w:rsidP="001E2A1F">
            <w:pPr>
              <w:widowControl/>
              <w:wordWrap w:val="0"/>
              <w:spacing w:line="578" w:lineRule="atLeast"/>
              <w:ind w:firstLine="640"/>
              <w:jc w:val="center"/>
              <w:rPr>
                <w:rFonts w:ascii="宋体" w:eastAsia="宋体" w:hAnsi="宋体" w:cs="宋体"/>
                <w:kern w:val="0"/>
                <w:sz w:val="24"/>
                <w:szCs w:val="24"/>
              </w:rPr>
            </w:pPr>
            <w:r w:rsidRPr="001E2A1F">
              <w:rPr>
                <w:rFonts w:ascii="黑体" w:eastAsia="黑体" w:hAnsi="黑体" w:cs="宋体" w:hint="eastAsia"/>
                <w:kern w:val="0"/>
                <w:sz w:val="32"/>
                <w:szCs w:val="32"/>
              </w:rPr>
              <w:t>第六章</w:t>
            </w:r>
            <w:r w:rsidRPr="001E2A1F">
              <w:rPr>
                <w:rFonts w:ascii="Calibri" w:eastAsia="黑体" w:hAnsi="Calibri" w:cs="Calibri"/>
                <w:kern w:val="0"/>
                <w:sz w:val="32"/>
                <w:szCs w:val="32"/>
              </w:rPr>
              <w:t> </w:t>
            </w:r>
            <w:r w:rsidRPr="001E2A1F">
              <w:rPr>
                <w:rFonts w:ascii="黑体" w:eastAsia="黑体" w:hAnsi="黑体" w:cs="宋体" w:hint="eastAsia"/>
                <w:kern w:val="0"/>
                <w:sz w:val="32"/>
                <w:szCs w:val="32"/>
              </w:rPr>
              <w:t>附</w:t>
            </w:r>
            <w:r w:rsidRPr="001E2A1F">
              <w:rPr>
                <w:rFonts w:ascii="Calibri" w:eastAsia="黑体" w:hAnsi="Calibri" w:cs="Calibri"/>
                <w:kern w:val="0"/>
                <w:sz w:val="32"/>
                <w:szCs w:val="32"/>
              </w:rPr>
              <w:t>  </w:t>
            </w:r>
            <w:r w:rsidRPr="001E2A1F">
              <w:rPr>
                <w:rFonts w:ascii="黑体" w:eastAsia="黑体" w:hAnsi="黑体" w:cs="宋体" w:hint="eastAsia"/>
                <w:kern w:val="0"/>
                <w:sz w:val="32"/>
                <w:szCs w:val="32"/>
              </w:rPr>
              <w:t>则</w:t>
            </w:r>
          </w:p>
          <w:p w:rsidR="001E2A1F" w:rsidRPr="001E2A1F" w:rsidRDefault="001E2A1F" w:rsidP="001E2A1F">
            <w:pPr>
              <w:widowControl/>
              <w:wordWrap w:val="0"/>
              <w:spacing w:line="578" w:lineRule="atLeast"/>
              <w:ind w:firstLine="640"/>
              <w:rPr>
                <w:rFonts w:ascii="宋体" w:eastAsia="宋体" w:hAnsi="宋体" w:cs="宋体"/>
                <w:kern w:val="0"/>
                <w:sz w:val="24"/>
                <w:szCs w:val="24"/>
              </w:rPr>
            </w:pPr>
            <w:r w:rsidRPr="001E2A1F">
              <w:rPr>
                <w:rFonts w:ascii="黑体" w:eastAsia="黑体" w:hAnsi="黑体" w:cs="宋体" w:hint="eastAsia"/>
                <w:kern w:val="0"/>
                <w:sz w:val="32"/>
                <w:szCs w:val="32"/>
              </w:rPr>
              <w:t>第二十三条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本细则所称“公安机关内部人员”，是指公安机关及其派出机构的工作人员，含民警、职工、辅警及配合公安机关从事警务工作的其他人员；离退休人员适用本规定。</w:t>
            </w:r>
          </w:p>
          <w:p w:rsidR="001E2A1F" w:rsidRPr="001E2A1F" w:rsidRDefault="001E2A1F" w:rsidP="001E2A1F">
            <w:pPr>
              <w:widowControl/>
              <w:wordWrap w:val="0"/>
              <w:jc w:val="left"/>
              <w:rPr>
                <w:rFonts w:ascii="宋体" w:eastAsia="宋体" w:hAnsi="宋体" w:cs="宋体"/>
                <w:kern w:val="0"/>
                <w:sz w:val="24"/>
                <w:szCs w:val="24"/>
              </w:rPr>
            </w:pPr>
            <w:r w:rsidRPr="001E2A1F">
              <w:rPr>
                <w:rFonts w:ascii="黑体" w:eastAsia="黑体" w:hAnsi="黑体" w:cs="宋体" w:hint="eastAsia"/>
                <w:kern w:val="0"/>
                <w:sz w:val="32"/>
                <w:szCs w:val="32"/>
              </w:rPr>
              <w:t>第二十四条</w:t>
            </w:r>
            <w:r w:rsidRPr="001E2A1F">
              <w:rPr>
                <w:rFonts w:ascii="仿宋_GB2312" w:eastAsia="仿宋_GB2312" w:hAnsi="宋体" w:cs="宋体" w:hint="eastAsia"/>
                <w:kern w:val="0"/>
                <w:sz w:val="32"/>
                <w:szCs w:val="32"/>
              </w:rPr>
              <w:t>  </w:t>
            </w:r>
            <w:r w:rsidRPr="001E2A1F">
              <w:rPr>
                <w:rFonts w:ascii="仿宋_GB2312" w:eastAsia="仿宋_GB2312" w:hAnsi="宋体" w:cs="宋体" w:hint="eastAsia"/>
                <w:kern w:val="0"/>
                <w:sz w:val="32"/>
                <w:szCs w:val="32"/>
              </w:rPr>
              <w:t>本工作细则自公布之日起施行。</w:t>
            </w:r>
          </w:p>
        </w:tc>
      </w:tr>
    </w:tbl>
    <w:p w:rsidR="001E2A1F" w:rsidRPr="001E2A1F" w:rsidRDefault="001E2A1F" w:rsidP="001E2A1F">
      <w:pPr>
        <w:widowControl/>
        <w:jc w:val="left"/>
        <w:rPr>
          <w:rFonts w:ascii="宋体" w:eastAsia="宋体" w:hAnsi="宋体" w:cs="宋体"/>
          <w:vanish/>
          <w:kern w:val="0"/>
          <w:sz w:val="24"/>
          <w:szCs w:val="24"/>
        </w:rPr>
      </w:pPr>
    </w:p>
    <w:tbl>
      <w:tblPr>
        <w:tblW w:w="9000" w:type="dxa"/>
        <w:jc w:val="center"/>
        <w:tblCellSpacing w:w="15" w:type="dxa"/>
        <w:tblCellMar>
          <w:top w:w="15" w:type="dxa"/>
          <w:left w:w="15" w:type="dxa"/>
          <w:bottom w:w="15" w:type="dxa"/>
          <w:right w:w="15" w:type="dxa"/>
        </w:tblCellMar>
        <w:tblLook w:val="04A0" w:firstRow="1" w:lastRow="0" w:firstColumn="1" w:lastColumn="0" w:noHBand="0" w:noVBand="1"/>
      </w:tblPr>
      <w:tblGrid>
        <w:gridCol w:w="9000"/>
      </w:tblGrid>
      <w:tr w:rsidR="001E2A1F" w:rsidRPr="001E2A1F" w:rsidTr="001E2A1F">
        <w:trPr>
          <w:tblCellSpacing w:w="15" w:type="dxa"/>
          <w:jc w:val="center"/>
        </w:trPr>
        <w:tc>
          <w:tcPr>
            <w:tcW w:w="0" w:type="auto"/>
            <w:vAlign w:val="center"/>
            <w:hideMark/>
          </w:tcPr>
          <w:p w:rsidR="001E2A1F" w:rsidRPr="001E2A1F" w:rsidRDefault="001E2A1F" w:rsidP="001E2A1F">
            <w:pPr>
              <w:widowControl/>
              <w:jc w:val="right"/>
              <w:rPr>
                <w:rFonts w:ascii="宋体" w:eastAsia="宋体" w:hAnsi="宋体" w:cs="宋体"/>
                <w:kern w:val="0"/>
                <w:sz w:val="24"/>
                <w:szCs w:val="24"/>
              </w:rPr>
            </w:pPr>
            <w:r w:rsidRPr="001E2A1F">
              <w:rPr>
                <w:rFonts w:ascii="宋体" w:eastAsia="宋体" w:hAnsi="宋体" w:cs="宋体"/>
                <w:kern w:val="0"/>
                <w:sz w:val="24"/>
                <w:szCs w:val="24"/>
              </w:rPr>
              <w:t>2021-09-16 14:42</w:t>
            </w:r>
          </w:p>
        </w:tc>
      </w:tr>
      <w:tr w:rsidR="001E2A1F" w:rsidRPr="001E2A1F" w:rsidTr="001E2A1F">
        <w:trPr>
          <w:tblCellSpacing w:w="15" w:type="dxa"/>
          <w:jc w:val="center"/>
        </w:trPr>
        <w:tc>
          <w:tcPr>
            <w:tcW w:w="0" w:type="auto"/>
            <w:vAlign w:val="center"/>
            <w:hideMark/>
          </w:tcPr>
          <w:p w:rsidR="001E2A1F" w:rsidRPr="001E2A1F" w:rsidRDefault="001E2A1F" w:rsidP="001E2A1F">
            <w:pPr>
              <w:widowControl/>
              <w:jc w:val="right"/>
              <w:rPr>
                <w:rFonts w:ascii="宋体" w:eastAsia="宋体" w:hAnsi="宋体" w:cs="宋体"/>
                <w:kern w:val="0"/>
                <w:sz w:val="24"/>
                <w:szCs w:val="24"/>
              </w:rPr>
            </w:pPr>
          </w:p>
        </w:tc>
      </w:tr>
      <w:tr w:rsidR="001E2A1F" w:rsidRPr="001E2A1F" w:rsidTr="001E2A1F">
        <w:trPr>
          <w:tblCellSpacing w:w="15" w:type="dxa"/>
          <w:jc w:val="center"/>
        </w:trPr>
        <w:tc>
          <w:tcPr>
            <w:tcW w:w="0" w:type="auto"/>
            <w:vAlign w:val="center"/>
            <w:hideMark/>
          </w:tcPr>
          <w:p w:rsidR="001E2A1F" w:rsidRPr="001E2A1F" w:rsidRDefault="001E2A1F" w:rsidP="001E2A1F">
            <w:pPr>
              <w:widowControl/>
              <w:jc w:val="right"/>
              <w:rPr>
                <w:rFonts w:ascii="宋体" w:eastAsia="宋体" w:hAnsi="宋体" w:cs="宋体"/>
                <w:kern w:val="0"/>
                <w:sz w:val="24"/>
                <w:szCs w:val="24"/>
              </w:rPr>
            </w:pPr>
            <w:r w:rsidRPr="001E2A1F">
              <w:rPr>
                <w:rFonts w:ascii="宋体" w:eastAsia="宋体" w:hAnsi="宋体" w:cs="宋体"/>
                <w:kern w:val="0"/>
                <w:sz w:val="24"/>
                <w:szCs w:val="24"/>
              </w:rPr>
              <w:t>总共阅读  次</w:t>
            </w:r>
          </w:p>
        </w:tc>
      </w:tr>
    </w:tbl>
    <w:p w:rsidR="00ED098A" w:rsidRDefault="00ED098A">
      <w:bookmarkStart w:id="0" w:name="_GoBack"/>
      <w:bookmarkEnd w:id="0"/>
    </w:p>
    <w:sectPr w:rsidR="00ED09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FED"/>
    <w:rsid w:val="001E2A1F"/>
    <w:rsid w:val="00926FED"/>
    <w:rsid w:val="00ED0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86AC8D-6886-4213-8E2E-8257EAF25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E2A1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2835568">
      <w:bodyDiv w:val="1"/>
      <w:marLeft w:val="0"/>
      <w:marRight w:val="0"/>
      <w:marTop w:val="0"/>
      <w:marBottom w:val="0"/>
      <w:divBdr>
        <w:top w:val="none" w:sz="0" w:space="0" w:color="auto"/>
        <w:left w:val="none" w:sz="0" w:space="0" w:color="auto"/>
        <w:bottom w:val="none" w:sz="0" w:space="0" w:color="auto"/>
        <w:right w:val="none" w:sz="0" w:space="0" w:color="auto"/>
      </w:divBdr>
      <w:divsChild>
        <w:div w:id="824977715">
          <w:marLeft w:val="0"/>
          <w:marRight w:val="0"/>
          <w:marTop w:val="0"/>
          <w:marBottom w:val="0"/>
          <w:divBdr>
            <w:top w:val="none" w:sz="0" w:space="0" w:color="auto"/>
            <w:left w:val="none" w:sz="0" w:space="0" w:color="auto"/>
            <w:bottom w:val="none" w:sz="0" w:space="0" w:color="auto"/>
            <w:right w:val="none" w:sz="0" w:space="0" w:color="auto"/>
          </w:divBdr>
          <w:divsChild>
            <w:div w:id="10520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IBM</dc:creator>
  <cp:keywords/>
  <dc:description/>
  <cp:lastModifiedBy>IBM</cp:lastModifiedBy>
  <cp:revision>2</cp:revision>
  <dcterms:created xsi:type="dcterms:W3CDTF">2025-02-18T01:54:00Z</dcterms:created>
  <dcterms:modified xsi:type="dcterms:W3CDTF">2025-02-18T01:54:00Z</dcterms:modified>
</cp:coreProperties>
</file>