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D0FF0C">
      <w:pPr>
        <w:widowControl/>
        <w:jc w:val="left"/>
        <w:rPr>
          <w:rFonts w:ascii="宋体" w:hAnsi="宋体" w:eastAsia="宋体" w:cs="宋体"/>
          <w:vanish/>
          <w:kern w:val="0"/>
          <w:sz w:val="24"/>
          <w:szCs w:val="24"/>
        </w:rPr>
      </w:pPr>
    </w:p>
    <w:tbl>
      <w:tblPr>
        <w:tblStyle w:val="3"/>
        <w:tblW w:w="9000" w:type="dxa"/>
        <w:jc w:val="center"/>
        <w:tblCellSpacing w:w="15" w:type="dxa"/>
        <w:shd w:val="clear" w:color="auto" w:fill="FFFFFF"/>
        <w:tblLayout w:type="autofit"/>
        <w:tblCellMar>
          <w:top w:w="15" w:type="dxa"/>
          <w:left w:w="15" w:type="dxa"/>
          <w:bottom w:w="15" w:type="dxa"/>
          <w:right w:w="15" w:type="dxa"/>
        </w:tblCellMar>
      </w:tblPr>
      <w:tblGrid>
        <w:gridCol w:w="9000"/>
      </w:tblGrid>
      <w:tr w14:paraId="5135BDD9">
        <w:tblPrEx>
          <w:shd w:val="clear" w:color="auto" w:fill="FFFFFF"/>
          <w:tblCellMar>
            <w:top w:w="15" w:type="dxa"/>
            <w:left w:w="15" w:type="dxa"/>
            <w:bottom w:w="15" w:type="dxa"/>
            <w:right w:w="15" w:type="dxa"/>
          </w:tblCellMar>
        </w:tblPrEx>
        <w:trPr>
          <w:tblCellSpacing w:w="15" w:type="dxa"/>
          <w:jc w:val="center"/>
        </w:trPr>
        <w:tc>
          <w:tcPr>
            <w:tcW w:w="0" w:type="auto"/>
            <w:shd w:val="clear" w:color="auto" w:fill="FFFFFF"/>
            <w:vAlign w:val="center"/>
          </w:tcPr>
          <w:p w14:paraId="5EB92653">
            <w:pPr>
              <w:widowControl/>
              <w:wordWrap w:val="0"/>
              <w:spacing w:line="578" w:lineRule="atLeast"/>
              <w:jc w:val="center"/>
              <w:rPr>
                <w:rFonts w:hint="eastAsia" w:ascii="黑体" w:hAnsi="黑体" w:eastAsia="黑体" w:cs="宋体"/>
                <w:kern w:val="0"/>
                <w:sz w:val="32"/>
                <w:szCs w:val="32"/>
              </w:rPr>
            </w:pPr>
            <w:bookmarkStart w:id="0" w:name="_GoBack"/>
            <w:bookmarkEnd w:id="0"/>
            <w:r>
              <w:rPr>
                <w:rFonts w:hint="eastAsia" w:ascii="黑体" w:hAnsi="黑体" w:eastAsia="黑体" w:cs="宋体"/>
                <w:kern w:val="0"/>
                <w:sz w:val="32"/>
                <w:szCs w:val="32"/>
              </w:rPr>
              <w:t>浙江省公安机关办理干预司法“三个规定”违规线索工作实施细则</w:t>
            </w:r>
          </w:p>
          <w:p w14:paraId="67F9C44A">
            <w:pPr>
              <w:widowControl/>
              <w:wordWrap w:val="0"/>
              <w:spacing w:line="578" w:lineRule="atLeast"/>
              <w:jc w:val="center"/>
              <w:rPr>
                <w:rFonts w:hint="eastAsia" w:ascii="宋体" w:hAnsi="宋体" w:eastAsia="宋体" w:cs="宋体"/>
                <w:kern w:val="0"/>
                <w:sz w:val="24"/>
                <w:szCs w:val="24"/>
              </w:rPr>
            </w:pPr>
            <w:r>
              <w:rPr>
                <w:rFonts w:hint="eastAsia" w:ascii="黑体" w:hAnsi="黑体" w:eastAsia="黑体" w:cs="宋体"/>
                <w:kern w:val="0"/>
                <w:sz w:val="32"/>
                <w:szCs w:val="32"/>
              </w:rPr>
              <w:t>第一章</w:t>
            </w:r>
            <w:r>
              <w:rPr>
                <w:rFonts w:ascii="Calibri" w:hAnsi="Calibri" w:eastAsia="黑体" w:cs="Calibri"/>
                <w:kern w:val="0"/>
                <w:sz w:val="32"/>
                <w:szCs w:val="32"/>
              </w:rPr>
              <w:t> </w:t>
            </w:r>
            <w:r>
              <w:rPr>
                <w:rFonts w:hint="eastAsia" w:ascii="黑体" w:hAnsi="黑体" w:eastAsia="黑体" w:cs="宋体"/>
                <w:kern w:val="0"/>
                <w:sz w:val="32"/>
                <w:szCs w:val="32"/>
              </w:rPr>
              <w:t>总</w:t>
            </w:r>
            <w:r>
              <w:rPr>
                <w:rFonts w:ascii="Calibri" w:hAnsi="Calibri" w:eastAsia="黑体" w:cs="Calibri"/>
                <w:kern w:val="0"/>
                <w:sz w:val="32"/>
                <w:szCs w:val="32"/>
              </w:rPr>
              <w:t>  </w:t>
            </w:r>
            <w:r>
              <w:rPr>
                <w:rFonts w:hint="eastAsia" w:ascii="黑体" w:hAnsi="黑体" w:eastAsia="黑体" w:cs="宋体"/>
                <w:kern w:val="0"/>
                <w:sz w:val="32"/>
                <w:szCs w:val="32"/>
              </w:rPr>
              <w:t>则</w:t>
            </w:r>
          </w:p>
          <w:p w14:paraId="287BCD61">
            <w:pPr>
              <w:widowControl/>
              <w:wordWrap w:val="0"/>
              <w:spacing w:line="578" w:lineRule="atLeast"/>
              <w:ind w:firstLine="640"/>
              <w:rPr>
                <w:rFonts w:ascii="宋体" w:hAnsi="宋体" w:eastAsia="宋体" w:cs="宋体"/>
                <w:kern w:val="0"/>
                <w:sz w:val="24"/>
                <w:szCs w:val="24"/>
              </w:rPr>
            </w:pPr>
            <w:r>
              <w:rPr>
                <w:rFonts w:hint="eastAsia" w:ascii="黑体" w:hAnsi="黑体" w:eastAsia="黑体" w:cs="宋体"/>
                <w:kern w:val="0"/>
                <w:sz w:val="32"/>
                <w:szCs w:val="32"/>
              </w:rPr>
              <w:t>第一条</w:t>
            </w:r>
            <w:r>
              <w:rPr>
                <w:rFonts w:hint="eastAsia" w:ascii="仿宋_GB2312" w:hAnsi="宋体" w:eastAsia="仿宋_GB2312" w:cs="宋体"/>
                <w:kern w:val="0"/>
                <w:sz w:val="32"/>
                <w:szCs w:val="32"/>
              </w:rPr>
              <w:t>  根据《领导干部干预司法活动、插手具体案件处理的记录、通报和责任追究规定》《司法机关内部人员过问案件的记录和责任追究规定》《关于进一步规范司法人员与当事人、律师、特殊关系人、中介组织接触交往行为的若干规定》等文件精神，为进一步加强违反干预司法“三个规定”线索（以下简称违规线索）发现、审核、移送工作，结合我省实际，制定本工作实施细则。</w:t>
            </w:r>
          </w:p>
          <w:p w14:paraId="72E7913D">
            <w:pPr>
              <w:widowControl/>
              <w:wordWrap w:val="0"/>
              <w:spacing w:line="578" w:lineRule="atLeast"/>
              <w:ind w:firstLine="640"/>
              <w:rPr>
                <w:rFonts w:ascii="宋体" w:hAnsi="宋体" w:eastAsia="宋体" w:cs="宋体"/>
                <w:kern w:val="0"/>
                <w:sz w:val="24"/>
                <w:szCs w:val="24"/>
              </w:rPr>
            </w:pPr>
            <w:r>
              <w:rPr>
                <w:rFonts w:hint="eastAsia" w:ascii="黑体" w:hAnsi="黑体" w:eastAsia="黑体" w:cs="宋体"/>
                <w:kern w:val="0"/>
                <w:sz w:val="32"/>
                <w:szCs w:val="32"/>
              </w:rPr>
              <w:t>第二条</w:t>
            </w:r>
            <w:r>
              <w:rPr>
                <w:rFonts w:hint="eastAsia" w:ascii="仿宋_GB2312" w:hAnsi="宋体" w:eastAsia="仿宋_GB2312" w:cs="宋体"/>
                <w:kern w:val="0"/>
                <w:sz w:val="32"/>
                <w:szCs w:val="32"/>
              </w:rPr>
              <w:t>  公安机关内部人员应当严格依法依规执法办案，严禁违规接触案件当事人、律师、特殊关系人或中介组织，自觉抵制各种干预、插手案件办理的行为。发现违规线索的，要主动及时上报。</w:t>
            </w:r>
          </w:p>
          <w:p w14:paraId="73C4377D">
            <w:pPr>
              <w:widowControl/>
              <w:wordWrap w:val="0"/>
              <w:spacing w:line="578" w:lineRule="atLeast"/>
              <w:ind w:firstLine="640"/>
              <w:rPr>
                <w:rFonts w:ascii="宋体" w:hAnsi="宋体" w:eastAsia="宋体" w:cs="宋体"/>
                <w:kern w:val="0"/>
                <w:sz w:val="24"/>
                <w:szCs w:val="24"/>
              </w:rPr>
            </w:pPr>
            <w:r>
              <w:rPr>
                <w:rFonts w:hint="eastAsia" w:ascii="黑体" w:hAnsi="黑体" w:eastAsia="黑体" w:cs="宋体"/>
                <w:kern w:val="0"/>
                <w:sz w:val="32"/>
                <w:szCs w:val="32"/>
              </w:rPr>
              <w:t>第三条</w:t>
            </w:r>
            <w:r>
              <w:rPr>
                <w:rFonts w:hint="eastAsia" w:ascii="仿宋_GB2312" w:hAnsi="宋体" w:eastAsia="仿宋_GB2312" w:cs="宋体"/>
                <w:kern w:val="0"/>
                <w:sz w:val="32"/>
                <w:szCs w:val="32"/>
              </w:rPr>
              <w:t>  公安机关应当建立由机关纪委、督察、法制和相关警种组成的违规线索会商审核机制，加强沟通与协作。</w:t>
            </w:r>
          </w:p>
          <w:p w14:paraId="397FEAC6">
            <w:pPr>
              <w:widowControl/>
              <w:wordWrap w:val="0"/>
              <w:spacing w:line="578" w:lineRule="atLeast"/>
              <w:ind w:firstLine="640"/>
              <w:rPr>
                <w:rFonts w:ascii="宋体" w:hAnsi="宋体" w:eastAsia="宋体" w:cs="宋体"/>
                <w:kern w:val="0"/>
                <w:sz w:val="24"/>
                <w:szCs w:val="24"/>
              </w:rPr>
            </w:pPr>
            <w:r>
              <w:rPr>
                <w:rFonts w:hint="eastAsia" w:ascii="黑体" w:hAnsi="黑体" w:eastAsia="黑体" w:cs="宋体"/>
                <w:kern w:val="0"/>
                <w:sz w:val="32"/>
                <w:szCs w:val="32"/>
              </w:rPr>
              <w:t>第四条</w:t>
            </w:r>
            <w:r>
              <w:rPr>
                <w:rFonts w:hint="eastAsia" w:ascii="仿宋_GB2312" w:hAnsi="宋体" w:eastAsia="仿宋_GB2312" w:cs="宋体"/>
                <w:kern w:val="0"/>
                <w:sz w:val="32"/>
                <w:szCs w:val="32"/>
              </w:rPr>
              <w:t>  违规线索处置应当做到发现及时、核查严格、认定准确，遵循实事求是、有错必纠、过错与处罚相适应、教育与惩处相结合的原则，体现“自查从宽、被查从严”的宽严相济政策。</w:t>
            </w:r>
          </w:p>
          <w:p w14:paraId="5EA58B6A">
            <w:pPr>
              <w:widowControl/>
              <w:wordWrap w:val="0"/>
              <w:spacing w:line="578" w:lineRule="atLeast"/>
              <w:ind w:firstLine="640"/>
              <w:jc w:val="center"/>
              <w:rPr>
                <w:rFonts w:ascii="宋体" w:hAnsi="宋体" w:eastAsia="宋体" w:cs="宋体"/>
                <w:kern w:val="0"/>
                <w:sz w:val="24"/>
                <w:szCs w:val="24"/>
              </w:rPr>
            </w:pPr>
            <w:r>
              <w:rPr>
                <w:rFonts w:hint="eastAsia" w:ascii="黑体" w:hAnsi="黑体" w:eastAsia="黑体" w:cs="宋体"/>
                <w:kern w:val="0"/>
                <w:sz w:val="32"/>
                <w:szCs w:val="32"/>
              </w:rPr>
              <w:t>第二章</w:t>
            </w:r>
            <w:r>
              <w:rPr>
                <w:rFonts w:ascii="Calibri" w:hAnsi="Calibri" w:eastAsia="黑体" w:cs="Calibri"/>
                <w:kern w:val="0"/>
                <w:sz w:val="32"/>
                <w:szCs w:val="32"/>
              </w:rPr>
              <w:t> </w:t>
            </w:r>
            <w:r>
              <w:rPr>
                <w:rFonts w:hint="eastAsia" w:ascii="黑体" w:hAnsi="黑体" w:eastAsia="黑体" w:cs="宋体"/>
                <w:kern w:val="0"/>
                <w:sz w:val="32"/>
                <w:szCs w:val="32"/>
              </w:rPr>
              <w:t>违规线索发现</w:t>
            </w:r>
          </w:p>
          <w:p w14:paraId="1484C9D2">
            <w:pPr>
              <w:widowControl/>
              <w:wordWrap w:val="0"/>
              <w:spacing w:line="578" w:lineRule="atLeast"/>
              <w:ind w:firstLine="640"/>
              <w:rPr>
                <w:rFonts w:ascii="宋体" w:hAnsi="宋体" w:eastAsia="宋体" w:cs="宋体"/>
                <w:kern w:val="0"/>
                <w:sz w:val="24"/>
                <w:szCs w:val="24"/>
              </w:rPr>
            </w:pPr>
            <w:r>
              <w:rPr>
                <w:rFonts w:hint="eastAsia" w:ascii="黑体" w:hAnsi="黑体" w:eastAsia="黑体" w:cs="宋体"/>
                <w:kern w:val="0"/>
                <w:sz w:val="32"/>
                <w:szCs w:val="32"/>
              </w:rPr>
              <w:t>第五条</w:t>
            </w:r>
            <w:r>
              <w:rPr>
                <w:rFonts w:ascii="Calibri" w:hAnsi="Calibri" w:eastAsia="黑体" w:cs="Calibri"/>
                <w:kern w:val="0"/>
                <w:sz w:val="32"/>
                <w:szCs w:val="32"/>
              </w:rPr>
              <w:t> </w:t>
            </w:r>
            <w:r>
              <w:rPr>
                <w:rFonts w:hint="eastAsia" w:ascii="仿宋_GB2312" w:hAnsi="宋体" w:eastAsia="仿宋_GB2312" w:cs="宋体"/>
                <w:kern w:val="0"/>
                <w:sz w:val="32"/>
                <w:szCs w:val="32"/>
              </w:rPr>
              <w:t> 公安机关办案单位或者办案人员遇有过问案件办理情况的，应当如实填写《公安机关内部人员过问案件办理行为登记表》（非公安机关内部人员过问案件办理的，应在表上注明）。</w:t>
            </w:r>
          </w:p>
          <w:p w14:paraId="0CF896A7">
            <w:pPr>
              <w:widowControl/>
              <w:wordWrap w:val="0"/>
              <w:spacing w:line="578" w:lineRule="atLeast"/>
              <w:ind w:firstLine="640"/>
              <w:rPr>
                <w:rFonts w:ascii="宋体" w:hAnsi="宋体" w:eastAsia="宋体" w:cs="宋体"/>
                <w:kern w:val="0"/>
                <w:sz w:val="24"/>
                <w:szCs w:val="24"/>
              </w:rPr>
            </w:pPr>
            <w:r>
              <w:rPr>
                <w:rFonts w:hint="eastAsia" w:ascii="仿宋_GB2312" w:hAnsi="宋体" w:eastAsia="仿宋_GB2312" w:cs="宋体"/>
                <w:kern w:val="0"/>
                <w:sz w:val="32"/>
                <w:szCs w:val="32"/>
              </w:rPr>
              <w:t>公安机关办案单位或者办案人员对于以口头、书面、电话、短信、即时通讯等方式过问案件的，自过问行为发生之日起3个工作日内，记录并上报发生时间、场所和在场人员，以及相关书证、物证、视听资料等其他证据材料，无须所在部门领导审核批准，直接报同级警务督察部门，必要时可越级向上级公安机关警务督察部门报告。</w:t>
            </w:r>
          </w:p>
          <w:p w14:paraId="1EF9E0A1">
            <w:pPr>
              <w:widowControl/>
              <w:wordWrap w:val="0"/>
              <w:spacing w:line="578" w:lineRule="atLeast"/>
              <w:ind w:firstLine="640"/>
              <w:rPr>
                <w:rFonts w:ascii="宋体" w:hAnsi="宋体" w:eastAsia="宋体" w:cs="宋体"/>
                <w:kern w:val="0"/>
                <w:sz w:val="24"/>
                <w:szCs w:val="24"/>
              </w:rPr>
            </w:pPr>
            <w:r>
              <w:rPr>
                <w:rFonts w:hint="eastAsia" w:ascii="黑体" w:hAnsi="黑体" w:eastAsia="黑体" w:cs="宋体"/>
                <w:kern w:val="0"/>
                <w:sz w:val="32"/>
                <w:szCs w:val="32"/>
              </w:rPr>
              <w:t>第六条</w:t>
            </w:r>
            <w:r>
              <w:rPr>
                <w:rFonts w:hint="eastAsia" w:ascii="仿宋_GB2312" w:hAnsi="宋体" w:eastAsia="仿宋_GB2312" w:cs="宋体"/>
                <w:kern w:val="0"/>
                <w:sz w:val="32"/>
                <w:szCs w:val="32"/>
              </w:rPr>
              <w:t>  民警在工作中，发现其它办案单位、办案民警存在未登记或未如实登记干预、插手案件办理线索的，应当报告所在单位警务督察部门。</w:t>
            </w:r>
          </w:p>
          <w:p w14:paraId="47020D77">
            <w:pPr>
              <w:widowControl/>
              <w:wordWrap w:val="0"/>
              <w:spacing w:line="578" w:lineRule="atLeast"/>
              <w:ind w:firstLine="640"/>
              <w:rPr>
                <w:rFonts w:ascii="宋体" w:hAnsi="宋体" w:eastAsia="宋体" w:cs="宋体"/>
                <w:kern w:val="0"/>
                <w:sz w:val="24"/>
                <w:szCs w:val="24"/>
              </w:rPr>
            </w:pPr>
            <w:r>
              <w:rPr>
                <w:rFonts w:hint="eastAsia" w:ascii="黑体" w:hAnsi="黑体" w:eastAsia="黑体" w:cs="宋体"/>
                <w:kern w:val="0"/>
                <w:sz w:val="32"/>
                <w:szCs w:val="32"/>
              </w:rPr>
              <w:t>第七条</w:t>
            </w:r>
            <w:r>
              <w:rPr>
                <w:rFonts w:hint="eastAsia" w:ascii="仿宋_GB2312" w:hAnsi="宋体" w:eastAsia="仿宋_GB2312" w:cs="宋体"/>
                <w:kern w:val="0"/>
                <w:sz w:val="32"/>
                <w:szCs w:val="32"/>
              </w:rPr>
              <w:t>  办案民警除填写明确违反“三个规定”情形外的，还应当将以下资料，存入案卷备查：</w:t>
            </w:r>
          </w:p>
          <w:p w14:paraId="6B790B78">
            <w:pPr>
              <w:widowControl/>
              <w:wordWrap w:val="0"/>
              <w:spacing w:line="578" w:lineRule="atLeast"/>
              <w:ind w:firstLine="640"/>
              <w:rPr>
                <w:rFonts w:ascii="宋体" w:hAnsi="宋体" w:eastAsia="宋体" w:cs="宋体"/>
                <w:kern w:val="0"/>
                <w:sz w:val="24"/>
                <w:szCs w:val="24"/>
              </w:rPr>
            </w:pPr>
            <w:r>
              <w:rPr>
                <w:rFonts w:hint="eastAsia" w:ascii="仿宋_GB2312" w:hAnsi="宋体" w:eastAsia="仿宋_GB2312" w:cs="宋体"/>
                <w:kern w:val="0"/>
                <w:sz w:val="32"/>
                <w:szCs w:val="32"/>
              </w:rPr>
              <w:t>（一）公安机关内部人员履行法定职责提出监督、指导意见的批示、函文、记录等书面资料；</w:t>
            </w:r>
          </w:p>
          <w:p w14:paraId="11715928">
            <w:pPr>
              <w:widowControl/>
              <w:wordWrap w:val="0"/>
              <w:spacing w:line="578" w:lineRule="atLeast"/>
              <w:ind w:firstLine="640"/>
              <w:rPr>
                <w:rFonts w:ascii="宋体" w:hAnsi="宋体" w:eastAsia="宋体" w:cs="宋体"/>
                <w:kern w:val="0"/>
                <w:sz w:val="24"/>
                <w:szCs w:val="24"/>
              </w:rPr>
            </w:pPr>
            <w:r>
              <w:rPr>
                <w:rFonts w:hint="eastAsia" w:ascii="仿宋_GB2312" w:hAnsi="宋体" w:eastAsia="仿宋_GB2312" w:cs="宋体"/>
                <w:kern w:val="0"/>
                <w:sz w:val="32"/>
                <w:szCs w:val="32"/>
              </w:rPr>
              <w:t>（二）非公安机关内部人员因履行法定职责，向办案单位或办案民警了解正在办理案件的有关情况，所出具的法律文书或者公函等文件资料；</w:t>
            </w:r>
          </w:p>
          <w:p w14:paraId="1996BDE6">
            <w:pPr>
              <w:widowControl/>
              <w:wordWrap w:val="0"/>
              <w:spacing w:line="578" w:lineRule="atLeast"/>
              <w:ind w:firstLine="640"/>
              <w:rPr>
                <w:rFonts w:ascii="宋体" w:hAnsi="宋体" w:eastAsia="宋体" w:cs="宋体"/>
                <w:kern w:val="0"/>
                <w:sz w:val="24"/>
                <w:szCs w:val="24"/>
              </w:rPr>
            </w:pPr>
            <w:r>
              <w:rPr>
                <w:rFonts w:hint="eastAsia" w:ascii="仿宋_GB2312" w:hAnsi="宋体" w:eastAsia="仿宋_GB2312" w:cs="宋体"/>
                <w:kern w:val="0"/>
                <w:sz w:val="32"/>
                <w:szCs w:val="32"/>
              </w:rPr>
              <w:t>（三）办案单位或者办案人员记录的公安机关内部人员因履行职责需要，向办案单位或者办案人员口头了解正在办理案件的有关情况的纸质工作记录。</w:t>
            </w:r>
          </w:p>
          <w:p w14:paraId="0C4512AA">
            <w:pPr>
              <w:widowControl/>
              <w:wordWrap w:val="0"/>
              <w:spacing w:line="578" w:lineRule="atLeast"/>
              <w:ind w:firstLine="640"/>
              <w:rPr>
                <w:rFonts w:ascii="宋体" w:hAnsi="宋体" w:eastAsia="宋体" w:cs="宋体"/>
                <w:kern w:val="0"/>
                <w:sz w:val="24"/>
                <w:szCs w:val="24"/>
              </w:rPr>
            </w:pPr>
            <w:r>
              <w:rPr>
                <w:rFonts w:hint="eastAsia" w:ascii="黑体" w:hAnsi="黑体" w:eastAsia="黑体" w:cs="宋体"/>
                <w:kern w:val="0"/>
                <w:sz w:val="32"/>
                <w:szCs w:val="32"/>
              </w:rPr>
              <w:t>第八条</w:t>
            </w:r>
            <w:r>
              <w:rPr>
                <w:rFonts w:ascii="Calibri" w:hAnsi="Calibri" w:eastAsia="黑体" w:cs="Calibri"/>
                <w:kern w:val="0"/>
                <w:sz w:val="32"/>
                <w:szCs w:val="32"/>
              </w:rPr>
              <w:t> </w:t>
            </w:r>
            <w:r>
              <w:rPr>
                <w:rFonts w:hint="eastAsia" w:ascii="仿宋_GB2312" w:hAnsi="宋体" w:eastAsia="仿宋_GB2312" w:cs="宋体"/>
                <w:kern w:val="0"/>
                <w:sz w:val="32"/>
                <w:szCs w:val="32"/>
              </w:rPr>
              <w:t> 办案民警可以采取以下方式填报违规线索：</w:t>
            </w:r>
          </w:p>
          <w:p w14:paraId="1D7D1922">
            <w:pPr>
              <w:widowControl/>
              <w:wordWrap w:val="0"/>
              <w:spacing w:line="578" w:lineRule="atLeast"/>
              <w:ind w:firstLine="640"/>
              <w:rPr>
                <w:rFonts w:ascii="宋体" w:hAnsi="宋体" w:eastAsia="宋体" w:cs="宋体"/>
                <w:kern w:val="0"/>
                <w:sz w:val="24"/>
                <w:szCs w:val="24"/>
              </w:rPr>
            </w:pPr>
            <w:r>
              <w:rPr>
                <w:rFonts w:hint="eastAsia" w:ascii="仿宋_GB2312" w:hAnsi="宋体" w:eastAsia="仿宋_GB2312" w:cs="宋体"/>
                <w:kern w:val="0"/>
                <w:sz w:val="32"/>
                <w:szCs w:val="32"/>
              </w:rPr>
              <w:t>（一）在执法办案平台的强制填报记录系统中上报违规线索。填报程序未完成嵌入期间，在案卷中存入《公安机关内部人员过问案件办理行为登记表》；</w:t>
            </w:r>
          </w:p>
          <w:p w14:paraId="36F9AAE7">
            <w:pPr>
              <w:widowControl/>
              <w:wordWrap w:val="0"/>
              <w:spacing w:line="578" w:lineRule="atLeast"/>
              <w:ind w:firstLine="640"/>
              <w:rPr>
                <w:rFonts w:ascii="宋体" w:hAnsi="宋体" w:eastAsia="宋体" w:cs="宋体"/>
                <w:kern w:val="0"/>
                <w:sz w:val="24"/>
                <w:szCs w:val="24"/>
              </w:rPr>
            </w:pPr>
            <w:r>
              <w:rPr>
                <w:rFonts w:hint="eastAsia" w:ascii="仿宋_GB2312" w:hAnsi="宋体" w:eastAsia="仿宋_GB2312" w:cs="宋体"/>
                <w:kern w:val="0"/>
                <w:sz w:val="32"/>
                <w:szCs w:val="32"/>
              </w:rPr>
              <w:t>（二）在案卷中存入案件相关的批示、函文、记录等资料；</w:t>
            </w:r>
          </w:p>
          <w:p w14:paraId="7D4C610E">
            <w:pPr>
              <w:widowControl/>
              <w:wordWrap w:val="0"/>
              <w:spacing w:line="578" w:lineRule="atLeast"/>
              <w:ind w:firstLine="640"/>
              <w:rPr>
                <w:rFonts w:ascii="宋体" w:hAnsi="宋体" w:eastAsia="宋体" w:cs="宋体"/>
                <w:kern w:val="0"/>
                <w:sz w:val="24"/>
                <w:szCs w:val="24"/>
              </w:rPr>
            </w:pPr>
            <w:r>
              <w:rPr>
                <w:rFonts w:hint="eastAsia" w:ascii="仿宋_GB2312" w:hAnsi="宋体" w:eastAsia="仿宋_GB2312" w:cs="宋体"/>
                <w:kern w:val="0"/>
                <w:sz w:val="32"/>
                <w:szCs w:val="32"/>
              </w:rPr>
              <w:t>（三）在浙政钉小程序中直报本级或上级警务督察部门。</w:t>
            </w:r>
          </w:p>
          <w:p w14:paraId="14AD5472">
            <w:pPr>
              <w:widowControl/>
              <w:wordWrap w:val="0"/>
              <w:spacing w:line="578" w:lineRule="atLeast"/>
              <w:ind w:firstLine="640"/>
              <w:rPr>
                <w:rFonts w:ascii="宋体" w:hAnsi="宋体" w:eastAsia="宋体" w:cs="宋体"/>
                <w:kern w:val="0"/>
                <w:sz w:val="24"/>
                <w:szCs w:val="24"/>
              </w:rPr>
            </w:pPr>
            <w:r>
              <w:rPr>
                <w:rFonts w:hint="eastAsia" w:ascii="黑体" w:hAnsi="黑体" w:eastAsia="黑体" w:cs="宋体"/>
                <w:kern w:val="0"/>
                <w:sz w:val="32"/>
                <w:szCs w:val="32"/>
              </w:rPr>
              <w:t>第九条</w:t>
            </w:r>
            <w:r>
              <w:rPr>
                <w:rFonts w:ascii="Calibri" w:hAnsi="Calibri" w:eastAsia="黑体" w:cs="Calibri"/>
                <w:kern w:val="0"/>
                <w:sz w:val="32"/>
                <w:szCs w:val="32"/>
              </w:rPr>
              <w:t> </w:t>
            </w:r>
            <w:r>
              <w:rPr>
                <w:rFonts w:hint="eastAsia" w:ascii="仿宋_GB2312" w:hAnsi="宋体" w:eastAsia="仿宋_GB2312" w:cs="宋体"/>
                <w:kern w:val="0"/>
                <w:sz w:val="32"/>
                <w:szCs w:val="32"/>
              </w:rPr>
              <w:t> 机关纪委在查处民警、辅警违纪违法案件时，发现线索应当及时告知警务督察部门。</w:t>
            </w:r>
          </w:p>
          <w:p w14:paraId="270C7BEC">
            <w:pPr>
              <w:widowControl/>
              <w:wordWrap w:val="0"/>
              <w:spacing w:line="578" w:lineRule="atLeast"/>
              <w:ind w:firstLine="640"/>
              <w:rPr>
                <w:rFonts w:ascii="宋体" w:hAnsi="宋体" w:eastAsia="宋体" w:cs="宋体"/>
                <w:kern w:val="0"/>
                <w:sz w:val="24"/>
                <w:szCs w:val="24"/>
              </w:rPr>
            </w:pPr>
            <w:r>
              <w:rPr>
                <w:rFonts w:hint="eastAsia" w:ascii="黑体" w:hAnsi="黑体" w:eastAsia="黑体" w:cs="宋体"/>
                <w:kern w:val="0"/>
                <w:sz w:val="32"/>
                <w:szCs w:val="32"/>
              </w:rPr>
              <w:t>第十条</w:t>
            </w:r>
            <w:r>
              <w:rPr>
                <w:rFonts w:ascii="Calibri" w:hAnsi="Calibri" w:eastAsia="黑体" w:cs="Calibri"/>
                <w:kern w:val="0"/>
                <w:sz w:val="32"/>
                <w:szCs w:val="32"/>
              </w:rPr>
              <w:t> </w:t>
            </w:r>
            <w:r>
              <w:rPr>
                <w:rFonts w:hint="eastAsia" w:ascii="仿宋_GB2312" w:hAnsi="宋体" w:eastAsia="仿宋_GB2312" w:cs="宋体"/>
                <w:kern w:val="0"/>
                <w:sz w:val="32"/>
                <w:szCs w:val="32"/>
              </w:rPr>
              <w:t> 经侦、治安、食药环知侦查、刑侦、交管、网安等业务警种在案件评查、监督检查中，发现干预、插手案件办理线索的，应当及时移交同级警务督察部门。</w:t>
            </w:r>
          </w:p>
          <w:p w14:paraId="6D024A3C">
            <w:pPr>
              <w:widowControl/>
              <w:wordWrap w:val="0"/>
              <w:spacing w:line="578" w:lineRule="atLeast"/>
              <w:ind w:firstLine="640"/>
              <w:rPr>
                <w:rFonts w:ascii="宋体" w:hAnsi="宋体" w:eastAsia="宋体" w:cs="宋体"/>
                <w:kern w:val="0"/>
                <w:sz w:val="24"/>
                <w:szCs w:val="24"/>
              </w:rPr>
            </w:pPr>
            <w:r>
              <w:rPr>
                <w:rFonts w:hint="eastAsia" w:ascii="仿宋_GB2312" w:hAnsi="宋体" w:eastAsia="仿宋_GB2312" w:cs="宋体"/>
                <w:kern w:val="0"/>
                <w:sz w:val="32"/>
                <w:szCs w:val="32"/>
              </w:rPr>
              <w:t>法制部门在案件审核时，应当将办案单位、办案民警登记领导干部、公安机关内部人员干预、插手案件办理的情况纳入审核范围，发现线索应当及时移交同级警务督察部门。</w:t>
            </w:r>
          </w:p>
          <w:p w14:paraId="646AA314">
            <w:pPr>
              <w:widowControl/>
              <w:wordWrap w:val="0"/>
              <w:spacing w:line="578" w:lineRule="atLeast"/>
              <w:ind w:firstLine="640"/>
              <w:rPr>
                <w:rFonts w:ascii="宋体" w:hAnsi="宋体" w:eastAsia="宋体" w:cs="宋体"/>
                <w:kern w:val="0"/>
                <w:sz w:val="24"/>
                <w:szCs w:val="24"/>
              </w:rPr>
            </w:pPr>
            <w:r>
              <w:rPr>
                <w:rFonts w:hint="eastAsia" w:ascii="仿宋_GB2312" w:hAnsi="宋体" w:eastAsia="仿宋_GB2312" w:cs="宋体"/>
                <w:kern w:val="0"/>
                <w:sz w:val="32"/>
                <w:szCs w:val="32"/>
              </w:rPr>
              <w:t>警务督察、信访部门在受理举报投诉、信访的违法违纪线索时，应同步审核民警违规线索。</w:t>
            </w:r>
          </w:p>
          <w:p w14:paraId="3682CC25">
            <w:pPr>
              <w:widowControl/>
              <w:wordWrap w:val="0"/>
              <w:spacing w:line="578" w:lineRule="atLeast"/>
              <w:ind w:firstLine="640"/>
              <w:rPr>
                <w:rFonts w:ascii="宋体" w:hAnsi="宋体" w:eastAsia="宋体" w:cs="宋体"/>
                <w:kern w:val="0"/>
                <w:sz w:val="24"/>
                <w:szCs w:val="24"/>
              </w:rPr>
            </w:pPr>
            <w:r>
              <w:rPr>
                <w:rFonts w:hint="eastAsia" w:ascii="黑体" w:hAnsi="黑体" w:eastAsia="黑体" w:cs="宋体"/>
                <w:kern w:val="0"/>
                <w:sz w:val="32"/>
                <w:szCs w:val="32"/>
              </w:rPr>
              <w:t>第十一条</w:t>
            </w:r>
            <w:r>
              <w:rPr>
                <w:rFonts w:hint="eastAsia" w:ascii="仿宋_GB2312" w:hAnsi="宋体" w:eastAsia="仿宋_GB2312" w:cs="宋体"/>
                <w:kern w:val="0"/>
                <w:sz w:val="32"/>
                <w:szCs w:val="32"/>
              </w:rPr>
              <w:t>  其他政法单位发现民警违规线索的，由民警所在单位同级警务督察部门负责登记受理。</w:t>
            </w:r>
          </w:p>
          <w:p w14:paraId="7D8F52CC">
            <w:pPr>
              <w:widowControl/>
              <w:wordWrap w:val="0"/>
              <w:spacing w:line="578" w:lineRule="atLeast"/>
              <w:ind w:firstLine="640"/>
              <w:jc w:val="center"/>
              <w:rPr>
                <w:rFonts w:ascii="宋体" w:hAnsi="宋体" w:eastAsia="宋体" w:cs="宋体"/>
                <w:kern w:val="0"/>
                <w:sz w:val="24"/>
                <w:szCs w:val="24"/>
              </w:rPr>
            </w:pPr>
            <w:r>
              <w:rPr>
                <w:rFonts w:hint="eastAsia" w:ascii="黑体" w:hAnsi="黑体" w:eastAsia="黑体" w:cs="宋体"/>
                <w:kern w:val="0"/>
                <w:sz w:val="32"/>
                <w:szCs w:val="32"/>
              </w:rPr>
              <w:t>第三章</w:t>
            </w:r>
            <w:r>
              <w:rPr>
                <w:rFonts w:ascii="Calibri" w:hAnsi="Calibri" w:eastAsia="黑体" w:cs="Calibri"/>
                <w:kern w:val="0"/>
                <w:sz w:val="32"/>
                <w:szCs w:val="32"/>
              </w:rPr>
              <w:t> </w:t>
            </w:r>
            <w:r>
              <w:rPr>
                <w:rFonts w:hint="eastAsia" w:ascii="黑体" w:hAnsi="黑体" w:eastAsia="黑体" w:cs="宋体"/>
                <w:kern w:val="0"/>
                <w:sz w:val="32"/>
                <w:szCs w:val="32"/>
              </w:rPr>
              <w:t>违规线索审核移送</w:t>
            </w:r>
          </w:p>
          <w:p w14:paraId="604EECCF">
            <w:pPr>
              <w:widowControl/>
              <w:wordWrap w:val="0"/>
              <w:spacing w:line="578" w:lineRule="atLeast"/>
              <w:ind w:firstLine="640"/>
              <w:rPr>
                <w:rFonts w:ascii="宋体" w:hAnsi="宋体" w:eastAsia="宋体" w:cs="宋体"/>
                <w:kern w:val="0"/>
                <w:sz w:val="24"/>
                <w:szCs w:val="24"/>
              </w:rPr>
            </w:pPr>
            <w:r>
              <w:rPr>
                <w:rFonts w:hint="eastAsia" w:ascii="黑体" w:hAnsi="黑体" w:eastAsia="黑体" w:cs="宋体"/>
                <w:kern w:val="0"/>
                <w:sz w:val="32"/>
                <w:szCs w:val="32"/>
              </w:rPr>
              <w:t>第十二条</w:t>
            </w:r>
            <w:r>
              <w:rPr>
                <w:rFonts w:hint="eastAsia" w:ascii="仿宋_GB2312" w:hAnsi="宋体" w:eastAsia="仿宋_GB2312" w:cs="宋体"/>
                <w:kern w:val="0"/>
                <w:sz w:val="32"/>
                <w:szCs w:val="32"/>
              </w:rPr>
              <w:t>  警务督察部门接到违规线索报告后，应当在七个工作日内作出审核认定，必要时可以与机关纪委、人训、法制部门及办案部门按职责分工开展会商审核，审核认定后应当提出督察建议。</w:t>
            </w:r>
          </w:p>
          <w:p w14:paraId="6BDCFABF">
            <w:pPr>
              <w:widowControl/>
              <w:wordWrap w:val="0"/>
              <w:spacing w:line="578" w:lineRule="atLeast"/>
              <w:ind w:firstLine="640"/>
              <w:rPr>
                <w:rFonts w:ascii="宋体" w:hAnsi="宋体" w:eastAsia="宋体" w:cs="宋体"/>
                <w:kern w:val="0"/>
                <w:sz w:val="24"/>
                <w:szCs w:val="24"/>
              </w:rPr>
            </w:pPr>
            <w:r>
              <w:rPr>
                <w:rFonts w:hint="eastAsia" w:ascii="黑体" w:hAnsi="黑体" w:eastAsia="黑体" w:cs="宋体"/>
                <w:kern w:val="0"/>
                <w:sz w:val="32"/>
                <w:szCs w:val="32"/>
              </w:rPr>
              <w:t>第十三条</w:t>
            </w:r>
            <w:r>
              <w:rPr>
                <w:rFonts w:ascii="Calibri" w:hAnsi="Calibri" w:eastAsia="黑体" w:cs="Calibri"/>
                <w:kern w:val="0"/>
                <w:sz w:val="32"/>
                <w:szCs w:val="32"/>
              </w:rPr>
              <w:t> </w:t>
            </w:r>
            <w:r>
              <w:rPr>
                <w:rFonts w:hint="eastAsia" w:ascii="仿宋_GB2312" w:hAnsi="宋体" w:eastAsia="仿宋_GB2312" w:cs="宋体"/>
                <w:kern w:val="0"/>
                <w:sz w:val="32"/>
                <w:szCs w:val="32"/>
              </w:rPr>
              <w:t> 督察建议经本级公安机关督察长签批同意后生效。</w:t>
            </w:r>
          </w:p>
          <w:p w14:paraId="6538866E">
            <w:pPr>
              <w:widowControl/>
              <w:wordWrap w:val="0"/>
              <w:spacing w:line="578" w:lineRule="atLeast"/>
              <w:ind w:firstLine="640"/>
              <w:rPr>
                <w:rFonts w:ascii="宋体" w:hAnsi="宋体" w:eastAsia="宋体" w:cs="宋体"/>
                <w:kern w:val="0"/>
                <w:sz w:val="24"/>
                <w:szCs w:val="24"/>
              </w:rPr>
            </w:pPr>
            <w:r>
              <w:rPr>
                <w:rFonts w:hint="eastAsia" w:ascii="黑体" w:hAnsi="黑体" w:eastAsia="黑体" w:cs="宋体"/>
                <w:kern w:val="0"/>
                <w:sz w:val="32"/>
                <w:szCs w:val="32"/>
              </w:rPr>
              <w:t>第十四条</w:t>
            </w:r>
            <w:r>
              <w:rPr>
                <w:rFonts w:hint="eastAsia" w:ascii="仿宋_GB2312" w:hAnsi="宋体" w:eastAsia="仿宋_GB2312" w:cs="宋体"/>
                <w:kern w:val="0"/>
                <w:sz w:val="32"/>
                <w:szCs w:val="32"/>
              </w:rPr>
              <w:t>  审核认定为公安机关领导干部或内部人员干预、插手案件办理的，按照干部管理权限移交派驻纪检监察、机关纪委或人训部门调查处理。</w:t>
            </w:r>
          </w:p>
          <w:p w14:paraId="4EF8554E">
            <w:pPr>
              <w:widowControl/>
              <w:wordWrap w:val="0"/>
              <w:spacing w:line="578" w:lineRule="atLeast"/>
              <w:ind w:firstLine="640"/>
              <w:rPr>
                <w:rFonts w:ascii="宋体" w:hAnsi="宋体" w:eastAsia="宋体" w:cs="宋体"/>
                <w:kern w:val="0"/>
                <w:sz w:val="24"/>
                <w:szCs w:val="24"/>
              </w:rPr>
            </w:pPr>
            <w:r>
              <w:rPr>
                <w:rFonts w:hint="eastAsia" w:ascii="黑体" w:hAnsi="黑体" w:eastAsia="黑体" w:cs="宋体"/>
                <w:kern w:val="0"/>
                <w:sz w:val="32"/>
                <w:szCs w:val="32"/>
              </w:rPr>
              <w:t>第十五条</w:t>
            </w:r>
            <w:r>
              <w:rPr>
                <w:rFonts w:ascii="Calibri" w:hAnsi="Calibri" w:eastAsia="黑体" w:cs="Calibri"/>
                <w:kern w:val="0"/>
                <w:sz w:val="32"/>
                <w:szCs w:val="32"/>
              </w:rPr>
              <w:t> </w:t>
            </w:r>
            <w:r>
              <w:rPr>
                <w:rFonts w:hint="eastAsia" w:ascii="仿宋_GB2312" w:hAnsi="宋体" w:eastAsia="仿宋_GB2312" w:cs="宋体"/>
                <w:kern w:val="0"/>
                <w:sz w:val="32"/>
                <w:szCs w:val="32"/>
              </w:rPr>
              <w:t> 审核认定为上级公安机关领导干部、内部人员，或者无隶属关系的其它公安机关领导干部、内部人员干预、插手案件办理的，移送机关纪委按程序向有权管辖的纪检监察部门报告。</w:t>
            </w:r>
          </w:p>
          <w:p w14:paraId="54B2151D">
            <w:pPr>
              <w:widowControl/>
              <w:wordWrap w:val="0"/>
              <w:spacing w:line="578" w:lineRule="atLeast"/>
              <w:ind w:firstLine="640"/>
              <w:rPr>
                <w:rFonts w:ascii="宋体" w:hAnsi="宋体" w:eastAsia="宋体" w:cs="宋体"/>
                <w:kern w:val="0"/>
                <w:sz w:val="24"/>
                <w:szCs w:val="24"/>
              </w:rPr>
            </w:pPr>
            <w:r>
              <w:rPr>
                <w:rFonts w:hint="eastAsia" w:ascii="黑体" w:hAnsi="黑体" w:eastAsia="黑体" w:cs="宋体"/>
                <w:kern w:val="0"/>
                <w:sz w:val="32"/>
                <w:szCs w:val="32"/>
              </w:rPr>
              <w:t>第十六条</w:t>
            </w:r>
            <w:r>
              <w:rPr>
                <w:rFonts w:hint="eastAsia" w:ascii="仿宋_GB2312" w:hAnsi="宋体" w:eastAsia="仿宋_GB2312" w:cs="宋体"/>
                <w:kern w:val="0"/>
                <w:sz w:val="32"/>
                <w:szCs w:val="32"/>
              </w:rPr>
              <w:t>  审核认定为非公安机关内部人员干预、插手案件办理的，移送机关纪委按程序向有权管辖的纪检监察部门报告或通报。</w:t>
            </w:r>
          </w:p>
          <w:p w14:paraId="63DA2294">
            <w:pPr>
              <w:widowControl/>
              <w:wordWrap w:val="0"/>
              <w:spacing w:line="578" w:lineRule="atLeast"/>
              <w:ind w:firstLine="640"/>
              <w:jc w:val="center"/>
              <w:rPr>
                <w:rFonts w:ascii="宋体" w:hAnsi="宋体" w:eastAsia="宋体" w:cs="宋体"/>
                <w:kern w:val="0"/>
                <w:sz w:val="24"/>
                <w:szCs w:val="24"/>
              </w:rPr>
            </w:pPr>
            <w:r>
              <w:rPr>
                <w:rFonts w:hint="eastAsia" w:ascii="黑体" w:hAnsi="黑体" w:eastAsia="黑体" w:cs="宋体"/>
                <w:kern w:val="0"/>
                <w:sz w:val="32"/>
                <w:szCs w:val="32"/>
              </w:rPr>
              <w:t>第四章</w:t>
            </w:r>
            <w:r>
              <w:rPr>
                <w:rFonts w:ascii="Calibri" w:hAnsi="Calibri" w:eastAsia="黑体" w:cs="Calibri"/>
                <w:kern w:val="0"/>
                <w:sz w:val="32"/>
                <w:szCs w:val="32"/>
              </w:rPr>
              <w:t> </w:t>
            </w:r>
            <w:r>
              <w:rPr>
                <w:rFonts w:hint="eastAsia" w:ascii="黑体" w:hAnsi="黑体" w:eastAsia="黑体" w:cs="宋体"/>
                <w:kern w:val="0"/>
                <w:sz w:val="32"/>
                <w:szCs w:val="32"/>
              </w:rPr>
              <w:t>违规线索统计分析</w:t>
            </w:r>
          </w:p>
          <w:p w14:paraId="56E2FD5A">
            <w:pPr>
              <w:widowControl/>
              <w:wordWrap w:val="0"/>
              <w:spacing w:line="578" w:lineRule="atLeast"/>
              <w:ind w:firstLine="640"/>
              <w:rPr>
                <w:rFonts w:ascii="宋体" w:hAnsi="宋体" w:eastAsia="宋体" w:cs="宋体"/>
                <w:kern w:val="0"/>
                <w:sz w:val="24"/>
                <w:szCs w:val="24"/>
              </w:rPr>
            </w:pPr>
            <w:r>
              <w:rPr>
                <w:rFonts w:hint="eastAsia" w:ascii="黑体" w:hAnsi="黑体" w:eastAsia="黑体" w:cs="宋体"/>
                <w:kern w:val="0"/>
                <w:sz w:val="32"/>
                <w:szCs w:val="32"/>
              </w:rPr>
              <w:t>第十七条</w:t>
            </w:r>
            <w:r>
              <w:rPr>
                <w:rFonts w:hint="eastAsia" w:ascii="仿宋_GB2312" w:hAnsi="宋体" w:eastAsia="仿宋_GB2312" w:cs="宋体"/>
                <w:kern w:val="0"/>
                <w:sz w:val="32"/>
                <w:szCs w:val="32"/>
              </w:rPr>
              <w:t>  公安机关办案部门应当于每季度末填写本部门《公安机关贯彻落实“三个规定”情况统计季报表》，报同级警务督察部门汇总。</w:t>
            </w:r>
          </w:p>
          <w:p w14:paraId="4EC55E20">
            <w:pPr>
              <w:widowControl/>
              <w:wordWrap w:val="0"/>
              <w:spacing w:line="578" w:lineRule="atLeast"/>
              <w:ind w:firstLine="640"/>
              <w:rPr>
                <w:rFonts w:ascii="宋体" w:hAnsi="宋体" w:eastAsia="宋体" w:cs="宋体"/>
                <w:kern w:val="0"/>
                <w:sz w:val="24"/>
                <w:szCs w:val="24"/>
              </w:rPr>
            </w:pPr>
            <w:r>
              <w:rPr>
                <w:rFonts w:hint="eastAsia" w:ascii="黑体" w:hAnsi="黑体" w:eastAsia="黑体" w:cs="宋体"/>
                <w:kern w:val="0"/>
                <w:sz w:val="32"/>
                <w:szCs w:val="32"/>
              </w:rPr>
              <w:t>第十八条</w:t>
            </w:r>
            <w:r>
              <w:rPr>
                <w:rFonts w:hint="eastAsia" w:ascii="仿宋_GB2312" w:hAnsi="宋体" w:eastAsia="仿宋_GB2312" w:cs="宋体"/>
                <w:kern w:val="0"/>
                <w:sz w:val="32"/>
                <w:szCs w:val="32"/>
              </w:rPr>
              <w:t>  各级公安机关应当定期对本单位落实防止干预司法“三个规定”情况进行分析评估，开展预警预防，视情通报典型案例。</w:t>
            </w:r>
          </w:p>
          <w:p w14:paraId="3BE8CE68">
            <w:pPr>
              <w:widowControl/>
              <w:wordWrap w:val="0"/>
              <w:spacing w:line="578" w:lineRule="atLeast"/>
              <w:ind w:firstLine="640"/>
              <w:rPr>
                <w:rFonts w:ascii="宋体" w:hAnsi="宋体" w:eastAsia="宋体" w:cs="宋体"/>
                <w:kern w:val="0"/>
                <w:sz w:val="24"/>
                <w:szCs w:val="24"/>
              </w:rPr>
            </w:pPr>
            <w:r>
              <w:rPr>
                <w:rFonts w:hint="eastAsia" w:ascii="黑体" w:hAnsi="黑体" w:eastAsia="黑体" w:cs="宋体"/>
                <w:kern w:val="0"/>
                <w:sz w:val="32"/>
                <w:szCs w:val="32"/>
              </w:rPr>
              <w:t>第十九条</w:t>
            </w:r>
            <w:r>
              <w:rPr>
                <w:rFonts w:hint="eastAsia" w:ascii="仿宋_GB2312" w:hAnsi="宋体" w:eastAsia="仿宋_GB2312" w:cs="宋体"/>
                <w:kern w:val="0"/>
                <w:sz w:val="32"/>
                <w:szCs w:val="32"/>
              </w:rPr>
              <w:t>  各级公安机关应当严格违规线索登记管理，实现全程留痕，做好保密工作。</w:t>
            </w:r>
          </w:p>
          <w:p w14:paraId="1A3F7F42">
            <w:pPr>
              <w:widowControl/>
              <w:wordWrap w:val="0"/>
              <w:spacing w:line="578" w:lineRule="atLeast"/>
              <w:ind w:firstLine="640"/>
              <w:rPr>
                <w:rFonts w:ascii="宋体" w:hAnsi="宋体" w:eastAsia="宋体" w:cs="宋体"/>
                <w:kern w:val="0"/>
                <w:sz w:val="24"/>
                <w:szCs w:val="24"/>
              </w:rPr>
            </w:pPr>
            <w:r>
              <w:rPr>
                <w:rFonts w:hint="eastAsia" w:ascii="黑体" w:hAnsi="黑体" w:eastAsia="黑体" w:cs="宋体"/>
                <w:kern w:val="0"/>
                <w:sz w:val="32"/>
                <w:szCs w:val="32"/>
              </w:rPr>
              <w:t>第二十条</w:t>
            </w:r>
            <w:r>
              <w:rPr>
                <w:rFonts w:ascii="Calibri" w:hAnsi="Calibri" w:eastAsia="黑体" w:cs="Calibri"/>
                <w:kern w:val="0"/>
                <w:sz w:val="32"/>
                <w:szCs w:val="32"/>
              </w:rPr>
              <w:t>  </w:t>
            </w:r>
            <w:r>
              <w:rPr>
                <w:rFonts w:hint="eastAsia" w:ascii="仿宋_GB2312" w:hAnsi="宋体" w:eastAsia="仿宋_GB2312" w:cs="宋体"/>
                <w:kern w:val="0"/>
                <w:sz w:val="32"/>
                <w:szCs w:val="32"/>
              </w:rPr>
              <w:t>上级公安机关应当加强对违规线索核查情况跟踪督办和业务指导，确保办理质量。</w:t>
            </w:r>
          </w:p>
          <w:p w14:paraId="30BAF750">
            <w:pPr>
              <w:widowControl/>
              <w:wordWrap w:val="0"/>
              <w:spacing w:line="578" w:lineRule="atLeast"/>
              <w:ind w:firstLine="640"/>
              <w:jc w:val="center"/>
              <w:rPr>
                <w:rFonts w:ascii="宋体" w:hAnsi="宋体" w:eastAsia="宋体" w:cs="宋体"/>
                <w:kern w:val="0"/>
                <w:sz w:val="24"/>
                <w:szCs w:val="24"/>
              </w:rPr>
            </w:pPr>
            <w:r>
              <w:rPr>
                <w:rFonts w:hint="eastAsia" w:ascii="黑体" w:hAnsi="黑体" w:eastAsia="黑体" w:cs="宋体"/>
                <w:kern w:val="0"/>
                <w:sz w:val="32"/>
                <w:szCs w:val="32"/>
              </w:rPr>
              <w:t>第五章</w:t>
            </w:r>
            <w:r>
              <w:rPr>
                <w:rFonts w:ascii="Calibri" w:hAnsi="Calibri" w:eastAsia="黑体" w:cs="Calibri"/>
                <w:kern w:val="0"/>
                <w:sz w:val="32"/>
                <w:szCs w:val="32"/>
              </w:rPr>
              <w:t> </w:t>
            </w:r>
            <w:r>
              <w:rPr>
                <w:rFonts w:hint="eastAsia" w:ascii="黑体" w:hAnsi="黑体" w:eastAsia="黑体" w:cs="宋体"/>
                <w:kern w:val="0"/>
                <w:sz w:val="32"/>
                <w:szCs w:val="32"/>
              </w:rPr>
              <w:t>责任追究</w:t>
            </w:r>
          </w:p>
          <w:p w14:paraId="3E717F8C">
            <w:pPr>
              <w:widowControl/>
              <w:wordWrap w:val="0"/>
              <w:spacing w:line="578" w:lineRule="atLeast"/>
              <w:ind w:firstLine="640"/>
              <w:rPr>
                <w:rFonts w:ascii="宋体" w:hAnsi="宋体" w:eastAsia="宋体" w:cs="宋体"/>
                <w:kern w:val="0"/>
                <w:sz w:val="24"/>
                <w:szCs w:val="24"/>
              </w:rPr>
            </w:pPr>
            <w:r>
              <w:rPr>
                <w:rFonts w:hint="eastAsia" w:ascii="黑体" w:hAnsi="黑体" w:eastAsia="黑体" w:cs="宋体"/>
                <w:kern w:val="0"/>
                <w:sz w:val="32"/>
                <w:szCs w:val="32"/>
              </w:rPr>
              <w:t>第二十一条</w:t>
            </w:r>
            <w:r>
              <w:rPr>
                <w:rFonts w:hint="eastAsia" w:ascii="仿宋_GB2312" w:hAnsi="宋体" w:eastAsia="仿宋_GB2312" w:cs="宋体"/>
                <w:kern w:val="0"/>
                <w:sz w:val="32"/>
                <w:szCs w:val="32"/>
              </w:rPr>
              <w:t>  各级公安机关应当定期对违规线索核查情况开展倒查，发现以下情形的，从严追究有关人员责任：</w:t>
            </w:r>
          </w:p>
          <w:p w14:paraId="78CA7E22">
            <w:pPr>
              <w:widowControl/>
              <w:wordWrap w:val="0"/>
              <w:spacing w:line="578" w:lineRule="atLeast"/>
              <w:ind w:firstLine="640"/>
              <w:rPr>
                <w:rFonts w:ascii="宋体" w:hAnsi="宋体" w:eastAsia="宋体" w:cs="宋体"/>
                <w:kern w:val="0"/>
                <w:sz w:val="24"/>
                <w:szCs w:val="24"/>
              </w:rPr>
            </w:pPr>
            <w:r>
              <w:rPr>
                <w:rFonts w:hint="eastAsia" w:ascii="仿宋_GB2312" w:hAnsi="宋体" w:eastAsia="仿宋_GB2312" w:cs="宋体"/>
                <w:kern w:val="0"/>
                <w:sz w:val="32"/>
                <w:szCs w:val="32"/>
              </w:rPr>
              <w:t>（一）对因失职或未如实填报等不作为导致违规线索未能及时发现并移送的，被其他公安机关或者其他部门查实的；</w:t>
            </w:r>
          </w:p>
          <w:p w14:paraId="4AB2ED2C">
            <w:pPr>
              <w:widowControl/>
              <w:wordWrap w:val="0"/>
              <w:spacing w:line="578" w:lineRule="atLeast"/>
              <w:ind w:firstLine="640"/>
              <w:rPr>
                <w:rFonts w:ascii="宋体" w:hAnsi="宋体" w:eastAsia="宋体" w:cs="宋体"/>
                <w:kern w:val="0"/>
                <w:sz w:val="24"/>
                <w:szCs w:val="24"/>
              </w:rPr>
            </w:pPr>
            <w:r>
              <w:rPr>
                <w:rFonts w:hint="eastAsia" w:ascii="仿宋_GB2312" w:hAnsi="宋体" w:eastAsia="仿宋_GB2312" w:cs="宋体"/>
                <w:kern w:val="0"/>
                <w:sz w:val="32"/>
                <w:szCs w:val="32"/>
              </w:rPr>
              <w:t>（二）在违规线索核查工作中弄虚作假、降格认定、徇私枉法、通风报信的；</w:t>
            </w:r>
          </w:p>
          <w:p w14:paraId="05425A2D">
            <w:pPr>
              <w:widowControl/>
              <w:wordWrap w:val="0"/>
              <w:spacing w:line="578" w:lineRule="atLeast"/>
              <w:ind w:firstLine="640"/>
              <w:rPr>
                <w:rFonts w:ascii="宋体" w:hAnsi="宋体" w:eastAsia="宋体" w:cs="宋体"/>
                <w:kern w:val="0"/>
                <w:sz w:val="24"/>
                <w:szCs w:val="24"/>
              </w:rPr>
            </w:pPr>
            <w:r>
              <w:rPr>
                <w:rFonts w:hint="eastAsia" w:ascii="仿宋_GB2312" w:hAnsi="宋体" w:eastAsia="仿宋_GB2312" w:cs="宋体"/>
                <w:kern w:val="0"/>
                <w:sz w:val="32"/>
                <w:szCs w:val="32"/>
              </w:rPr>
              <w:t>（三）对违规线索压线不查、久拖未决，造成不良后果，影响较大的。</w:t>
            </w:r>
          </w:p>
          <w:p w14:paraId="092AB1F4">
            <w:pPr>
              <w:widowControl/>
              <w:wordWrap w:val="0"/>
              <w:spacing w:line="578" w:lineRule="atLeast"/>
              <w:ind w:firstLine="640"/>
              <w:rPr>
                <w:rFonts w:ascii="宋体" w:hAnsi="宋体" w:eastAsia="宋体" w:cs="宋体"/>
                <w:kern w:val="0"/>
                <w:sz w:val="24"/>
                <w:szCs w:val="24"/>
              </w:rPr>
            </w:pPr>
            <w:r>
              <w:rPr>
                <w:rFonts w:hint="eastAsia" w:ascii="黑体" w:hAnsi="黑体" w:eastAsia="黑体" w:cs="宋体"/>
                <w:kern w:val="0"/>
                <w:sz w:val="32"/>
                <w:szCs w:val="32"/>
              </w:rPr>
              <w:t>第二十二条</w:t>
            </w:r>
            <w:r>
              <w:rPr>
                <w:rFonts w:hint="eastAsia" w:ascii="仿宋_GB2312" w:hAnsi="宋体" w:eastAsia="仿宋_GB2312" w:cs="宋体"/>
                <w:kern w:val="0"/>
                <w:sz w:val="32"/>
                <w:szCs w:val="32"/>
              </w:rPr>
              <w:t>  对故意干扰、影响违规线索核查工作，情节严重、造成后果的，从严追究有关人员责任。</w:t>
            </w:r>
          </w:p>
          <w:p w14:paraId="0D8E13F7">
            <w:pPr>
              <w:widowControl/>
              <w:wordWrap w:val="0"/>
              <w:spacing w:line="578" w:lineRule="atLeast"/>
              <w:ind w:firstLine="640"/>
              <w:jc w:val="center"/>
              <w:rPr>
                <w:rFonts w:ascii="宋体" w:hAnsi="宋体" w:eastAsia="宋体" w:cs="宋体"/>
                <w:kern w:val="0"/>
                <w:sz w:val="24"/>
                <w:szCs w:val="24"/>
              </w:rPr>
            </w:pPr>
            <w:r>
              <w:rPr>
                <w:rFonts w:hint="eastAsia" w:ascii="黑体" w:hAnsi="黑体" w:eastAsia="黑体" w:cs="宋体"/>
                <w:kern w:val="0"/>
                <w:sz w:val="32"/>
                <w:szCs w:val="32"/>
              </w:rPr>
              <w:t>第六章</w:t>
            </w:r>
            <w:r>
              <w:rPr>
                <w:rFonts w:ascii="Calibri" w:hAnsi="Calibri" w:eastAsia="黑体" w:cs="Calibri"/>
                <w:kern w:val="0"/>
                <w:sz w:val="32"/>
                <w:szCs w:val="32"/>
              </w:rPr>
              <w:t> </w:t>
            </w:r>
            <w:r>
              <w:rPr>
                <w:rFonts w:hint="eastAsia" w:ascii="黑体" w:hAnsi="黑体" w:eastAsia="黑体" w:cs="宋体"/>
                <w:kern w:val="0"/>
                <w:sz w:val="32"/>
                <w:szCs w:val="32"/>
              </w:rPr>
              <w:t>附</w:t>
            </w:r>
            <w:r>
              <w:rPr>
                <w:rFonts w:ascii="Calibri" w:hAnsi="Calibri" w:eastAsia="黑体" w:cs="Calibri"/>
                <w:kern w:val="0"/>
                <w:sz w:val="32"/>
                <w:szCs w:val="32"/>
              </w:rPr>
              <w:t>  </w:t>
            </w:r>
            <w:r>
              <w:rPr>
                <w:rFonts w:hint="eastAsia" w:ascii="黑体" w:hAnsi="黑体" w:eastAsia="黑体" w:cs="宋体"/>
                <w:kern w:val="0"/>
                <w:sz w:val="32"/>
                <w:szCs w:val="32"/>
              </w:rPr>
              <w:t>则</w:t>
            </w:r>
          </w:p>
          <w:p w14:paraId="2B8D2EC6">
            <w:pPr>
              <w:widowControl/>
              <w:wordWrap w:val="0"/>
              <w:spacing w:line="578" w:lineRule="atLeast"/>
              <w:ind w:firstLine="640"/>
              <w:rPr>
                <w:rFonts w:ascii="宋体" w:hAnsi="宋体" w:eastAsia="宋体" w:cs="宋体"/>
                <w:kern w:val="0"/>
                <w:sz w:val="24"/>
                <w:szCs w:val="24"/>
              </w:rPr>
            </w:pPr>
            <w:r>
              <w:rPr>
                <w:rFonts w:hint="eastAsia" w:ascii="黑体" w:hAnsi="黑体" w:eastAsia="黑体" w:cs="宋体"/>
                <w:kern w:val="0"/>
                <w:sz w:val="32"/>
                <w:szCs w:val="32"/>
              </w:rPr>
              <w:t>第二十三条</w:t>
            </w:r>
            <w:r>
              <w:rPr>
                <w:rFonts w:hint="eastAsia" w:ascii="仿宋_GB2312" w:hAnsi="宋体" w:eastAsia="仿宋_GB2312" w:cs="宋体"/>
                <w:kern w:val="0"/>
                <w:sz w:val="32"/>
                <w:szCs w:val="32"/>
              </w:rPr>
              <w:t>  本细则所称“公安机关内部人员”，是指公安机关及其派出机构的工作人员，含民警、职工、辅警及配合公安机关从事警务工作的其他人员；离退休人员适用本规定。</w:t>
            </w:r>
          </w:p>
          <w:p w14:paraId="460BBE9C">
            <w:pPr>
              <w:widowControl/>
              <w:wordWrap w:val="0"/>
              <w:jc w:val="left"/>
              <w:rPr>
                <w:rFonts w:ascii="宋体" w:hAnsi="宋体" w:eastAsia="宋体" w:cs="宋体"/>
                <w:kern w:val="0"/>
                <w:sz w:val="24"/>
                <w:szCs w:val="24"/>
              </w:rPr>
            </w:pPr>
            <w:r>
              <w:rPr>
                <w:rFonts w:hint="eastAsia" w:ascii="黑体" w:hAnsi="黑体" w:eastAsia="黑体" w:cs="宋体"/>
                <w:kern w:val="0"/>
                <w:sz w:val="32"/>
                <w:szCs w:val="32"/>
              </w:rPr>
              <w:t>第二十四条</w:t>
            </w:r>
            <w:r>
              <w:rPr>
                <w:rFonts w:hint="eastAsia" w:ascii="仿宋_GB2312" w:hAnsi="宋体" w:eastAsia="仿宋_GB2312" w:cs="宋体"/>
                <w:kern w:val="0"/>
                <w:sz w:val="32"/>
                <w:szCs w:val="32"/>
              </w:rPr>
              <w:t>  本工作细则自公布之日起施行。</w:t>
            </w:r>
          </w:p>
        </w:tc>
      </w:tr>
    </w:tbl>
    <w:p w14:paraId="1804E2F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5E15"/>
    <w:rsid w:val="00B55E15"/>
    <w:rsid w:val="00C43EBE"/>
    <w:rsid w:val="00ED098A"/>
    <w:rsid w:val="1B2A77ED"/>
    <w:rsid w:val="407034DF"/>
    <w:rsid w:val="75923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2156</Words>
  <Characters>2156</Characters>
  <Lines>16</Lines>
  <Paragraphs>4</Paragraphs>
  <TotalTime>0</TotalTime>
  <ScaleCrop>false</ScaleCrop>
  <LinksUpToDate>false</LinksUpToDate>
  <CharactersWithSpaces>2214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2025-02-18T01:50:00Z</dcterms:created>
  <dc:creator>IBM</dc:creator>
  <cp:lastModifiedBy>马丽娜</cp:lastModifiedBy>
  <dcterms:modified xsi:type="dcterms:W3CDTF">2025-03-24T08:07:01Z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eyJoZGlkIjoiZTFhZGJjMjlmMmZjZTNjZDI1YmM2ZTk0YWVjZmI2OTkiLCJ1c2VySWQiOiIxNjUyMjQ2MDYxIn0=</vt:lpwstr>
  </property>
  <property fmtid="{D5CDD505-2E9C-101B-9397-08002B2CF9AE}" pid="3" name="KSOProductBuildVer">
    <vt:lpwstr>2052-12.1.0.19302</vt:lpwstr>
  </property>
  <property fmtid="{D5CDD505-2E9C-101B-9397-08002B2CF9AE}" pid="4" name="ICV">
    <vt:lpwstr>77A0FE9E983C436C93AFB120405C0BCB_12</vt:lpwstr>
  </property>
</Properties>
</file>