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bidi w:val="0"/>
        <w:rPr>
          <w:rFonts w:hint="eastAsia"/>
        </w:rPr>
      </w:pPr>
      <w:bookmarkStart w:id="0" w:name="_Toc2366"/>
      <w:r>
        <w:rPr>
          <w:rFonts w:hint="eastAsia"/>
          <w:lang w:eastAsia="zh-CN"/>
        </w:rPr>
        <w:t>全</w:t>
      </w:r>
      <w:r>
        <w:rPr>
          <w:rFonts w:hint="eastAsia"/>
        </w:rPr>
        <w:t>省公安机关信访事项终结办法</w:t>
      </w:r>
      <w:bookmarkEnd w:id="0"/>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600" w:lineRule="exact"/>
        <w:ind w:left="0" w:right="0" w:firstLine="640"/>
        <w:jc w:val="both"/>
        <w:textAlignment w:val="auto"/>
        <w:rPr>
          <w:rFonts w:hint="default" w:ascii="Times New Roman" w:hAnsi="Times New Roman" w:eastAsia="仿宋_GB2312" w:cs="Times New Roman"/>
          <w:b w:val="0"/>
          <w:i w:val="0"/>
          <w:caps w:val="0"/>
          <w:color w:val="auto"/>
          <w:spacing w:val="0"/>
          <w:kern w:val="0"/>
          <w:sz w:val="32"/>
          <w:szCs w:val="32"/>
          <w:shd w:val="clear" w:fill="FFFFFF"/>
          <w:lang w:val="en-US" w:eastAsia="zh-CN" w:bidi="ar"/>
        </w:rPr>
      </w:pPr>
    </w:p>
    <w:p>
      <w:pPr>
        <w:keepNext w:val="0"/>
        <w:keepLines w:val="0"/>
        <w:pageBreakBefore w:val="0"/>
        <w:widowControl w:val="0"/>
        <w:kinsoku/>
        <w:wordWrap/>
        <w:overflowPunct/>
        <w:topLinePunct w:val="0"/>
        <w:autoSpaceDE/>
        <w:autoSpaceDN/>
        <w:bidi w:val="0"/>
        <w:adjustRightInd/>
        <w:snapToGrid/>
        <w:spacing w:line="600" w:lineRule="exact"/>
        <w:ind w:right="0" w:rightChars="0"/>
        <w:jc w:val="center"/>
        <w:textAlignment w:val="auto"/>
        <w:outlineLvl w:val="9"/>
        <w:rPr>
          <w:rFonts w:hint="eastAsia" w:ascii="Times New Roman" w:hAnsi="Times New Roman" w:eastAsia="黑体" w:cs="黑体"/>
          <w:color w:val="auto"/>
          <w:sz w:val="32"/>
          <w:szCs w:val="32"/>
        </w:rPr>
      </w:pPr>
      <w:r>
        <w:rPr>
          <w:rFonts w:hint="eastAsia" w:ascii="Times New Roman" w:hAnsi="Times New Roman" w:eastAsia="黑体" w:cs="黑体"/>
          <w:color w:val="auto"/>
          <w:sz w:val="32"/>
          <w:szCs w:val="32"/>
        </w:rPr>
        <w:t>第一章  总    则</w:t>
      </w:r>
    </w:p>
    <w:p>
      <w:pPr>
        <w:pStyle w:val="2"/>
        <w:rPr>
          <w:rFonts w:hint="eastAsia"/>
        </w:rPr>
      </w:pP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仿宋_GB2312" w:cs="仿宋_GB2312"/>
          <w:color w:val="auto"/>
          <w:sz w:val="32"/>
          <w:szCs w:val="32"/>
        </w:rPr>
      </w:pPr>
      <w:r>
        <w:rPr>
          <w:rFonts w:hint="eastAsia" w:ascii="Times New Roman" w:hAnsi="Times New Roman" w:eastAsia="黑体" w:cs="黑体"/>
          <w:color w:val="auto"/>
          <w:sz w:val="32"/>
          <w:szCs w:val="32"/>
        </w:rPr>
        <w:t>第一条</w:t>
      </w:r>
      <w:r>
        <w:rPr>
          <w:rFonts w:hint="eastAsia" w:ascii="Times New Roman" w:hAnsi="Times New Roman" w:eastAsia="仿宋_GB2312" w:cs="仿宋_GB2312"/>
          <w:color w:val="auto"/>
          <w:sz w:val="32"/>
          <w:szCs w:val="32"/>
        </w:rPr>
        <w:t xml:space="preserve">  为畅通信访出口、规范信访秩序，切实维护群众合法权益、维护司法权威，根据涉法涉诉信访改革有关精神，按照《信访工作条例》《公安机关信访工作规定》《中央政法委关于健全涉法涉诉信访依法终结制度的意见》（中政委〔2014〕28号）《公安部关于进一步规范信访事项终结工作的通知》（公通字〔2014〕43号）</w:t>
      </w:r>
      <w:r>
        <w:rPr>
          <w:rFonts w:hint="eastAsia" w:ascii="Times New Roman" w:hAnsi="Times New Roman" w:eastAsia="仿宋_GB2312" w:cs="仿宋_GB2312"/>
          <w:color w:val="auto"/>
          <w:sz w:val="32"/>
          <w:szCs w:val="32"/>
          <w:lang w:eastAsia="zh-CN"/>
        </w:rPr>
        <w:t>等法规规章和有关规定</w:t>
      </w:r>
      <w:r>
        <w:rPr>
          <w:rFonts w:hint="eastAsia" w:ascii="Times New Roman" w:hAnsi="Times New Roman" w:eastAsia="仿宋_GB2312" w:cs="仿宋_GB2312"/>
          <w:color w:val="auto"/>
          <w:sz w:val="32"/>
          <w:szCs w:val="32"/>
        </w:rPr>
        <w:t>，</w:t>
      </w:r>
      <w:r>
        <w:rPr>
          <w:rFonts w:hint="eastAsia" w:ascii="Times New Roman" w:hAnsi="Times New Roman" w:eastAsia="仿宋_GB2312" w:cs="仿宋_GB2312"/>
          <w:color w:val="auto"/>
          <w:sz w:val="32"/>
          <w:szCs w:val="32"/>
          <w:lang w:eastAsia="zh-CN"/>
        </w:rPr>
        <w:t>结合我省实际，</w:t>
      </w:r>
      <w:r>
        <w:rPr>
          <w:rFonts w:hint="eastAsia" w:ascii="Times New Roman" w:hAnsi="Times New Roman" w:eastAsia="仿宋_GB2312" w:cs="仿宋_GB2312"/>
          <w:color w:val="auto"/>
          <w:sz w:val="32"/>
          <w:szCs w:val="32"/>
        </w:rPr>
        <w:t>制定本办法。</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仿宋_GB2312" w:cs="仿宋_GB2312"/>
          <w:color w:val="auto"/>
          <w:sz w:val="32"/>
          <w:szCs w:val="32"/>
        </w:rPr>
      </w:pPr>
      <w:r>
        <w:rPr>
          <w:rFonts w:hint="eastAsia" w:ascii="Times New Roman" w:hAnsi="Times New Roman" w:eastAsia="黑体" w:cs="黑体"/>
          <w:color w:val="auto"/>
          <w:sz w:val="32"/>
          <w:szCs w:val="32"/>
        </w:rPr>
        <w:t>第二条</w:t>
      </w:r>
      <w:r>
        <w:rPr>
          <w:rFonts w:hint="eastAsia" w:ascii="Times New Roman" w:hAnsi="Times New Roman" w:eastAsia="仿宋_GB2312" w:cs="仿宋_GB2312"/>
          <w:color w:val="auto"/>
          <w:sz w:val="32"/>
          <w:szCs w:val="32"/>
        </w:rPr>
        <w:t xml:space="preserve">  本办法所称的信访事项终结，是指对我省公安机关已经依法办结的信访事项，信访人仍以同一事由继续信访的，由管辖该信访事项的公安机关提出终结申报，经逐级审核，最终由省公安厅审查后，决定是否终结的工作。</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仿宋_GB2312" w:cs="仿宋_GB2312"/>
          <w:color w:val="auto"/>
          <w:sz w:val="32"/>
          <w:szCs w:val="32"/>
        </w:rPr>
      </w:pPr>
      <w:r>
        <w:rPr>
          <w:rFonts w:hint="eastAsia" w:ascii="Times New Roman" w:hAnsi="Times New Roman" w:eastAsia="黑体" w:cs="黑体"/>
          <w:color w:val="auto"/>
          <w:sz w:val="32"/>
          <w:szCs w:val="32"/>
        </w:rPr>
        <w:t>第三条</w:t>
      </w:r>
      <w:r>
        <w:rPr>
          <w:rFonts w:hint="eastAsia" w:ascii="Times New Roman" w:hAnsi="Times New Roman" w:eastAsia="仿宋_GB2312" w:cs="仿宋_GB2312"/>
          <w:color w:val="auto"/>
          <w:sz w:val="32"/>
          <w:szCs w:val="32"/>
        </w:rPr>
        <w:t xml:space="preserve">  信访事项终结坚持“三到位一处理”的原则，实行“谁申报、谁负责，谁审核、谁负责，谁终结、谁负责”，各级公安机关应当慎重开展，并把促使信访人停访息诉工作贯穿终结工作全过程。　</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仿宋_GB2312" w:cs="仿宋_GB2312"/>
          <w:color w:val="auto"/>
          <w:sz w:val="32"/>
          <w:szCs w:val="32"/>
        </w:rPr>
      </w:pPr>
      <w:r>
        <w:rPr>
          <w:rFonts w:hint="eastAsia" w:ascii="Times New Roman" w:hAnsi="Times New Roman" w:eastAsia="黑体" w:cs="黑体"/>
          <w:color w:val="auto"/>
          <w:sz w:val="32"/>
          <w:szCs w:val="32"/>
        </w:rPr>
        <w:t>第四条</w:t>
      </w:r>
      <w:r>
        <w:rPr>
          <w:rFonts w:hint="eastAsia" w:ascii="Times New Roman" w:hAnsi="Times New Roman" w:eastAsia="仿宋_GB2312" w:cs="仿宋_GB2312"/>
          <w:color w:val="auto"/>
          <w:sz w:val="32"/>
          <w:szCs w:val="32"/>
        </w:rPr>
        <w:t xml:space="preserve">  省公安厅成立信访事项终结评审委员会（以下简称“厅终结委”），由省公安厅信访工作领导小组具体承担信访事项的审查终结工作。</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仿宋_GB2312" w:cs="仿宋_GB2312"/>
          <w:color w:val="auto"/>
          <w:sz w:val="32"/>
          <w:szCs w:val="32"/>
        </w:rPr>
      </w:pPr>
      <w:r>
        <w:rPr>
          <w:rFonts w:hint="eastAsia" w:ascii="Times New Roman" w:hAnsi="Times New Roman" w:eastAsia="仿宋_GB2312" w:cs="仿宋_GB2312"/>
          <w:color w:val="auto"/>
          <w:sz w:val="32"/>
          <w:szCs w:val="32"/>
        </w:rPr>
        <w:t>厅终结委设主任一名、委员若干。主任由厅分管信访工作负责人担任，委员由厅信访工作领导小组成员单位负责人担任。根据需要，可以从业务骨干或专家中增选委员。</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仿宋_GB2312" w:cs="仿宋_GB2312"/>
          <w:color w:val="auto"/>
          <w:sz w:val="32"/>
          <w:szCs w:val="32"/>
        </w:rPr>
      </w:pPr>
      <w:r>
        <w:rPr>
          <w:rFonts w:hint="eastAsia" w:ascii="Times New Roman" w:hAnsi="Times New Roman" w:eastAsia="仿宋_GB2312" w:cs="仿宋_GB2312"/>
          <w:color w:val="auto"/>
          <w:sz w:val="32"/>
          <w:szCs w:val="32"/>
        </w:rPr>
        <w:t>厅终结委下设办公室（以下简称“厅终结办”），主任由厅信访处主要负责人担任，日常工作由厅信访处负责。</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仿宋_GB2312" w:cs="仿宋_GB2312"/>
          <w:color w:val="auto"/>
          <w:sz w:val="32"/>
          <w:szCs w:val="32"/>
        </w:rPr>
      </w:pPr>
      <w:r>
        <w:rPr>
          <w:rFonts w:hint="eastAsia" w:ascii="Times New Roman" w:hAnsi="Times New Roman" w:eastAsia="黑体" w:cs="黑体"/>
          <w:color w:val="auto"/>
          <w:sz w:val="32"/>
          <w:szCs w:val="32"/>
        </w:rPr>
        <w:t>第五条</w:t>
      </w:r>
      <w:r>
        <w:rPr>
          <w:rFonts w:hint="eastAsia" w:ascii="Times New Roman" w:hAnsi="Times New Roman" w:eastAsia="仿宋_GB2312" w:cs="仿宋_GB2312"/>
          <w:color w:val="auto"/>
          <w:sz w:val="32"/>
          <w:szCs w:val="32"/>
        </w:rPr>
        <w:t xml:space="preserve">  市级公安机关应当成立信访事项终结申报和审核委员会，县级公安机关应当成立信访事项终结申报委员会，委员会主任由公安机关分管信访工作负责人担任，委员由信访工作领导小组成员单位负责人担任。</w:t>
      </w:r>
    </w:p>
    <w:p>
      <w:pPr>
        <w:keepNext w:val="0"/>
        <w:keepLines w:val="0"/>
        <w:pageBreakBefore w:val="0"/>
        <w:widowControl w:val="0"/>
        <w:kinsoku/>
        <w:wordWrap/>
        <w:overflowPunct/>
        <w:topLinePunct w:val="0"/>
        <w:autoSpaceDE/>
        <w:autoSpaceDN/>
        <w:bidi w:val="0"/>
        <w:adjustRightInd/>
        <w:snapToGrid/>
        <w:spacing w:line="600" w:lineRule="exact"/>
        <w:ind w:right="0" w:rightChars="0"/>
        <w:jc w:val="both"/>
        <w:textAlignment w:val="auto"/>
        <w:outlineLvl w:val="9"/>
        <w:rPr>
          <w:rFonts w:hint="eastAsia" w:ascii="Times New Roman" w:hAnsi="Times New Roman" w:eastAsia="仿宋_GB2312" w:cs="仿宋_GB2312"/>
          <w:color w:val="auto"/>
          <w:sz w:val="32"/>
          <w:szCs w:val="32"/>
        </w:rPr>
      </w:pPr>
    </w:p>
    <w:p>
      <w:pPr>
        <w:keepNext w:val="0"/>
        <w:keepLines w:val="0"/>
        <w:pageBreakBefore w:val="0"/>
        <w:widowControl w:val="0"/>
        <w:kinsoku/>
        <w:wordWrap/>
        <w:overflowPunct/>
        <w:topLinePunct w:val="0"/>
        <w:autoSpaceDE/>
        <w:autoSpaceDN/>
        <w:bidi w:val="0"/>
        <w:adjustRightInd/>
        <w:snapToGrid/>
        <w:spacing w:line="600" w:lineRule="exact"/>
        <w:ind w:right="0" w:rightChars="0"/>
        <w:jc w:val="center"/>
        <w:textAlignment w:val="auto"/>
        <w:outlineLvl w:val="9"/>
        <w:rPr>
          <w:rFonts w:hint="eastAsia" w:ascii="Times New Roman" w:hAnsi="Times New Roman" w:eastAsia="黑体" w:cs="黑体"/>
          <w:color w:val="auto"/>
          <w:sz w:val="32"/>
          <w:szCs w:val="32"/>
        </w:rPr>
      </w:pPr>
      <w:r>
        <w:rPr>
          <w:rFonts w:hint="eastAsia" w:ascii="Times New Roman" w:hAnsi="Times New Roman" w:eastAsia="黑体" w:cs="黑体"/>
          <w:color w:val="auto"/>
          <w:sz w:val="32"/>
          <w:szCs w:val="32"/>
        </w:rPr>
        <w:t>第二章  终结标准及范围</w:t>
      </w:r>
    </w:p>
    <w:p>
      <w:pPr>
        <w:pStyle w:val="2"/>
        <w:rPr>
          <w:rFonts w:hint="eastAsia"/>
        </w:rPr>
      </w:pP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仿宋_GB2312" w:cs="仿宋_GB2312"/>
          <w:color w:val="auto"/>
          <w:sz w:val="32"/>
          <w:szCs w:val="32"/>
        </w:rPr>
      </w:pPr>
      <w:r>
        <w:rPr>
          <w:rFonts w:hint="eastAsia" w:ascii="Times New Roman" w:hAnsi="Times New Roman" w:eastAsia="黑体" w:cs="黑体"/>
          <w:color w:val="auto"/>
          <w:sz w:val="32"/>
          <w:szCs w:val="32"/>
        </w:rPr>
        <w:t>第六条</w:t>
      </w:r>
      <w:r>
        <w:rPr>
          <w:rFonts w:hint="eastAsia" w:ascii="Times New Roman" w:hAnsi="Times New Roman" w:eastAsia="仿宋_GB2312" w:cs="仿宋_GB2312"/>
          <w:color w:val="auto"/>
          <w:sz w:val="32"/>
          <w:szCs w:val="32"/>
        </w:rPr>
        <w:t xml:space="preserve">  对拟终结的信访事项，严格按照以下标准审查终结：</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仿宋_GB2312" w:cs="仿宋_GB2312"/>
          <w:color w:val="auto"/>
          <w:sz w:val="32"/>
          <w:szCs w:val="32"/>
        </w:rPr>
      </w:pPr>
      <w:r>
        <w:rPr>
          <w:rFonts w:hint="eastAsia" w:ascii="Times New Roman" w:hAnsi="Times New Roman" w:eastAsia="仿宋_GB2312" w:cs="仿宋_GB2312"/>
          <w:color w:val="auto"/>
          <w:sz w:val="32"/>
          <w:szCs w:val="32"/>
        </w:rPr>
        <w:t>（一）合理诉求解决到位。信访事项所涉案</w:t>
      </w:r>
      <w:r>
        <w:rPr>
          <w:rFonts w:hint="eastAsia" w:ascii="Times New Roman" w:hAnsi="Times New Roman" w:eastAsia="仿宋_GB2312" w:cs="仿宋_GB2312"/>
          <w:color w:val="auto"/>
          <w:sz w:val="32"/>
          <w:szCs w:val="32"/>
          <w:lang w:eastAsia="zh-CN"/>
        </w:rPr>
        <w:t>（</w:t>
      </w:r>
      <w:r>
        <w:rPr>
          <w:rFonts w:hint="eastAsia" w:ascii="Times New Roman" w:hAnsi="Times New Roman" w:eastAsia="仿宋_GB2312" w:cs="仿宋_GB2312"/>
          <w:color w:val="auto"/>
          <w:sz w:val="32"/>
          <w:szCs w:val="32"/>
        </w:rPr>
        <w:t>事</w:t>
      </w:r>
      <w:r>
        <w:rPr>
          <w:rFonts w:hint="eastAsia" w:ascii="Times New Roman" w:hAnsi="Times New Roman" w:eastAsia="仿宋_GB2312" w:cs="仿宋_GB2312"/>
          <w:color w:val="auto"/>
          <w:sz w:val="32"/>
          <w:szCs w:val="32"/>
          <w:lang w:eastAsia="zh-CN"/>
        </w:rPr>
        <w:t>）</w:t>
      </w:r>
      <w:r>
        <w:rPr>
          <w:rFonts w:hint="eastAsia" w:ascii="Times New Roman" w:hAnsi="Times New Roman" w:eastAsia="仿宋_GB2312" w:cs="仿宋_GB2312"/>
          <w:color w:val="auto"/>
          <w:sz w:val="32"/>
          <w:szCs w:val="32"/>
        </w:rPr>
        <w:t>件认定事实清楚、证据确实充分、定性准确、程序合法、适用法律正确、手续完备、处理得当，合理信访诉求已解决到位。经审查不存在执法办案及信访办理错误、瑕疵，或者错误已经依法纠正、瑕疵已经妥善补正</w:t>
      </w:r>
      <w:r>
        <w:rPr>
          <w:rFonts w:hint="eastAsia" w:ascii="Times New Roman" w:hAnsi="Times New Roman" w:eastAsia="仿宋_GB2312" w:cs="仿宋_GB2312"/>
          <w:color w:val="auto"/>
          <w:sz w:val="32"/>
          <w:szCs w:val="32"/>
          <w:lang w:eastAsia="zh-CN"/>
        </w:rPr>
        <w:t>；</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仿宋_GB2312" w:cs="仿宋_GB2312"/>
          <w:color w:val="auto"/>
          <w:sz w:val="32"/>
          <w:szCs w:val="32"/>
        </w:rPr>
      </w:pPr>
      <w:r>
        <w:rPr>
          <w:rFonts w:hint="eastAsia" w:ascii="Times New Roman" w:hAnsi="Times New Roman" w:eastAsia="仿宋_GB2312" w:cs="仿宋_GB2312"/>
          <w:color w:val="auto"/>
          <w:sz w:val="32"/>
          <w:szCs w:val="32"/>
        </w:rPr>
        <w:t>（二）过错责任追究到位。对执法办案和信访办理过程中因故意或过失造成错误，或有其他违纪违法行为的，已经依法依纪依规作出相应处理</w:t>
      </w:r>
      <w:r>
        <w:rPr>
          <w:rFonts w:hint="eastAsia" w:ascii="Times New Roman" w:hAnsi="Times New Roman" w:eastAsia="仿宋_GB2312" w:cs="仿宋_GB2312"/>
          <w:color w:val="auto"/>
          <w:sz w:val="32"/>
          <w:szCs w:val="32"/>
          <w:lang w:eastAsia="zh-CN"/>
        </w:rPr>
        <w:t>；</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仿宋_GB2312" w:cs="仿宋_GB2312"/>
          <w:color w:val="auto"/>
          <w:sz w:val="32"/>
          <w:szCs w:val="32"/>
        </w:rPr>
      </w:pPr>
      <w:r>
        <w:rPr>
          <w:rFonts w:hint="eastAsia" w:ascii="Times New Roman" w:hAnsi="Times New Roman" w:eastAsia="仿宋_GB2312" w:cs="仿宋_GB2312"/>
          <w:color w:val="auto"/>
          <w:sz w:val="32"/>
          <w:szCs w:val="32"/>
        </w:rPr>
        <w:t>（三）法理事理解释到位。对不合理诉求，从法理、事理等方面已作详尽专业解释，并已通过领导接访、上门走访、心理</w:t>
      </w:r>
      <w:r>
        <w:rPr>
          <w:rFonts w:hint="eastAsia" w:ascii="Times New Roman" w:hAnsi="Times New Roman" w:eastAsia="仿宋_GB2312" w:cs="仿宋_GB2312"/>
          <w:color w:val="auto"/>
          <w:sz w:val="32"/>
          <w:szCs w:val="32"/>
          <w:lang w:eastAsia="zh-CN"/>
        </w:rPr>
        <w:t>疏导</w:t>
      </w:r>
      <w:r>
        <w:rPr>
          <w:rFonts w:hint="eastAsia" w:ascii="Times New Roman" w:hAnsi="Times New Roman" w:eastAsia="仿宋_GB2312" w:cs="仿宋_GB2312"/>
          <w:color w:val="auto"/>
          <w:sz w:val="32"/>
          <w:szCs w:val="32"/>
        </w:rPr>
        <w:t>及委托信访人周边关系人做工作等方法多次开展教育疏导工作</w:t>
      </w:r>
      <w:r>
        <w:rPr>
          <w:rFonts w:hint="eastAsia" w:ascii="Times New Roman" w:hAnsi="Times New Roman" w:eastAsia="仿宋_GB2312" w:cs="仿宋_GB2312"/>
          <w:color w:val="auto"/>
          <w:sz w:val="32"/>
          <w:szCs w:val="32"/>
          <w:lang w:eastAsia="zh-CN"/>
        </w:rPr>
        <w:t>；</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仿宋_GB2312" w:cs="仿宋_GB2312"/>
          <w:color w:val="auto"/>
          <w:sz w:val="32"/>
          <w:szCs w:val="32"/>
        </w:rPr>
      </w:pPr>
      <w:r>
        <w:rPr>
          <w:rFonts w:hint="eastAsia" w:ascii="Times New Roman" w:hAnsi="Times New Roman" w:eastAsia="仿宋_GB2312" w:cs="仿宋_GB2312"/>
          <w:color w:val="auto"/>
          <w:sz w:val="32"/>
          <w:szCs w:val="32"/>
        </w:rPr>
        <w:t>（四）损害困难赔救到位。因公安机关工作原因导致信访人权益受损的，已依法作出国家赔偿或相应的赔偿补偿；信访人生活困难，符合国家司法救助或其他困难帮扶规定的，已经给予必要的救助帮扶。</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仿宋_GB2312" w:cs="仿宋_GB2312"/>
          <w:color w:val="auto"/>
          <w:sz w:val="32"/>
          <w:szCs w:val="32"/>
        </w:rPr>
      </w:pPr>
      <w:r>
        <w:rPr>
          <w:rFonts w:hint="eastAsia" w:ascii="Times New Roman" w:hAnsi="Times New Roman" w:eastAsia="黑体" w:cs="黑体"/>
          <w:color w:val="auto"/>
          <w:sz w:val="32"/>
          <w:szCs w:val="32"/>
        </w:rPr>
        <w:t>第七条</w:t>
      </w:r>
      <w:r>
        <w:rPr>
          <w:rFonts w:hint="eastAsia" w:ascii="Times New Roman" w:hAnsi="Times New Roman" w:eastAsia="仿宋_GB2312" w:cs="仿宋_GB2312"/>
          <w:color w:val="auto"/>
          <w:sz w:val="32"/>
          <w:szCs w:val="32"/>
        </w:rPr>
        <w:t xml:space="preserve">  对符合下列条件之一的信访事项，经工作，信访人仍以同一事由反复到公安机关信访的，纳入终结范围：</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仿宋_GB2312" w:cs="仿宋_GB2312"/>
          <w:color w:val="auto"/>
          <w:sz w:val="32"/>
          <w:szCs w:val="32"/>
        </w:rPr>
      </w:pPr>
      <w:r>
        <w:rPr>
          <w:rFonts w:hint="eastAsia" w:ascii="Times New Roman" w:hAnsi="Times New Roman" w:eastAsia="仿宋_GB2312" w:cs="仿宋_GB2312"/>
          <w:color w:val="auto"/>
          <w:sz w:val="32"/>
          <w:szCs w:val="32"/>
        </w:rPr>
        <w:t>（一）信访人不服公安机关作出的生效法律结论或决定，已充分行使、放弃行使或者丧失向公安机关请求法定救济权，且不属于人民法院或人民检察院法定职责和管辖范围的</w:t>
      </w:r>
      <w:r>
        <w:rPr>
          <w:rFonts w:hint="eastAsia" w:ascii="Times New Roman" w:hAnsi="Times New Roman" w:eastAsia="仿宋_GB2312" w:cs="仿宋_GB2312"/>
          <w:color w:val="auto"/>
          <w:sz w:val="32"/>
          <w:szCs w:val="32"/>
          <w:lang w:eastAsia="zh-CN"/>
        </w:rPr>
        <w:t>；</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仿宋_GB2312" w:cs="仿宋_GB2312"/>
          <w:color w:val="auto"/>
          <w:sz w:val="32"/>
          <w:szCs w:val="32"/>
        </w:rPr>
      </w:pPr>
      <w:r>
        <w:rPr>
          <w:rFonts w:hint="eastAsia" w:ascii="Times New Roman" w:hAnsi="Times New Roman" w:eastAsia="仿宋_GB2312" w:cs="仿宋_GB2312"/>
          <w:color w:val="auto"/>
          <w:sz w:val="32"/>
          <w:szCs w:val="32"/>
        </w:rPr>
        <w:t>（二）信访人反映的问题已经按信访程序逐级处理、复查、复核完毕并答复的</w:t>
      </w:r>
      <w:r>
        <w:rPr>
          <w:rFonts w:hint="eastAsia" w:ascii="Times New Roman" w:hAnsi="Times New Roman" w:eastAsia="仿宋_GB2312" w:cs="仿宋_GB2312"/>
          <w:color w:val="auto"/>
          <w:sz w:val="32"/>
          <w:szCs w:val="32"/>
          <w:lang w:eastAsia="zh-CN"/>
        </w:rPr>
        <w:t>；</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仿宋_GB2312" w:cs="仿宋_GB2312"/>
          <w:color w:val="auto"/>
          <w:sz w:val="32"/>
          <w:szCs w:val="32"/>
          <w:lang w:eastAsia="zh-CN"/>
        </w:rPr>
      </w:pPr>
      <w:r>
        <w:rPr>
          <w:rFonts w:hint="eastAsia" w:ascii="Times New Roman" w:hAnsi="Times New Roman" w:eastAsia="仿宋_GB2312" w:cs="仿宋_GB2312"/>
          <w:color w:val="auto"/>
          <w:sz w:val="32"/>
          <w:szCs w:val="32"/>
        </w:rPr>
        <w:t>（三）信访人对公安机关信访处理或复查答复意见不服，无正当理由未在规定期限内逐级提出信访复查或复核请求的</w:t>
      </w:r>
      <w:r>
        <w:rPr>
          <w:rFonts w:hint="eastAsia" w:ascii="Times New Roman" w:hAnsi="Times New Roman" w:eastAsia="仿宋_GB2312" w:cs="仿宋_GB2312"/>
          <w:color w:val="auto"/>
          <w:sz w:val="32"/>
          <w:szCs w:val="32"/>
          <w:lang w:eastAsia="zh-CN"/>
        </w:rPr>
        <w:t>；</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仿宋_GB2312" w:cs="仿宋_GB2312"/>
          <w:color w:val="auto"/>
          <w:sz w:val="32"/>
          <w:szCs w:val="32"/>
        </w:rPr>
      </w:pPr>
      <w:r>
        <w:rPr>
          <w:rFonts w:hint="eastAsia" w:ascii="Times New Roman" w:hAnsi="Times New Roman" w:eastAsia="仿宋_GB2312" w:cs="仿宋_GB2312"/>
          <w:color w:val="auto"/>
          <w:sz w:val="32"/>
          <w:szCs w:val="32"/>
        </w:rPr>
        <w:t>（四）信访人对人民检察院就涉及公安机关诉讼监督案件作出不予支持决定不服的</w:t>
      </w:r>
      <w:r>
        <w:rPr>
          <w:rFonts w:hint="eastAsia" w:ascii="Times New Roman" w:hAnsi="Times New Roman" w:eastAsia="仿宋_GB2312" w:cs="仿宋_GB2312"/>
          <w:color w:val="auto"/>
          <w:sz w:val="32"/>
          <w:szCs w:val="32"/>
          <w:lang w:eastAsia="zh-CN"/>
        </w:rPr>
        <w:t>；</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仿宋_GB2312" w:cs="仿宋_GB2312"/>
          <w:color w:val="auto"/>
          <w:sz w:val="32"/>
          <w:szCs w:val="32"/>
        </w:rPr>
      </w:pPr>
      <w:r>
        <w:rPr>
          <w:rFonts w:hint="eastAsia" w:ascii="Times New Roman" w:hAnsi="Times New Roman" w:eastAsia="仿宋_GB2312" w:cs="仿宋_GB2312"/>
          <w:color w:val="auto"/>
          <w:sz w:val="32"/>
          <w:szCs w:val="32"/>
        </w:rPr>
        <w:t>（五）其他可以终结的信访事项。</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仿宋_GB2312" w:cs="仿宋_GB2312"/>
          <w:color w:val="auto"/>
          <w:sz w:val="32"/>
          <w:szCs w:val="32"/>
        </w:rPr>
      </w:pPr>
      <w:r>
        <w:rPr>
          <w:rFonts w:hint="eastAsia" w:ascii="Times New Roman" w:hAnsi="Times New Roman" w:eastAsia="黑体" w:cs="黑体"/>
          <w:color w:val="auto"/>
          <w:sz w:val="32"/>
          <w:szCs w:val="32"/>
        </w:rPr>
        <w:t>第八条</w:t>
      </w:r>
      <w:r>
        <w:rPr>
          <w:rFonts w:hint="eastAsia" w:ascii="Times New Roman" w:hAnsi="Times New Roman" w:eastAsia="仿宋_GB2312" w:cs="仿宋_GB2312"/>
          <w:color w:val="auto"/>
          <w:sz w:val="32"/>
          <w:szCs w:val="32"/>
        </w:rPr>
        <w:t xml:space="preserve">  对下列信访事项，应认真做好相关工作，不得终结：</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仿宋_GB2312" w:cs="仿宋_GB2312"/>
          <w:color w:val="auto"/>
          <w:sz w:val="32"/>
          <w:szCs w:val="32"/>
        </w:rPr>
      </w:pPr>
      <w:r>
        <w:rPr>
          <w:rFonts w:hint="eastAsia" w:ascii="Times New Roman" w:hAnsi="Times New Roman" w:eastAsia="仿宋_GB2312" w:cs="仿宋_GB2312"/>
          <w:color w:val="auto"/>
          <w:sz w:val="32"/>
          <w:szCs w:val="32"/>
        </w:rPr>
        <w:t>（一）信访人诉求尚有法定救济渠道的，应当引导其行使法定权利</w:t>
      </w:r>
      <w:r>
        <w:rPr>
          <w:rFonts w:hint="eastAsia" w:ascii="Times New Roman" w:hAnsi="Times New Roman" w:eastAsia="仿宋_GB2312" w:cs="仿宋_GB2312"/>
          <w:color w:val="auto"/>
          <w:sz w:val="32"/>
          <w:szCs w:val="32"/>
          <w:lang w:eastAsia="zh-CN"/>
        </w:rPr>
        <w:t>；</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仿宋_GB2312" w:cs="仿宋_GB2312"/>
          <w:color w:val="auto"/>
          <w:sz w:val="32"/>
          <w:szCs w:val="32"/>
        </w:rPr>
      </w:pPr>
      <w:r>
        <w:rPr>
          <w:rFonts w:hint="eastAsia" w:ascii="Times New Roman" w:hAnsi="Times New Roman" w:eastAsia="仿宋_GB2312" w:cs="仿宋_GB2312"/>
          <w:color w:val="auto"/>
          <w:sz w:val="32"/>
          <w:szCs w:val="32"/>
        </w:rPr>
        <w:t>（二）信访人越级提出信访复查、复核请求并在法定期限内的，应当告知、劝导其逐级提出</w:t>
      </w:r>
      <w:r>
        <w:rPr>
          <w:rFonts w:hint="eastAsia" w:ascii="Times New Roman" w:hAnsi="Times New Roman" w:eastAsia="仿宋_GB2312" w:cs="仿宋_GB2312"/>
          <w:color w:val="auto"/>
          <w:sz w:val="32"/>
          <w:szCs w:val="32"/>
          <w:lang w:eastAsia="zh-CN"/>
        </w:rPr>
        <w:t>；</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仿宋_GB2312" w:cs="仿宋_GB2312"/>
          <w:color w:val="auto"/>
          <w:sz w:val="32"/>
          <w:szCs w:val="32"/>
        </w:rPr>
      </w:pPr>
      <w:r>
        <w:rPr>
          <w:rFonts w:hint="eastAsia" w:ascii="Times New Roman" w:hAnsi="Times New Roman" w:eastAsia="仿宋_GB2312" w:cs="仿宋_GB2312"/>
          <w:color w:val="auto"/>
          <w:sz w:val="32"/>
          <w:szCs w:val="32"/>
        </w:rPr>
        <w:t>（三）信访人对省公安厅的信访处理或复查意见不服并在法定期限内的，应当告知、劝导其向省人民政府提出复查、复核请求</w:t>
      </w:r>
      <w:r>
        <w:rPr>
          <w:rFonts w:hint="eastAsia" w:ascii="Times New Roman" w:hAnsi="Times New Roman" w:eastAsia="仿宋_GB2312" w:cs="仿宋_GB2312"/>
          <w:color w:val="auto"/>
          <w:sz w:val="32"/>
          <w:szCs w:val="32"/>
          <w:lang w:eastAsia="zh-CN"/>
        </w:rPr>
        <w:t>；</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仿宋_GB2312" w:cs="仿宋_GB2312"/>
          <w:color w:val="auto"/>
          <w:sz w:val="32"/>
          <w:szCs w:val="32"/>
        </w:rPr>
      </w:pPr>
      <w:r>
        <w:rPr>
          <w:rFonts w:hint="eastAsia" w:ascii="Times New Roman" w:hAnsi="Times New Roman" w:eastAsia="仿宋_GB2312" w:cs="仿宋_GB2312"/>
          <w:color w:val="auto"/>
          <w:sz w:val="32"/>
          <w:szCs w:val="32"/>
        </w:rPr>
        <w:t>（四）刑事案件尚未侦查终结的，要继续做好案件侦破和有关帮扶救助工作</w:t>
      </w:r>
      <w:r>
        <w:rPr>
          <w:rFonts w:hint="eastAsia" w:ascii="Times New Roman" w:hAnsi="Times New Roman" w:eastAsia="仿宋_GB2312" w:cs="仿宋_GB2312"/>
          <w:color w:val="auto"/>
          <w:sz w:val="32"/>
          <w:szCs w:val="32"/>
          <w:lang w:eastAsia="zh-CN"/>
        </w:rPr>
        <w:t>；</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仿宋_GB2312" w:cs="仿宋_GB2312"/>
          <w:color w:val="auto"/>
          <w:sz w:val="32"/>
          <w:szCs w:val="32"/>
        </w:rPr>
      </w:pPr>
      <w:r>
        <w:rPr>
          <w:rFonts w:hint="eastAsia" w:ascii="Times New Roman" w:hAnsi="Times New Roman" w:eastAsia="仿宋_GB2312" w:cs="仿宋_GB2312"/>
          <w:color w:val="auto"/>
          <w:sz w:val="32"/>
          <w:szCs w:val="32"/>
        </w:rPr>
        <w:t>（五）后期涉警信访事项的原始诉求有一定合理性，事权单位未解决到位的</w:t>
      </w:r>
      <w:r>
        <w:rPr>
          <w:rFonts w:hint="eastAsia" w:ascii="Times New Roman" w:hAnsi="Times New Roman" w:eastAsia="仿宋_GB2312" w:cs="仿宋_GB2312"/>
          <w:color w:val="auto"/>
          <w:sz w:val="32"/>
          <w:szCs w:val="32"/>
          <w:lang w:eastAsia="zh-CN"/>
        </w:rPr>
        <w:t>；</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仿宋_GB2312" w:cs="仿宋_GB2312"/>
          <w:color w:val="auto"/>
          <w:sz w:val="32"/>
          <w:szCs w:val="32"/>
        </w:rPr>
      </w:pPr>
      <w:r>
        <w:rPr>
          <w:rFonts w:hint="eastAsia" w:ascii="Times New Roman" w:hAnsi="Times New Roman" w:eastAsia="仿宋_GB2312" w:cs="仿宋_GB2312"/>
          <w:color w:val="auto"/>
          <w:sz w:val="32"/>
          <w:szCs w:val="32"/>
        </w:rPr>
        <w:t>（六）信访人仅在市、县两级信访，或仅以写信、网上信访等方式向省级及以上单位信访</w:t>
      </w:r>
      <w:r>
        <w:rPr>
          <w:rFonts w:hint="eastAsia" w:ascii="Times New Roman" w:hAnsi="Times New Roman" w:eastAsia="仿宋_GB2312" w:cs="仿宋_GB2312"/>
          <w:color w:val="auto"/>
          <w:sz w:val="32"/>
          <w:szCs w:val="32"/>
          <w:lang w:eastAsia="zh-CN"/>
        </w:rPr>
        <w:t>未超过一年</w:t>
      </w:r>
      <w:r>
        <w:rPr>
          <w:rFonts w:hint="eastAsia" w:ascii="Times New Roman" w:hAnsi="Times New Roman" w:eastAsia="仿宋_GB2312" w:cs="仿宋_GB2312"/>
          <w:color w:val="auto"/>
          <w:sz w:val="32"/>
          <w:szCs w:val="32"/>
        </w:rPr>
        <w:t>，或虽到过省级及以上单位走访但无滋事扰序、缠访闹访行为且未超过一年的</w:t>
      </w:r>
      <w:r>
        <w:rPr>
          <w:rFonts w:hint="eastAsia" w:ascii="Times New Roman" w:hAnsi="Times New Roman" w:eastAsia="仿宋_GB2312" w:cs="仿宋_GB2312"/>
          <w:color w:val="auto"/>
          <w:sz w:val="32"/>
          <w:szCs w:val="32"/>
          <w:lang w:eastAsia="zh-CN"/>
        </w:rPr>
        <w:t>；</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仿宋_GB2312" w:cs="仿宋_GB2312"/>
          <w:color w:val="auto"/>
          <w:sz w:val="32"/>
          <w:szCs w:val="32"/>
          <w:lang w:eastAsia="zh-CN"/>
        </w:rPr>
      </w:pPr>
      <w:r>
        <w:rPr>
          <w:rFonts w:hint="eastAsia" w:ascii="Times New Roman" w:hAnsi="Times New Roman" w:eastAsia="仿宋_GB2312" w:cs="仿宋_GB2312"/>
          <w:color w:val="auto"/>
          <w:sz w:val="32"/>
          <w:szCs w:val="32"/>
          <w:lang w:eastAsia="zh-CN"/>
        </w:rPr>
        <w:t>（七）信访事项未经县级公安机关主要负责人及以上领导包案化解，或包案责任未落实到位的。</w:t>
      </w:r>
    </w:p>
    <w:p>
      <w:pPr>
        <w:keepNext w:val="0"/>
        <w:keepLines w:val="0"/>
        <w:pageBreakBefore w:val="0"/>
        <w:widowControl w:val="0"/>
        <w:kinsoku/>
        <w:wordWrap/>
        <w:overflowPunct/>
        <w:topLinePunct w:val="0"/>
        <w:autoSpaceDE/>
        <w:autoSpaceDN/>
        <w:bidi w:val="0"/>
        <w:adjustRightInd/>
        <w:snapToGrid/>
        <w:spacing w:line="600" w:lineRule="exact"/>
        <w:ind w:right="0" w:rightChars="0"/>
        <w:jc w:val="center"/>
        <w:textAlignment w:val="auto"/>
        <w:outlineLvl w:val="9"/>
        <w:rPr>
          <w:rFonts w:hint="eastAsia" w:ascii="Times New Roman" w:hAnsi="Times New Roman" w:eastAsia="黑体" w:cs="黑体"/>
          <w:color w:val="auto"/>
          <w:sz w:val="32"/>
          <w:szCs w:val="32"/>
        </w:rPr>
      </w:pPr>
    </w:p>
    <w:p>
      <w:pPr>
        <w:keepNext w:val="0"/>
        <w:keepLines w:val="0"/>
        <w:pageBreakBefore w:val="0"/>
        <w:widowControl w:val="0"/>
        <w:kinsoku/>
        <w:wordWrap/>
        <w:overflowPunct/>
        <w:topLinePunct w:val="0"/>
        <w:autoSpaceDE/>
        <w:autoSpaceDN/>
        <w:bidi w:val="0"/>
        <w:adjustRightInd/>
        <w:snapToGrid/>
        <w:spacing w:line="600" w:lineRule="exact"/>
        <w:ind w:right="0" w:rightChars="0"/>
        <w:jc w:val="center"/>
        <w:textAlignment w:val="auto"/>
        <w:outlineLvl w:val="9"/>
        <w:rPr>
          <w:rFonts w:hint="eastAsia" w:ascii="Times New Roman" w:hAnsi="Times New Roman" w:eastAsia="黑体" w:cs="黑体"/>
          <w:color w:val="auto"/>
          <w:sz w:val="32"/>
          <w:szCs w:val="32"/>
        </w:rPr>
      </w:pPr>
      <w:r>
        <w:rPr>
          <w:rFonts w:hint="eastAsia" w:ascii="Times New Roman" w:hAnsi="Times New Roman" w:eastAsia="黑体" w:cs="黑体"/>
          <w:color w:val="auto"/>
          <w:sz w:val="32"/>
          <w:szCs w:val="32"/>
        </w:rPr>
        <w:t>第三章  终结程序</w:t>
      </w:r>
    </w:p>
    <w:p>
      <w:pPr>
        <w:pStyle w:val="2"/>
        <w:rPr>
          <w:rFonts w:hint="eastAsia"/>
        </w:rPr>
      </w:pP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仿宋_GB2312" w:cs="仿宋_GB2312"/>
          <w:color w:val="auto"/>
          <w:sz w:val="32"/>
          <w:szCs w:val="32"/>
        </w:rPr>
      </w:pPr>
      <w:r>
        <w:rPr>
          <w:rFonts w:hint="eastAsia" w:ascii="Times New Roman" w:hAnsi="Times New Roman" w:eastAsia="黑体" w:cs="黑体"/>
          <w:color w:val="auto"/>
          <w:sz w:val="32"/>
          <w:szCs w:val="32"/>
        </w:rPr>
        <w:t>第九条</w:t>
      </w:r>
      <w:r>
        <w:rPr>
          <w:rFonts w:hint="eastAsia" w:ascii="Times New Roman" w:hAnsi="Times New Roman" w:eastAsia="仿宋_GB2312" w:cs="仿宋_GB2312"/>
          <w:color w:val="auto"/>
          <w:sz w:val="32"/>
          <w:szCs w:val="32"/>
        </w:rPr>
        <w:t xml:space="preserve">  信访事项终结申报的主体为管辖该信访事项的县级（含）以上公安机关，信访事项属省公安厅管辖的，由厅相关部门申报。</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仿宋_GB2312" w:cs="仿宋_GB2312"/>
          <w:color w:val="auto"/>
          <w:sz w:val="32"/>
          <w:szCs w:val="32"/>
        </w:rPr>
      </w:pPr>
      <w:r>
        <w:rPr>
          <w:rFonts w:hint="eastAsia" w:ascii="Times New Roman" w:hAnsi="Times New Roman" w:eastAsia="黑体" w:cs="黑体"/>
          <w:color w:val="auto"/>
          <w:sz w:val="32"/>
          <w:szCs w:val="32"/>
        </w:rPr>
        <w:t>第十条</w:t>
      </w:r>
      <w:r>
        <w:rPr>
          <w:rFonts w:hint="eastAsia" w:ascii="Times New Roman" w:hAnsi="Times New Roman" w:eastAsia="仿宋_GB2312" w:cs="仿宋_GB2312"/>
          <w:color w:val="auto"/>
          <w:sz w:val="32"/>
          <w:szCs w:val="32"/>
        </w:rPr>
        <w:t xml:space="preserve">  对拟申报终结的信访事项，申报单位应当事先听取信访人陈述，了解核实真实诉求，并告知终结打算，开展停访息诉工作。申报正式启动后，应当从案件实体、程序和信访事项办理、信访诉求解决情况、责任倒查追究、教育疏导、帮扶救助等方面开展自查，对疑难复杂、反复缠访闹访、社会影响大的信访事项，应当组织公开听证。</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仿宋_GB2312" w:cs="仿宋_GB2312"/>
          <w:color w:val="auto"/>
          <w:sz w:val="32"/>
          <w:szCs w:val="32"/>
        </w:rPr>
      </w:pPr>
      <w:r>
        <w:rPr>
          <w:rFonts w:hint="eastAsia" w:ascii="Times New Roman" w:hAnsi="Times New Roman" w:eastAsia="仿宋_GB2312" w:cs="仿宋_GB2312"/>
          <w:color w:val="auto"/>
          <w:sz w:val="32"/>
          <w:szCs w:val="32"/>
        </w:rPr>
        <w:t>经自查、听证，发现原处理决定存在错误或瑕疵、信访人合理诉求尚未解决的，应当依法公正处理。对符合终结条件的信访事项，由申报公安机关逐级向省公安厅申报终结。</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仿宋_GB2312" w:cs="仿宋_GB2312"/>
          <w:color w:val="auto"/>
          <w:sz w:val="32"/>
          <w:szCs w:val="32"/>
        </w:rPr>
      </w:pPr>
      <w:r>
        <w:rPr>
          <w:rFonts w:hint="eastAsia" w:ascii="Times New Roman" w:hAnsi="Times New Roman" w:eastAsia="仿宋_GB2312" w:cs="仿宋_GB2312"/>
          <w:color w:val="auto"/>
          <w:sz w:val="32"/>
          <w:szCs w:val="32"/>
        </w:rPr>
        <w:t>申报终结材料包括：《浙江省公安机关信访事项终结申报审批表》，全面反映信访案件核查及申报终结理由等情况的终结申报报告，反映信访人真实完整诉求的信访材料，信访案卷，信访事项处理、复查、复核答复意见书，信访听证材料，信访问题责任倒查追究情况，人民法院、人民检察院或其他机关针对信访诉求依法作出的判决、裁定、决定或终结意见等文书，案件卷宗材料以及其他相关资料。</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仿宋_GB2312" w:cs="仿宋_GB2312"/>
          <w:color w:val="auto"/>
          <w:sz w:val="32"/>
          <w:szCs w:val="32"/>
        </w:rPr>
      </w:pPr>
      <w:r>
        <w:rPr>
          <w:rFonts w:hint="eastAsia" w:ascii="Times New Roman" w:hAnsi="Times New Roman" w:eastAsia="黑体" w:cs="黑体"/>
          <w:color w:val="auto"/>
          <w:sz w:val="32"/>
          <w:szCs w:val="32"/>
        </w:rPr>
        <w:t>第十一条</w:t>
      </w:r>
      <w:r>
        <w:rPr>
          <w:rFonts w:hint="eastAsia" w:ascii="Times New Roman" w:hAnsi="Times New Roman" w:eastAsia="仿宋_GB2312" w:cs="仿宋_GB2312"/>
          <w:color w:val="auto"/>
          <w:sz w:val="32"/>
          <w:szCs w:val="32"/>
        </w:rPr>
        <w:t xml:space="preserve"> 县级公安机关申报的，应报市级公安机关审核。市级公安机关应当在收到申报材料之日起</w:t>
      </w:r>
      <w:r>
        <w:rPr>
          <w:rFonts w:hint="eastAsia" w:ascii="Times New Roman" w:hAnsi="Times New Roman" w:eastAsia="仿宋_GB2312" w:cs="仿宋_GB2312"/>
          <w:color w:val="auto"/>
          <w:sz w:val="32"/>
          <w:szCs w:val="32"/>
          <w:lang w:val="en-US" w:eastAsia="zh-CN"/>
        </w:rPr>
        <w:t>30日</w:t>
      </w:r>
      <w:r>
        <w:rPr>
          <w:rFonts w:hint="eastAsia" w:ascii="Times New Roman" w:hAnsi="Times New Roman" w:eastAsia="仿宋_GB2312" w:cs="仿宋_GB2312"/>
          <w:color w:val="auto"/>
          <w:sz w:val="32"/>
          <w:szCs w:val="32"/>
        </w:rPr>
        <w:t>内审核完毕，由信访事项终结申报和审核委员会在《浙江省公安机关信访事项终结申报审批表》上签署意见并加盖公章，同时附全面审核报告及原申报材料，报省公安厅审批。</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仿宋_GB2312" w:cs="仿宋_GB2312"/>
          <w:color w:val="auto"/>
          <w:sz w:val="32"/>
          <w:szCs w:val="32"/>
        </w:rPr>
      </w:pPr>
      <w:r>
        <w:rPr>
          <w:rFonts w:hint="eastAsia" w:ascii="Times New Roman" w:hAnsi="Times New Roman" w:eastAsia="仿宋_GB2312" w:cs="仿宋_GB2312"/>
          <w:color w:val="auto"/>
          <w:sz w:val="32"/>
          <w:szCs w:val="32"/>
        </w:rPr>
        <w:t>申报材料不完整的，审核期限自申报材料补齐之日起计算。</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仿宋_GB2312" w:cs="仿宋_GB2312"/>
          <w:color w:val="auto"/>
          <w:sz w:val="32"/>
          <w:szCs w:val="32"/>
        </w:rPr>
      </w:pPr>
      <w:r>
        <w:rPr>
          <w:rFonts w:hint="eastAsia" w:ascii="Times New Roman" w:hAnsi="Times New Roman" w:eastAsia="仿宋_GB2312" w:cs="仿宋_GB2312"/>
          <w:color w:val="auto"/>
          <w:sz w:val="32"/>
          <w:szCs w:val="32"/>
        </w:rPr>
        <w:t>信访事项管辖单位为市级公安机关的，由市级公安机关组织自查，经市级公安机关信访事项终结审核委员会审核同意后，由市级公安机关向省公安厅申报审批。</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仿宋_GB2312" w:cs="仿宋_GB2312"/>
          <w:color w:val="auto"/>
          <w:sz w:val="32"/>
          <w:szCs w:val="32"/>
        </w:rPr>
      </w:pPr>
      <w:r>
        <w:rPr>
          <w:rFonts w:hint="eastAsia" w:ascii="Times New Roman" w:hAnsi="Times New Roman" w:eastAsia="黑体" w:cs="黑体"/>
          <w:color w:val="auto"/>
          <w:sz w:val="32"/>
          <w:szCs w:val="32"/>
        </w:rPr>
        <w:t>第十二条</w:t>
      </w:r>
      <w:r>
        <w:rPr>
          <w:rFonts w:hint="eastAsia" w:ascii="Times New Roman" w:hAnsi="Times New Roman" w:eastAsia="仿宋_GB2312" w:cs="仿宋_GB2312"/>
          <w:color w:val="auto"/>
          <w:sz w:val="32"/>
          <w:szCs w:val="32"/>
        </w:rPr>
        <w:t xml:space="preserve">  厅终结办在收到申报材料后，应当开展初步审查，符合申报条件的，在审批表上签署启动终结审批的意见，送信访事项涉及警种部门和法制总队、信访处研究审查，必要时可组织召开信访终结评审会研究讨论。</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仿宋_GB2312" w:cs="仿宋_GB2312"/>
          <w:color w:val="auto"/>
          <w:sz w:val="32"/>
          <w:szCs w:val="32"/>
        </w:rPr>
      </w:pPr>
      <w:r>
        <w:rPr>
          <w:rFonts w:hint="eastAsia" w:ascii="Times New Roman" w:hAnsi="Times New Roman" w:eastAsia="黑体" w:cs="黑体"/>
          <w:color w:val="auto"/>
          <w:sz w:val="32"/>
          <w:szCs w:val="32"/>
        </w:rPr>
        <w:t>第十三条</w:t>
      </w:r>
      <w:r>
        <w:rPr>
          <w:rFonts w:hint="eastAsia" w:ascii="Times New Roman" w:hAnsi="Times New Roman" w:eastAsia="仿宋_GB2312" w:cs="仿宋_GB2312"/>
          <w:color w:val="auto"/>
          <w:sz w:val="32"/>
          <w:szCs w:val="32"/>
        </w:rPr>
        <w:t xml:space="preserve">  经厅</w:t>
      </w:r>
      <w:r>
        <w:rPr>
          <w:rFonts w:hint="eastAsia" w:ascii="Times New Roman" w:hAnsi="Times New Roman" w:eastAsia="仿宋_GB2312" w:cs="仿宋_GB2312"/>
          <w:color w:val="auto"/>
          <w:sz w:val="32"/>
          <w:szCs w:val="32"/>
          <w:lang w:eastAsia="zh-CN"/>
        </w:rPr>
        <w:t>属</w:t>
      </w:r>
      <w:r>
        <w:rPr>
          <w:rFonts w:hint="eastAsia" w:ascii="Times New Roman" w:hAnsi="Times New Roman" w:eastAsia="仿宋_GB2312" w:cs="仿宋_GB2312"/>
          <w:color w:val="auto"/>
          <w:sz w:val="32"/>
          <w:szCs w:val="32"/>
        </w:rPr>
        <w:t>各部门审查，一致同意终结的，报厅终结委审批终结；省厅评审中认定不符合终结条件的，</w:t>
      </w:r>
      <w:r>
        <w:rPr>
          <w:rFonts w:hint="eastAsia" w:ascii="Times New Roman" w:hAnsi="Times New Roman" w:eastAsia="仿宋_GB2312" w:cs="仿宋_GB2312"/>
          <w:color w:val="auto"/>
          <w:sz w:val="32"/>
          <w:szCs w:val="32"/>
          <w:lang w:eastAsia="zh-CN"/>
        </w:rPr>
        <w:t>应</w:t>
      </w:r>
      <w:r>
        <w:rPr>
          <w:rFonts w:hint="eastAsia" w:ascii="Times New Roman" w:hAnsi="Times New Roman" w:eastAsia="仿宋_GB2312" w:cs="仿宋_GB2312"/>
          <w:color w:val="auto"/>
          <w:sz w:val="32"/>
          <w:szCs w:val="32"/>
        </w:rPr>
        <w:t>予以退回，并告知原因，指出问题，提出下步工作意见。对退回的信访事项，申报单位可在条件符合后重新申报。</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仿宋_GB2312" w:cs="仿宋_GB2312"/>
          <w:color w:val="auto"/>
          <w:sz w:val="32"/>
          <w:szCs w:val="32"/>
        </w:rPr>
      </w:pPr>
      <w:r>
        <w:rPr>
          <w:rFonts w:hint="eastAsia" w:ascii="Times New Roman" w:hAnsi="Times New Roman" w:eastAsia="仿宋_GB2312" w:cs="仿宋_GB2312"/>
          <w:color w:val="auto"/>
          <w:sz w:val="32"/>
          <w:szCs w:val="32"/>
        </w:rPr>
        <w:t>终结决定自收到申报材料之日起</w:t>
      </w:r>
      <w:r>
        <w:rPr>
          <w:rFonts w:hint="eastAsia" w:ascii="Times New Roman" w:hAnsi="Times New Roman" w:eastAsia="仿宋_GB2312" w:cs="仿宋_GB2312"/>
          <w:color w:val="auto"/>
          <w:sz w:val="32"/>
          <w:szCs w:val="32"/>
          <w:lang w:val="en-US" w:eastAsia="zh-CN"/>
        </w:rPr>
        <w:t>60日</w:t>
      </w:r>
      <w:r>
        <w:rPr>
          <w:rFonts w:hint="eastAsia" w:ascii="Times New Roman" w:hAnsi="Times New Roman" w:eastAsia="仿宋_GB2312" w:cs="仿宋_GB2312"/>
          <w:color w:val="auto"/>
          <w:sz w:val="32"/>
          <w:szCs w:val="32"/>
        </w:rPr>
        <w:t>内作出。</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仿宋_GB2312" w:cs="仿宋_GB2312"/>
          <w:color w:val="auto"/>
          <w:sz w:val="32"/>
          <w:szCs w:val="32"/>
        </w:rPr>
      </w:pPr>
      <w:r>
        <w:rPr>
          <w:rFonts w:hint="eastAsia" w:ascii="Times New Roman" w:hAnsi="Times New Roman" w:eastAsia="仿宋_GB2312" w:cs="仿宋_GB2312"/>
          <w:color w:val="auto"/>
          <w:sz w:val="32"/>
          <w:szCs w:val="32"/>
        </w:rPr>
        <w:t>申报材料不完整的，终结审批时间自申报材料补齐之日起计算。</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仿宋_GB2312" w:cs="仿宋_GB2312"/>
          <w:color w:val="auto"/>
          <w:sz w:val="32"/>
          <w:szCs w:val="32"/>
        </w:rPr>
      </w:pPr>
      <w:r>
        <w:rPr>
          <w:rFonts w:hint="eastAsia" w:ascii="Times New Roman" w:hAnsi="Times New Roman" w:eastAsia="黑体" w:cs="黑体"/>
          <w:color w:val="auto"/>
          <w:sz w:val="32"/>
          <w:szCs w:val="32"/>
        </w:rPr>
        <w:t>第十四条</w:t>
      </w:r>
      <w:r>
        <w:rPr>
          <w:rFonts w:hint="eastAsia" w:ascii="Times New Roman" w:hAnsi="Times New Roman" w:eastAsia="仿宋_GB2312" w:cs="仿宋_GB2312"/>
          <w:color w:val="auto"/>
          <w:sz w:val="32"/>
          <w:szCs w:val="32"/>
        </w:rPr>
        <w:t xml:space="preserve"> 对决定终结的信访事项，省公安厅应当建立信访事项终结档案，并在作出决定后10个工作日内录入信访</w:t>
      </w:r>
      <w:r>
        <w:rPr>
          <w:rFonts w:hint="eastAsia" w:ascii="Times New Roman" w:hAnsi="Times New Roman" w:eastAsia="仿宋_GB2312" w:cs="仿宋_GB2312"/>
          <w:color w:val="auto"/>
          <w:sz w:val="32"/>
          <w:szCs w:val="32"/>
          <w:lang w:eastAsia="zh-CN"/>
        </w:rPr>
        <w:t>信息</w:t>
      </w:r>
      <w:r>
        <w:rPr>
          <w:rFonts w:hint="eastAsia" w:ascii="Times New Roman" w:hAnsi="Times New Roman" w:eastAsia="仿宋_GB2312" w:cs="仿宋_GB2312"/>
          <w:color w:val="auto"/>
          <w:sz w:val="32"/>
          <w:szCs w:val="32"/>
        </w:rPr>
        <w:t>系统备案。　　</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仿宋_GB2312" w:cs="仿宋_GB2312"/>
          <w:color w:val="auto"/>
          <w:sz w:val="32"/>
          <w:szCs w:val="32"/>
        </w:rPr>
      </w:pPr>
      <w:r>
        <w:rPr>
          <w:rFonts w:hint="eastAsia" w:ascii="Times New Roman" w:hAnsi="Times New Roman" w:eastAsia="黑体" w:cs="黑体"/>
          <w:color w:val="auto"/>
          <w:sz w:val="32"/>
          <w:szCs w:val="32"/>
        </w:rPr>
        <w:t>第十五条</w:t>
      </w:r>
      <w:r>
        <w:rPr>
          <w:rFonts w:hint="eastAsia" w:ascii="Times New Roman" w:hAnsi="Times New Roman" w:eastAsia="仿宋_GB2312" w:cs="仿宋_GB2312"/>
          <w:color w:val="auto"/>
          <w:sz w:val="32"/>
          <w:szCs w:val="32"/>
        </w:rPr>
        <w:t xml:space="preserve">  已经逐级处理、复查、复核完毕并答复的信访事项，也可以向省政府信访事项终结评审机构申报终结，该机构同意终结后10个工作日内，省公安厅应当直接以该终结意见为依据，录入信访</w:t>
      </w:r>
      <w:r>
        <w:rPr>
          <w:rFonts w:hint="eastAsia" w:ascii="Times New Roman" w:hAnsi="Times New Roman" w:eastAsia="仿宋_GB2312" w:cs="仿宋_GB2312"/>
          <w:color w:val="auto"/>
          <w:sz w:val="32"/>
          <w:szCs w:val="32"/>
          <w:lang w:eastAsia="zh-CN"/>
        </w:rPr>
        <w:t>信息</w:t>
      </w:r>
      <w:r>
        <w:rPr>
          <w:rFonts w:hint="eastAsia" w:ascii="Times New Roman" w:hAnsi="Times New Roman" w:eastAsia="仿宋_GB2312" w:cs="仿宋_GB2312"/>
          <w:color w:val="auto"/>
          <w:sz w:val="32"/>
          <w:szCs w:val="32"/>
        </w:rPr>
        <w:t>系统备案。</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仿宋_GB2312" w:cs="仿宋_GB2312"/>
          <w:color w:val="auto"/>
          <w:sz w:val="32"/>
          <w:szCs w:val="32"/>
        </w:rPr>
      </w:pPr>
      <w:r>
        <w:rPr>
          <w:rFonts w:hint="eastAsia" w:ascii="Times New Roman" w:hAnsi="Times New Roman" w:eastAsia="黑体" w:cs="黑体"/>
          <w:color w:val="auto"/>
          <w:sz w:val="32"/>
          <w:szCs w:val="32"/>
        </w:rPr>
        <w:t>第十六条</w:t>
      </w:r>
      <w:r>
        <w:rPr>
          <w:rFonts w:hint="eastAsia" w:ascii="Times New Roman" w:hAnsi="Times New Roman" w:eastAsia="仿宋_GB2312" w:cs="仿宋_GB2312"/>
          <w:color w:val="auto"/>
          <w:sz w:val="32"/>
          <w:szCs w:val="32"/>
        </w:rPr>
        <w:t xml:space="preserve">  省公安厅应当在备案完成之日起10个工作日内，制作《信访事项终结决定书》，寄送申报、审核单位，并抄送公安部信访办、省信访工作联席办、省委政法委。申报机关应当在收到决定书之日起7个工作日内，制作《信访事项终结告知书》并送达信访人</w:t>
      </w:r>
      <w:r>
        <w:rPr>
          <w:rFonts w:hint="eastAsia" w:ascii="Times New Roman" w:hAnsi="Times New Roman" w:eastAsia="仿宋_GB2312" w:cs="仿宋_GB2312"/>
          <w:color w:val="auto"/>
          <w:sz w:val="32"/>
          <w:szCs w:val="32"/>
          <w:lang w:eastAsia="zh-CN"/>
        </w:rPr>
        <w:t>，送达情况应录入信访信息系统</w:t>
      </w:r>
      <w:r>
        <w:rPr>
          <w:rFonts w:hint="eastAsia" w:ascii="Times New Roman" w:hAnsi="Times New Roman" w:eastAsia="仿宋_GB2312" w:cs="仿宋_GB2312"/>
          <w:color w:val="auto"/>
          <w:sz w:val="32"/>
          <w:szCs w:val="32"/>
        </w:rPr>
        <w:t>。</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仿宋_GB2312" w:cs="仿宋_GB2312"/>
          <w:color w:val="auto"/>
          <w:sz w:val="32"/>
          <w:szCs w:val="32"/>
        </w:rPr>
      </w:pPr>
      <w:r>
        <w:rPr>
          <w:rFonts w:hint="eastAsia" w:ascii="Times New Roman" w:hAnsi="Times New Roman" w:eastAsia="仿宋_GB2312" w:cs="仿宋_GB2312"/>
          <w:color w:val="auto"/>
          <w:sz w:val="32"/>
          <w:szCs w:val="32"/>
        </w:rPr>
        <w:t>终结决定告知书除涉及国家秘密、商业秘密和个人隐私外，一般应</w:t>
      </w:r>
      <w:r>
        <w:rPr>
          <w:rFonts w:hint="eastAsia" w:ascii="Times New Roman" w:hAnsi="Times New Roman" w:eastAsia="仿宋_GB2312" w:cs="仿宋_GB2312"/>
          <w:color w:val="auto"/>
          <w:sz w:val="32"/>
          <w:szCs w:val="32"/>
          <w:lang w:eastAsia="zh-CN"/>
        </w:rPr>
        <w:t>当</w:t>
      </w:r>
      <w:r>
        <w:rPr>
          <w:rFonts w:hint="eastAsia" w:ascii="Times New Roman" w:hAnsi="Times New Roman" w:eastAsia="仿宋_GB2312" w:cs="仿宋_GB2312"/>
          <w:color w:val="auto"/>
          <w:sz w:val="32"/>
          <w:szCs w:val="32"/>
        </w:rPr>
        <w:t>在有关信访接待场所公布。</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仿宋_GB2312" w:cs="仿宋_GB2312"/>
          <w:color w:val="auto"/>
          <w:sz w:val="32"/>
          <w:szCs w:val="32"/>
        </w:rPr>
      </w:pPr>
      <w:r>
        <w:rPr>
          <w:rFonts w:hint="eastAsia" w:ascii="Times New Roman" w:hAnsi="Times New Roman" w:eastAsia="黑体" w:cs="黑体"/>
          <w:color w:val="auto"/>
          <w:sz w:val="32"/>
          <w:szCs w:val="32"/>
        </w:rPr>
        <w:t>第十七条</w:t>
      </w:r>
      <w:r>
        <w:rPr>
          <w:rFonts w:hint="eastAsia" w:ascii="Times New Roman" w:hAnsi="Times New Roman" w:eastAsia="仿宋_GB2312" w:cs="仿宋_GB2312"/>
          <w:color w:val="auto"/>
          <w:sz w:val="32"/>
          <w:szCs w:val="32"/>
        </w:rPr>
        <w:t xml:space="preserve">  申报单位应当在收到《信访事项终结决定书》后，在10个工作日内报告当地信访工作联席办、党委政法委，做好后续管理的移交工作，并积极协助当地党委政府及基层组织继续做好矛盾化解、教育疏导和帮扶救助工作，促使信访人停访息诉。</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仿宋_GB2312" w:cs="仿宋_GB2312"/>
          <w:color w:val="auto"/>
          <w:sz w:val="32"/>
          <w:szCs w:val="32"/>
        </w:rPr>
      </w:pPr>
      <w:r>
        <w:rPr>
          <w:rFonts w:hint="eastAsia" w:ascii="Times New Roman" w:hAnsi="Times New Roman" w:eastAsia="黑体" w:cs="黑体"/>
          <w:color w:val="auto"/>
          <w:sz w:val="32"/>
          <w:szCs w:val="32"/>
        </w:rPr>
        <w:t>第十八条</w:t>
      </w:r>
      <w:r>
        <w:rPr>
          <w:rFonts w:hint="eastAsia" w:ascii="Times New Roman" w:hAnsi="Times New Roman" w:eastAsia="仿宋_GB2312" w:cs="仿宋_GB2312"/>
          <w:color w:val="auto"/>
          <w:sz w:val="32"/>
          <w:szCs w:val="32"/>
        </w:rPr>
        <w:t xml:space="preserve">  信访事项终结后，信访人仍就同一事由继续到公安机关信访的，应当如实登记，但不再作为信访事项进行受理、统计、转办、交办、通报</w:t>
      </w:r>
      <w:r>
        <w:rPr>
          <w:rFonts w:hint="eastAsia" w:ascii="Times New Roman" w:hAnsi="Times New Roman" w:eastAsia="仿宋_GB2312" w:cs="仿宋_GB2312"/>
          <w:color w:val="auto"/>
          <w:sz w:val="32"/>
          <w:szCs w:val="32"/>
          <w:lang w:eastAsia="zh-CN"/>
        </w:rPr>
        <w:t>，也不列入考核</w:t>
      </w:r>
      <w:r>
        <w:rPr>
          <w:rFonts w:hint="eastAsia" w:ascii="Times New Roman" w:hAnsi="Times New Roman" w:eastAsia="仿宋_GB2312" w:cs="仿宋_GB2312"/>
          <w:color w:val="auto"/>
          <w:sz w:val="32"/>
          <w:szCs w:val="32"/>
        </w:rPr>
        <w:t>。</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仿宋_GB2312" w:cs="仿宋_GB2312"/>
          <w:color w:val="auto"/>
          <w:sz w:val="32"/>
          <w:szCs w:val="32"/>
        </w:rPr>
      </w:pPr>
    </w:p>
    <w:p>
      <w:pPr>
        <w:keepNext w:val="0"/>
        <w:keepLines w:val="0"/>
        <w:pageBreakBefore w:val="0"/>
        <w:widowControl w:val="0"/>
        <w:kinsoku/>
        <w:wordWrap/>
        <w:overflowPunct/>
        <w:topLinePunct w:val="0"/>
        <w:autoSpaceDE/>
        <w:autoSpaceDN/>
        <w:bidi w:val="0"/>
        <w:adjustRightInd/>
        <w:snapToGrid/>
        <w:spacing w:line="600" w:lineRule="exact"/>
        <w:ind w:right="0" w:rightChars="0"/>
        <w:jc w:val="center"/>
        <w:textAlignment w:val="auto"/>
        <w:outlineLvl w:val="9"/>
        <w:rPr>
          <w:rFonts w:hint="eastAsia" w:ascii="Times New Roman" w:hAnsi="Times New Roman" w:eastAsia="黑体" w:cs="黑体"/>
          <w:color w:val="auto"/>
          <w:sz w:val="32"/>
          <w:szCs w:val="32"/>
        </w:rPr>
      </w:pPr>
      <w:r>
        <w:rPr>
          <w:rFonts w:hint="eastAsia" w:ascii="Times New Roman" w:hAnsi="Times New Roman" w:eastAsia="黑体" w:cs="黑体"/>
          <w:color w:val="auto"/>
          <w:sz w:val="32"/>
          <w:szCs w:val="32"/>
        </w:rPr>
        <w:t>第四章  责任追究</w:t>
      </w:r>
    </w:p>
    <w:p>
      <w:pPr>
        <w:pStyle w:val="2"/>
        <w:rPr>
          <w:rFonts w:hint="eastAsia"/>
        </w:rPr>
      </w:pP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仿宋_GB2312" w:cs="仿宋_GB2312"/>
          <w:color w:val="auto"/>
          <w:sz w:val="32"/>
          <w:szCs w:val="32"/>
        </w:rPr>
      </w:pPr>
      <w:r>
        <w:rPr>
          <w:rFonts w:hint="eastAsia" w:ascii="Times New Roman" w:hAnsi="Times New Roman" w:eastAsia="黑体" w:cs="黑体"/>
          <w:color w:val="auto"/>
          <w:sz w:val="32"/>
          <w:szCs w:val="32"/>
        </w:rPr>
        <w:t>第十九条</w:t>
      </w:r>
      <w:r>
        <w:rPr>
          <w:rFonts w:hint="eastAsia" w:ascii="Times New Roman" w:hAnsi="Times New Roman" w:eastAsia="仿宋_GB2312" w:cs="仿宋_GB2312"/>
          <w:color w:val="auto"/>
          <w:sz w:val="32"/>
          <w:szCs w:val="32"/>
        </w:rPr>
        <w:t xml:space="preserve">  报送申请终结信访事项的各种证据资料，必须实事求是，客观真实，严禁弄虚作假，隐瞒捏造。对工作中不严格按照标准和程序随意终结，导致定性、处理错误或其他严重后果的，依法依纪严肃追究相关部门和人员责任。</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仿宋_GB2312" w:cs="仿宋_GB2312"/>
          <w:color w:val="auto"/>
          <w:sz w:val="32"/>
          <w:szCs w:val="32"/>
        </w:rPr>
      </w:pPr>
      <w:r>
        <w:rPr>
          <w:rFonts w:hint="eastAsia" w:ascii="Times New Roman" w:hAnsi="Times New Roman" w:eastAsia="黑体" w:cs="黑体"/>
          <w:color w:val="auto"/>
          <w:sz w:val="32"/>
          <w:szCs w:val="32"/>
        </w:rPr>
        <w:t>第二十条</w:t>
      </w:r>
      <w:r>
        <w:rPr>
          <w:rFonts w:hint="eastAsia" w:ascii="Times New Roman" w:hAnsi="Times New Roman" w:eastAsia="仿宋_GB2312" w:cs="仿宋_GB2312"/>
          <w:color w:val="auto"/>
          <w:sz w:val="32"/>
          <w:szCs w:val="32"/>
        </w:rPr>
        <w:t xml:space="preserve">  对已经终结的信访事项，不积极配合党委、政府及其基层组织落实教育疏导、矛盾化解和帮扶救助工作，造成</w:t>
      </w:r>
      <w:r>
        <w:rPr>
          <w:rFonts w:hint="eastAsia" w:ascii="Times New Roman" w:hAnsi="Times New Roman" w:eastAsia="仿宋_GB2312" w:cs="仿宋_GB2312"/>
          <w:color w:val="auto"/>
          <w:sz w:val="32"/>
          <w:szCs w:val="32"/>
          <w:lang w:eastAsia="zh-CN"/>
        </w:rPr>
        <w:t>严重后果</w:t>
      </w:r>
      <w:r>
        <w:rPr>
          <w:rFonts w:hint="eastAsia" w:ascii="Times New Roman" w:hAnsi="Times New Roman" w:eastAsia="仿宋_GB2312" w:cs="仿宋_GB2312"/>
          <w:color w:val="auto"/>
          <w:sz w:val="32"/>
          <w:szCs w:val="32"/>
        </w:rPr>
        <w:t>的，追究相关部门和人员责任。</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仿宋_GB2312" w:cs="仿宋_GB2312"/>
          <w:color w:val="auto"/>
          <w:sz w:val="32"/>
          <w:szCs w:val="32"/>
        </w:rPr>
      </w:pPr>
    </w:p>
    <w:p>
      <w:pPr>
        <w:keepNext w:val="0"/>
        <w:keepLines w:val="0"/>
        <w:pageBreakBefore w:val="0"/>
        <w:widowControl w:val="0"/>
        <w:kinsoku/>
        <w:wordWrap/>
        <w:overflowPunct/>
        <w:topLinePunct w:val="0"/>
        <w:autoSpaceDE/>
        <w:autoSpaceDN/>
        <w:bidi w:val="0"/>
        <w:adjustRightInd/>
        <w:snapToGrid/>
        <w:spacing w:line="600" w:lineRule="exact"/>
        <w:ind w:right="0" w:rightChars="0"/>
        <w:jc w:val="center"/>
        <w:textAlignment w:val="auto"/>
        <w:outlineLvl w:val="9"/>
        <w:rPr>
          <w:rFonts w:hint="eastAsia" w:ascii="Times New Roman" w:hAnsi="Times New Roman" w:eastAsia="黑体" w:cs="黑体"/>
          <w:color w:val="auto"/>
          <w:sz w:val="32"/>
          <w:szCs w:val="32"/>
        </w:rPr>
      </w:pPr>
      <w:r>
        <w:rPr>
          <w:rFonts w:hint="eastAsia" w:ascii="Times New Roman" w:hAnsi="Times New Roman" w:eastAsia="黑体" w:cs="黑体"/>
          <w:color w:val="auto"/>
          <w:sz w:val="32"/>
          <w:szCs w:val="32"/>
        </w:rPr>
        <w:t>第五章  附</w:t>
      </w:r>
      <w:r>
        <w:rPr>
          <w:rFonts w:hint="eastAsia" w:ascii="Times New Roman" w:hAnsi="Times New Roman" w:eastAsia="黑体" w:cs="黑体"/>
          <w:color w:val="auto"/>
          <w:sz w:val="32"/>
          <w:szCs w:val="32"/>
          <w:lang w:val="en-US" w:eastAsia="zh-CN"/>
        </w:rPr>
        <w:t xml:space="preserve">    </w:t>
      </w:r>
      <w:r>
        <w:rPr>
          <w:rFonts w:hint="eastAsia" w:ascii="Times New Roman" w:hAnsi="Times New Roman" w:eastAsia="黑体" w:cs="黑体"/>
          <w:color w:val="auto"/>
          <w:sz w:val="32"/>
          <w:szCs w:val="32"/>
        </w:rPr>
        <w:t>则</w:t>
      </w:r>
    </w:p>
    <w:p>
      <w:pPr>
        <w:pStyle w:val="2"/>
        <w:rPr>
          <w:rFonts w:hint="eastAsia"/>
        </w:rPr>
      </w:pP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仿宋_GB2312" w:cs="仿宋_GB2312"/>
          <w:color w:val="auto"/>
          <w:sz w:val="32"/>
          <w:szCs w:val="32"/>
        </w:rPr>
      </w:pPr>
      <w:r>
        <w:rPr>
          <w:rFonts w:hint="eastAsia" w:ascii="Times New Roman" w:hAnsi="Times New Roman" w:eastAsia="黑体" w:cs="黑体"/>
          <w:color w:val="auto"/>
          <w:sz w:val="32"/>
          <w:szCs w:val="32"/>
        </w:rPr>
        <w:t>第二十一条</w:t>
      </w:r>
      <w:r>
        <w:rPr>
          <w:rFonts w:hint="eastAsia" w:ascii="Times New Roman" w:hAnsi="Times New Roman" w:eastAsia="仿宋_GB2312" w:cs="仿宋_GB2312"/>
          <w:color w:val="auto"/>
          <w:sz w:val="32"/>
          <w:szCs w:val="32"/>
        </w:rPr>
        <w:t xml:space="preserve">  本办法自下发之日起施行，由浙江省公安厅信访工作领导小组办公室负责解释</w:t>
      </w:r>
      <w:r>
        <w:rPr>
          <w:rFonts w:hint="eastAsia" w:ascii="Times New Roman" w:hAnsi="Times New Roman" w:eastAsia="仿宋_GB2312" w:cs="仿宋_GB2312"/>
          <w:color w:val="auto"/>
          <w:sz w:val="32"/>
          <w:szCs w:val="32"/>
          <w:lang w:eastAsia="zh-CN"/>
        </w:rPr>
        <w:t>，原</w:t>
      </w:r>
      <w:r>
        <w:rPr>
          <w:rFonts w:hint="eastAsia" w:ascii="Times New Roman" w:hAnsi="Times New Roman" w:eastAsia="仿宋_GB2312" w:cs="仿宋_GB2312"/>
          <w:color w:val="auto"/>
          <w:sz w:val="32"/>
          <w:szCs w:val="32"/>
          <w:lang w:val="en-US" w:eastAsia="zh-CN"/>
        </w:rPr>
        <w:t>2015</w:t>
      </w:r>
      <w:r>
        <w:rPr>
          <w:rFonts w:hint="eastAsia" w:ascii="Times New Roman" w:hAnsi="Times New Roman" w:eastAsia="仿宋_GB2312" w:cs="仿宋_GB2312"/>
          <w:color w:val="auto"/>
          <w:sz w:val="32"/>
          <w:szCs w:val="32"/>
          <w:lang w:eastAsia="zh-CN"/>
        </w:rPr>
        <w:t>年</w:t>
      </w:r>
      <w:r>
        <w:rPr>
          <w:rFonts w:hint="eastAsia" w:ascii="Times New Roman" w:hAnsi="Times New Roman" w:eastAsia="仿宋_GB2312" w:cs="仿宋_GB2312"/>
          <w:color w:val="auto"/>
          <w:sz w:val="32"/>
          <w:szCs w:val="32"/>
          <w:lang w:val="en-US" w:eastAsia="zh-CN"/>
        </w:rPr>
        <w:t>4</w:t>
      </w:r>
      <w:r>
        <w:rPr>
          <w:rFonts w:hint="eastAsia" w:ascii="Times New Roman" w:hAnsi="Times New Roman" w:eastAsia="仿宋_GB2312" w:cs="仿宋_GB2312"/>
          <w:color w:val="auto"/>
          <w:sz w:val="32"/>
          <w:szCs w:val="32"/>
          <w:lang w:eastAsia="zh-CN"/>
        </w:rPr>
        <w:t>月</w:t>
      </w:r>
      <w:r>
        <w:rPr>
          <w:rFonts w:hint="eastAsia" w:ascii="Times New Roman" w:hAnsi="Times New Roman" w:eastAsia="仿宋_GB2312" w:cs="仿宋_GB2312"/>
          <w:color w:val="auto"/>
          <w:sz w:val="32"/>
          <w:szCs w:val="32"/>
          <w:lang w:val="en-US" w:eastAsia="zh-CN"/>
        </w:rPr>
        <w:t>21</w:t>
      </w:r>
      <w:r>
        <w:rPr>
          <w:rFonts w:hint="eastAsia" w:ascii="Times New Roman" w:hAnsi="Times New Roman" w:eastAsia="仿宋_GB2312" w:cs="仿宋_GB2312"/>
          <w:color w:val="auto"/>
          <w:sz w:val="32"/>
          <w:szCs w:val="32"/>
          <w:lang w:eastAsia="zh-CN"/>
        </w:rPr>
        <w:t>日印发的《浙江省公安机关信访事项终结办法》（试行）（浙公通字〔2015〕36号）同时废止</w:t>
      </w:r>
      <w:r>
        <w:rPr>
          <w:rFonts w:hint="eastAsia" w:ascii="Times New Roman" w:hAnsi="Times New Roman" w:eastAsia="仿宋_GB2312" w:cs="仿宋_GB2312"/>
          <w:color w:val="auto"/>
          <w:sz w:val="32"/>
          <w:szCs w:val="32"/>
        </w:rPr>
        <w:t>。</w:t>
      </w:r>
    </w:p>
    <w:p>
      <w:pPr>
        <w:keepNext w:val="0"/>
        <w:keepLines w:val="0"/>
        <w:pageBreakBefore w:val="0"/>
        <w:widowControl w:val="0"/>
        <w:kinsoku/>
        <w:wordWrap/>
        <w:overflowPunct/>
        <w:topLinePunct w:val="0"/>
        <w:autoSpaceDE/>
        <w:autoSpaceDN/>
        <w:bidi w:val="0"/>
        <w:adjustRightInd/>
        <w:snapToGrid/>
        <w:spacing w:line="590" w:lineRule="exact"/>
        <w:ind w:left="0" w:leftChars="0" w:right="0" w:rightChars="0" w:firstLine="640" w:firstLineChars="200"/>
        <w:jc w:val="both"/>
        <w:textAlignment w:val="auto"/>
        <w:outlineLvl w:val="9"/>
        <w:rPr>
          <w:rFonts w:hint="eastAsia" w:ascii="Times New Roman" w:hAnsi="Times New Roman" w:eastAsia="仿宋_GB2312" w:cs="仿宋_GB2312"/>
          <w:color w:val="auto"/>
          <w:sz w:val="32"/>
          <w:szCs w:val="32"/>
        </w:rPr>
      </w:pPr>
    </w:p>
    <w:p>
      <w:pPr>
        <w:keepNext w:val="0"/>
        <w:keepLines w:val="0"/>
        <w:pageBreakBefore w:val="0"/>
        <w:widowControl w:val="0"/>
        <w:kinsoku/>
        <w:wordWrap/>
        <w:overflowPunct/>
        <w:topLinePunct w:val="0"/>
        <w:autoSpaceDE/>
        <w:autoSpaceDN/>
        <w:bidi w:val="0"/>
        <w:adjustRightInd/>
        <w:snapToGrid/>
        <w:spacing w:line="590" w:lineRule="exact"/>
        <w:ind w:left="0" w:leftChars="0" w:right="0" w:rightChars="0" w:firstLine="640" w:firstLineChars="200"/>
        <w:jc w:val="both"/>
        <w:textAlignment w:val="auto"/>
        <w:outlineLvl w:val="9"/>
        <w:rPr>
          <w:rFonts w:hint="eastAsia" w:ascii="Times New Roman" w:hAnsi="Times New Roman" w:eastAsia="仿宋_GB2312" w:cs="仿宋_GB2312"/>
          <w:color w:val="auto"/>
          <w:sz w:val="32"/>
          <w:szCs w:val="32"/>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val="0"/>
        <w:overflowPunct/>
        <w:topLinePunct w:val="0"/>
        <w:autoSpaceDE/>
        <w:autoSpaceDN/>
        <w:bidi w:val="0"/>
        <w:adjustRightInd/>
        <w:snapToGrid/>
        <w:spacing w:before="0" w:beforeAutospacing="0" w:after="0" w:afterAutospacing="0" w:line="600" w:lineRule="exact"/>
        <w:ind w:left="0" w:right="0" w:firstLine="640"/>
        <w:jc w:val="left"/>
        <w:textAlignment w:val="auto"/>
      </w:pPr>
      <w:bookmarkStart w:id="1" w:name="_GoBack"/>
      <w:bookmarkEnd w:id="1"/>
    </w:p>
    <w:sectPr>
      <w:footerReference r:id="rId3" w:type="default"/>
      <w:pgSz w:w="11906" w:h="16838"/>
      <w:pgMar w:top="2041" w:right="1531" w:bottom="2041" w:left="1531"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AFF" w:usb1="C0007841"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auto"/>
    <w:pitch w:val="default"/>
    <w:sig w:usb0="80000287" w:usb1="280F3C52" w:usb2="00000016" w:usb3="00000000" w:csb0="0004001F" w:csb1="00000000"/>
  </w:font>
  <w:font w:name="仿宋_GB2312">
    <w:panose1 w:val="02010609030101010101"/>
    <w:charset w:val="86"/>
    <w:family w:val="auto"/>
    <w:pitch w:val="default"/>
    <w:sig w:usb0="00000001" w:usb1="080E0000" w:usb2="00000000" w:usb3="00000000" w:csb0="00040000" w:csb1="00000000"/>
  </w:font>
  <w:font w:name="方正小标宋简体">
    <w:panose1 w:val="03000509000000000000"/>
    <w:charset w:val="86"/>
    <w:family w:val="auto"/>
    <w:pitch w:val="default"/>
    <w:sig w:usb0="00000001" w:usb1="080E0000" w:usb2="00000000" w:usb3="00000000" w:csb0="00040000" w:csb1="00000000"/>
  </w:font>
  <w:font w:name="楷体_GB2312">
    <w:panose1 w:val="02010609030101010101"/>
    <w:charset w:val="86"/>
    <w:family w:val="auto"/>
    <w:pitch w:val="default"/>
    <w:sig w:usb0="00000001" w:usb1="080E0000" w:usb2="00000000" w:usb3="00000000" w:csb0="00040000" w:csb1="00000000"/>
  </w:font>
  <w:font w:name="方正隶书_GBK">
    <w:altName w:val="宋体"/>
    <w:panose1 w:val="03000509000000000000"/>
    <w:charset w:val="86"/>
    <w:family w:val="script"/>
    <w:pitch w:val="default"/>
    <w:sig w:usb0="00000000" w:usb1="00000000" w:usb2="00000000" w:usb3="00000000" w:csb0="00040000" w:csb1="00000000"/>
  </w:font>
  <w:font w:name="华文行楷">
    <w:panose1 w:val="02010800040101010101"/>
    <w:charset w:val="86"/>
    <w:family w:val="auto"/>
    <w:pitch w:val="default"/>
    <w:sig w:usb0="00000001" w:usb1="080F0000" w:usb2="00000000" w:usb3="00000000" w:csb0="00040000" w:csb1="00000000"/>
  </w:font>
  <w:font w:name="Calibri Light">
    <w:panose1 w:val="020F0302020204030204"/>
    <w:charset w:val="00"/>
    <w:family w:val="auto"/>
    <w:pitch w:val="default"/>
    <w:sig w:usb0="A00002EF" w:usb1="4000207B" w:usb2="00000000" w:usb3="00000000" w:csb0="2000019F" w:csb1="00000000"/>
  </w:font>
  <w:font w:name="华文楷体">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r>
      <w:rPr>
        <w:sz w:val="18"/>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snapToGrid w:val="0"/>
                            <w:rPr>
                              <w:rFonts w:hint="default" w:ascii="Times New Roman" w:hAnsi="Times New Roman" w:eastAsia="宋体" w:cs="Times New Roman"/>
                              <w:sz w:val="28"/>
                              <w:szCs w:val="44"/>
                              <w:lang w:eastAsia="zh-CN"/>
                            </w:rPr>
                          </w:pPr>
                          <w:r>
                            <w:rPr>
                              <w:rFonts w:hint="default" w:ascii="Times New Roman" w:hAnsi="Times New Roman" w:cs="Times New Roman"/>
                              <w:sz w:val="28"/>
                              <w:szCs w:val="44"/>
                              <w:lang w:eastAsia="zh-CN"/>
                            </w:rPr>
                            <w:t>—</w:t>
                          </w:r>
                          <w:r>
                            <w:rPr>
                              <w:rFonts w:hint="default" w:ascii="Times New Roman" w:hAnsi="Times New Roman" w:cs="Times New Roman"/>
                              <w:sz w:val="28"/>
                              <w:szCs w:val="44"/>
                              <w:lang w:val="en-US" w:eastAsia="zh-CN"/>
                            </w:rPr>
                            <w:t xml:space="preserve"> </w:t>
                          </w:r>
                          <w:r>
                            <w:rPr>
                              <w:rFonts w:hint="default" w:ascii="Times New Roman" w:hAnsi="Times New Roman" w:cs="Times New Roman"/>
                              <w:sz w:val="28"/>
                              <w:szCs w:val="44"/>
                              <w:lang w:eastAsia="zh-CN"/>
                            </w:rPr>
                            <w:fldChar w:fldCharType="begin"/>
                          </w:r>
                          <w:r>
                            <w:rPr>
                              <w:rFonts w:hint="default" w:ascii="Times New Roman" w:hAnsi="Times New Roman" w:cs="Times New Roman"/>
                              <w:sz w:val="28"/>
                              <w:szCs w:val="44"/>
                              <w:lang w:eastAsia="zh-CN"/>
                            </w:rPr>
                            <w:instrText xml:space="preserve"> PAGE  \* MERGEFORMAT </w:instrText>
                          </w:r>
                          <w:r>
                            <w:rPr>
                              <w:rFonts w:hint="default" w:ascii="Times New Roman" w:hAnsi="Times New Roman" w:cs="Times New Roman"/>
                              <w:sz w:val="28"/>
                              <w:szCs w:val="44"/>
                              <w:lang w:eastAsia="zh-CN"/>
                            </w:rPr>
                            <w:fldChar w:fldCharType="separate"/>
                          </w:r>
                          <w:r>
                            <w:rPr>
                              <w:rFonts w:hint="default" w:ascii="Times New Roman" w:hAnsi="Times New Roman" w:cs="Times New Roman"/>
                              <w:sz w:val="28"/>
                              <w:szCs w:val="44"/>
                              <w:lang w:eastAsia="zh-CN"/>
                            </w:rPr>
                            <w:t>1</w:t>
                          </w:r>
                          <w:r>
                            <w:rPr>
                              <w:rFonts w:hint="default" w:ascii="Times New Roman" w:hAnsi="Times New Roman" w:cs="Times New Roman"/>
                              <w:sz w:val="28"/>
                              <w:szCs w:val="44"/>
                              <w:lang w:eastAsia="zh-CN"/>
                            </w:rPr>
                            <w:fldChar w:fldCharType="end"/>
                          </w:r>
                          <w:r>
                            <w:rPr>
                              <w:rFonts w:hint="default" w:ascii="Times New Roman" w:hAnsi="Times New Roman" w:cs="Times New Roman"/>
                              <w:sz w:val="28"/>
                              <w:szCs w:val="44"/>
                              <w:lang w:val="en-US" w:eastAsia="zh-CN"/>
                            </w:rPr>
                            <w:t xml:space="preserve"> </w:t>
                          </w:r>
                          <w:r>
                            <w:rPr>
                              <w:rFonts w:hint="default" w:ascii="Times New Roman" w:hAnsi="Times New Roman" w:cs="Times New Roman"/>
                              <w:sz w:val="28"/>
                              <w:szCs w:val="44"/>
                              <w:lang w:eastAsia="zh-CN"/>
                            </w:rPr>
                            <w:t>—</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82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SzpqPCAgAA1gUAAA4AAABkcnMvZTJvRG9jLnhtbK1UzW7UMBC+I/EO&#10;lu9pkm26zUbNVttNg5AqWqkgzl7H2UQ4tmV7fwriCm/AiQt3nqvPwdjZ7LYFIQTk4Iw945n5vhnP&#10;2fm242jNtGmlyHF8FGHEBJVVK5Y5fvO6DFKMjCWiIlwKluM7ZvD59Pmzs43K2Eg2kldMI3AiTLZR&#10;OW6sVVkYGtqwjpgjqZgAZS11Ryxs9TKsNNmA946HoygahxupK6UlZcbAadEr8dT7r2tG7XVdG2YR&#10;zzHkZv2q/bpwazg9I9lSE9W0dJcG+YssOtIKCLp3VRBL0Eq3P7nqWqqlkbU9orILZV23lHkMgCaO&#10;nqC5bYhiHguQY9SeJvP/3NJX6xuN2gpqh5EgHZTo/svn+6/f7799QrGjZ6NMBla3Cuzs9kJunenu&#10;3MChQ72tdef+gAeBHoi+25PLthZRdykdpWkEKgq6YQN+wsN1pY19wWSHnJBjDdXzpJL1lbG96WDi&#10;oglZtpzDOcm4QJscj49PIn9hrwHnXDgDyAJ87KS+Mh8m0eQyvUyTIBmNL4MkKopgVs6TYFzGpyfF&#10;cTGfF/FH5y9OsqatKiZcvKFL4uTPqrDr176++z4xkreVc+dSMnq5mHON1gS6tPSfYxiSf2AWPk7D&#10;qwHVE0jxKIkuRpOgHKenQVImJ8HkNEqDKJ5cTMZRMkmK8jGkq1awf4f0iP0HSZPMFWyPbcEJffdb&#10;aC6dAzRgYChc6Pqw7zcn2e1iCxQ5cSGrO+hNLfvHbRQtWwh6RYy9IRpeM/QcTCh7DUvNJfSJ3EkY&#10;NVK//9W5s4fyghajDUyHHAsYXxjxlwIenxskg6AHYTEIYtXNJRQSHhTk4kW4oC0fxFrL7i2MrZmL&#10;ASoiKETKsR3Eue0nFIw9ymYzb7RSul02/QUYHYrYK3GrqAvjW0jNVhbeg38mB1aASreB4eFJ3Q06&#10;N50e7r3VYRxPfw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ArBQAAW0NvbnRlbnRfVHlwZXNdLnhtbFBLAQIUAAoAAAAAAIdO4kAAAAAAAAAAAAAA&#10;AAAGAAAAAAAAAAAAEAAAAA0EAABfcmVscy9QSwECFAAUAAAACACHTuJAihRmPNEAAACUAQAACwAA&#10;AAAAAAABACAAAAAxBAAAX3JlbHMvLnJlbHNQSwECFAAKAAAAAACHTuJAAAAAAAAAAAAAAAAABAAA&#10;AAAAAAAAABAAAAAAAAAAZHJzL1BLAQIUABQAAAAIAIdO4kCzSVju0AAAAAUBAAAPAAAAAAAAAAEA&#10;IAAAACIAAABkcnMvZG93bnJldi54bWxQSwECFAAUAAAACACHTuJA5LOmo8ICAADWBQAADgAAAAAA&#10;AAABACAAAAAfAQAAZHJzL2Uyb0RvYy54bWxQSwUGAAAAAAYABgBZAQAAUwYAAAAA&#10;">
              <v:fill on="f" focussize="0,0"/>
              <v:stroke on="f" weight="0.5pt"/>
              <v:imagedata o:title=""/>
              <o:lock v:ext="edit" aspectratio="f"/>
              <v:textbox inset="0mm,0mm,0mm,0mm" style="mso-fit-shape-to-text:t;">
                <w:txbxContent>
                  <w:p>
                    <w:pPr>
                      <w:snapToGrid w:val="0"/>
                      <w:rPr>
                        <w:rFonts w:hint="default" w:ascii="Times New Roman" w:hAnsi="Times New Roman" w:eastAsia="宋体" w:cs="Times New Roman"/>
                        <w:sz w:val="28"/>
                        <w:szCs w:val="44"/>
                        <w:lang w:eastAsia="zh-CN"/>
                      </w:rPr>
                    </w:pPr>
                    <w:r>
                      <w:rPr>
                        <w:rFonts w:hint="default" w:ascii="Times New Roman" w:hAnsi="Times New Roman" w:cs="Times New Roman"/>
                        <w:sz w:val="28"/>
                        <w:szCs w:val="44"/>
                        <w:lang w:eastAsia="zh-CN"/>
                      </w:rPr>
                      <w:t>—</w:t>
                    </w:r>
                    <w:r>
                      <w:rPr>
                        <w:rFonts w:hint="default" w:ascii="Times New Roman" w:hAnsi="Times New Roman" w:cs="Times New Roman"/>
                        <w:sz w:val="28"/>
                        <w:szCs w:val="44"/>
                        <w:lang w:val="en-US" w:eastAsia="zh-CN"/>
                      </w:rPr>
                      <w:t xml:space="preserve"> </w:t>
                    </w:r>
                    <w:r>
                      <w:rPr>
                        <w:rFonts w:hint="default" w:ascii="Times New Roman" w:hAnsi="Times New Roman" w:cs="Times New Roman"/>
                        <w:sz w:val="28"/>
                        <w:szCs w:val="44"/>
                        <w:lang w:eastAsia="zh-CN"/>
                      </w:rPr>
                      <w:fldChar w:fldCharType="begin"/>
                    </w:r>
                    <w:r>
                      <w:rPr>
                        <w:rFonts w:hint="default" w:ascii="Times New Roman" w:hAnsi="Times New Roman" w:cs="Times New Roman"/>
                        <w:sz w:val="28"/>
                        <w:szCs w:val="44"/>
                        <w:lang w:eastAsia="zh-CN"/>
                      </w:rPr>
                      <w:instrText xml:space="preserve"> PAGE  \* MERGEFORMAT </w:instrText>
                    </w:r>
                    <w:r>
                      <w:rPr>
                        <w:rFonts w:hint="default" w:ascii="Times New Roman" w:hAnsi="Times New Roman" w:cs="Times New Roman"/>
                        <w:sz w:val="28"/>
                        <w:szCs w:val="44"/>
                        <w:lang w:eastAsia="zh-CN"/>
                      </w:rPr>
                      <w:fldChar w:fldCharType="separate"/>
                    </w:r>
                    <w:r>
                      <w:rPr>
                        <w:rFonts w:hint="default" w:ascii="Times New Roman" w:hAnsi="Times New Roman" w:cs="Times New Roman"/>
                        <w:sz w:val="28"/>
                        <w:szCs w:val="44"/>
                        <w:lang w:eastAsia="zh-CN"/>
                      </w:rPr>
                      <w:t>1</w:t>
                    </w:r>
                    <w:r>
                      <w:rPr>
                        <w:rFonts w:hint="default" w:ascii="Times New Roman" w:hAnsi="Times New Roman" w:cs="Times New Roman"/>
                        <w:sz w:val="28"/>
                        <w:szCs w:val="44"/>
                        <w:lang w:eastAsia="zh-CN"/>
                      </w:rPr>
                      <w:fldChar w:fldCharType="end"/>
                    </w:r>
                    <w:r>
                      <w:rPr>
                        <w:rFonts w:hint="default" w:ascii="Times New Roman" w:hAnsi="Times New Roman" w:cs="Times New Roman"/>
                        <w:sz w:val="28"/>
                        <w:szCs w:val="44"/>
                        <w:lang w:val="en-US" w:eastAsia="zh-CN"/>
                      </w:rPr>
                      <w:t xml:space="preserve"> </w:t>
                    </w:r>
                    <w:r>
                      <w:rPr>
                        <w:rFonts w:hint="default" w:ascii="Times New Roman" w:hAnsi="Times New Roman" w:cs="Times New Roman"/>
                        <w:sz w:val="28"/>
                        <w:szCs w:val="44"/>
                        <w:lang w:eastAsia="zh-CN"/>
                      </w:rPr>
                      <w:t>—</w:t>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74F239C"/>
    <w:rsid w:val="0CE62B73"/>
    <w:rsid w:val="273664DA"/>
    <w:rsid w:val="3145529E"/>
    <w:rsid w:val="40E27013"/>
    <w:rsid w:val="674F239C"/>
    <w:rsid w:val="6E583298"/>
    <w:rsid w:val="79E75662"/>
    <w:rsid w:val="7D7218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4"/>
      <w:lang w:val="en-US" w:eastAsia="zh-CN" w:bidi="ar-SA"/>
    </w:rPr>
  </w:style>
  <w:style w:type="paragraph" w:styleId="4">
    <w:name w:val="heading 1"/>
    <w:basedOn w:val="1"/>
    <w:next w:val="1"/>
    <w:qFormat/>
    <w:uiPriority w:val="0"/>
    <w:pPr>
      <w:keepNext/>
      <w:keepLines/>
      <w:spacing w:beforeLines="0" w:beforeAutospacing="0" w:afterLines="0" w:afterAutospacing="0" w:line="600" w:lineRule="exact"/>
      <w:jc w:val="center"/>
      <w:outlineLvl w:val="0"/>
    </w:pPr>
    <w:rPr>
      <w:rFonts w:eastAsia="方正小标宋简体"/>
      <w:kern w:val="44"/>
      <w:sz w:val="44"/>
    </w:rPr>
  </w:style>
  <w:style w:type="character" w:default="1" w:styleId="8">
    <w:name w:val="Default Paragraph Font"/>
    <w:semiHidden/>
    <w:uiPriority w:val="0"/>
  </w:style>
  <w:style w:type="table" w:default="1" w:styleId="9">
    <w:name w:val="Normal Table"/>
    <w:semiHidden/>
    <w:uiPriority w:val="0"/>
    <w:tblPr>
      <w:tblLayout w:type="fixed"/>
      <w:tblCellMar>
        <w:top w:w="0" w:type="dxa"/>
        <w:left w:w="108" w:type="dxa"/>
        <w:bottom w:w="0" w:type="dxa"/>
        <w:right w:w="108" w:type="dxa"/>
      </w:tblCellMar>
    </w:tblPr>
  </w:style>
  <w:style w:type="paragraph" w:styleId="2">
    <w:name w:val="Body Text"/>
    <w:basedOn w:val="1"/>
    <w:next w:val="3"/>
    <w:uiPriority w:val="0"/>
    <w:pPr>
      <w:spacing w:after="120"/>
    </w:pPr>
  </w:style>
  <w:style w:type="paragraph" w:styleId="3">
    <w:name w:val="Body Text First Indent"/>
    <w:basedOn w:val="2"/>
    <w:next w:val="1"/>
    <w:uiPriority w:val="0"/>
    <w:pPr>
      <w:ind w:firstLine="420" w:firstLineChars="100"/>
    </w:pPr>
  </w:style>
  <w:style w:type="paragraph" w:styleId="5">
    <w:name w:val="footer"/>
    <w:basedOn w:val="1"/>
    <w:uiPriority w:val="0"/>
    <w:pPr>
      <w:tabs>
        <w:tab w:val="center" w:pos="4153"/>
        <w:tab w:val="right" w:pos="8306"/>
      </w:tabs>
      <w:snapToGrid w:val="0"/>
      <w:jc w:val="left"/>
    </w:pPr>
    <w:rPr>
      <w:sz w:val="18"/>
    </w:rPr>
  </w:style>
  <w:style w:type="paragraph" w:styleId="6">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浙江省公安厅</Company>
  <Pages>1</Pages>
  <Words>0</Words>
  <Characters>0</Characters>
  <Lines>0</Lines>
  <Paragraphs>0</Paragraphs>
  <ScaleCrop>false</ScaleCrop>
  <LinksUpToDate>false</LinksUpToDate>
  <CharactersWithSpaces>0</CharactersWithSpaces>
  <Application>WPS Office_10.8.0.6157_F1E327BC-269C-435d-A152-05C5408002CA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2025-02-17T07:37:00Z</dcterms:created>
  <dc:creator>c</dc:creator>
  <cp:lastModifiedBy>c</cp:lastModifiedBy>
  <dcterms:modified xsi:type="dcterms:W3CDTF">2025-02-17T07:44:44Z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2052-10.8.0.6157</vt:lpwstr>
  </property>
</Properties>
</file>