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bidi w:val="0"/>
        <w:rPr>
          <w:rFonts w:hint="eastAsia"/>
          <w:lang w:val="en-US" w:eastAsia="zh-CN"/>
        </w:rPr>
      </w:pPr>
      <w:bookmarkStart w:id="2" w:name="_GoBack"/>
      <w:bookmarkStart w:id="0" w:name="_Toc6781"/>
      <w:r>
        <w:rPr>
          <w:rFonts w:hint="eastAsia"/>
          <w:lang w:val="en-US" w:eastAsia="zh-CN"/>
        </w:rPr>
        <w:t>全省公安机关基层单位主要负责人</w:t>
      </w:r>
      <w:bookmarkEnd w:id="0"/>
      <w:bookmarkStart w:id="1" w:name="_Toc15215"/>
      <w:r>
        <w:rPr>
          <w:rFonts w:hint="eastAsia"/>
          <w:lang w:val="en-US" w:eastAsia="zh-CN"/>
        </w:rPr>
        <w:t>信访工作责任审计办法（试行）</w:t>
      </w:r>
      <w:bookmarkEnd w:id="1"/>
    </w:p>
    <w:bookmarkEnd w:id="2"/>
    <w:p>
      <w:pPr>
        <w:keepNext w:val="0"/>
        <w:keepLines w:val="0"/>
        <w:pageBreakBefore w:val="0"/>
        <w:shd w:val="clear"/>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黑体" w:cs="黑体"/>
          <w:sz w:val="32"/>
          <w:szCs w:val="32"/>
          <w:lang w:val="en-US" w:eastAsia="zh-CN"/>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kinsoku/>
        <w:wordWrap/>
        <w:overflowPunct/>
        <w:topLinePunct w:val="0"/>
        <w:autoSpaceDE/>
        <w:autoSpaceDN/>
        <w:bidi w:val="0"/>
        <w:adjustRightInd/>
        <w:snapToGrid/>
        <w:spacing w:beforeAutospacing="0" w:afterAutospacing="0" w:line="600" w:lineRule="exact"/>
        <w:ind w:left="0" w:leftChars="0" w:right="0" w:rightChars="0" w:firstLine="640" w:firstLineChars="200"/>
        <w:jc w:val="both"/>
        <w:textAlignment w:val="auto"/>
        <w:outlineLvl w:val="9"/>
        <w:rPr>
          <w:rFonts w:hint="eastAsia" w:ascii="Times New Roman" w:hAnsi="Times New Roman" w:eastAsia="仿宋_GB2312" w:cs="仿宋_GB2312"/>
          <w:sz w:val="32"/>
          <w:szCs w:val="32"/>
          <w:lang w:val="en-US" w:eastAsia="zh-CN"/>
        </w:rPr>
      </w:pPr>
      <w:r>
        <w:rPr>
          <w:rFonts w:hint="eastAsia" w:ascii="Times New Roman" w:hAnsi="Times New Roman" w:eastAsia="黑体" w:cs="黑体"/>
          <w:b w:val="0"/>
          <w:bCs w:val="0"/>
          <w:sz w:val="32"/>
          <w:szCs w:val="32"/>
          <w:lang w:val="en-US" w:eastAsia="zh-CN"/>
        </w:rPr>
        <w:t>第一条</w:t>
      </w:r>
      <w:r>
        <w:rPr>
          <w:rFonts w:hint="eastAsia" w:ascii="Times New Roman" w:hAnsi="Times New Roman" w:eastAsia="仿宋_GB2312" w:cs="仿宋_GB2312"/>
          <w:sz w:val="32"/>
          <w:szCs w:val="32"/>
          <w:lang w:val="en-US" w:eastAsia="zh-CN"/>
        </w:rPr>
        <w:t xml:space="preserve"> 为进一步学习运用“浦江经验”，压实领导干部信访工作责任，强化信访源头治理，优化涉警信访生态，根据《信访工作条例》《公安机关信访工作规定》《全省公安机关信访工作责任制落实规定》《全省公安机关深入运用践行“浦江经验”和“枫桥经验”进一步加强公安信访工作的若干意见》等规定，制定本办法。</w:t>
      </w:r>
    </w:p>
    <w:p>
      <w:pPr>
        <w:keepNext w:val="0"/>
        <w:keepLines w:val="0"/>
        <w:pageBreakBefore w:val="0"/>
        <w:shd w:val="clear"/>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eastAsia" w:ascii="Times New Roman" w:hAnsi="Times New Roman" w:eastAsia="仿宋_GB2312" w:cs="仿宋_GB2312"/>
          <w:sz w:val="32"/>
          <w:szCs w:val="32"/>
          <w:lang w:val="en-US" w:eastAsia="zh-CN"/>
        </w:rPr>
      </w:pPr>
      <w:r>
        <w:rPr>
          <w:rFonts w:hint="eastAsia" w:ascii="Times New Roman" w:hAnsi="Times New Roman" w:eastAsia="黑体" w:cs="黑体"/>
          <w:b w:val="0"/>
          <w:bCs w:val="0"/>
          <w:sz w:val="32"/>
          <w:szCs w:val="32"/>
          <w:lang w:val="en-US" w:eastAsia="zh-CN"/>
        </w:rPr>
        <w:t>第二条</w:t>
      </w:r>
      <w:r>
        <w:rPr>
          <w:rFonts w:hint="eastAsia" w:ascii="Times New Roman" w:hAnsi="Times New Roman" w:eastAsia="仿宋_GB2312" w:cs="仿宋_GB2312"/>
          <w:sz w:val="32"/>
          <w:szCs w:val="32"/>
          <w:lang w:val="en-US" w:eastAsia="zh-CN"/>
        </w:rPr>
        <w:t xml:space="preserve"> 信访工作责任审计坚持客观公正、实事求是原则，贯彻“现官不留坏账、新官要理旧账”“管业务必须管信访”工作要求，落实基层单位主要负责人“主官办信访”责任，推动信访矛盾及时、就地、有效解决。</w:t>
      </w:r>
    </w:p>
    <w:p>
      <w:pPr>
        <w:keepNext w:val="0"/>
        <w:keepLines w:val="0"/>
        <w:pageBreakBefore w:val="0"/>
        <w:shd w:val="clear"/>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eastAsia" w:ascii="Times New Roman" w:hAnsi="Times New Roman" w:eastAsia="仿宋_GB2312" w:cs="仿宋_GB2312"/>
          <w:sz w:val="32"/>
          <w:szCs w:val="32"/>
          <w:lang w:val="en-US" w:eastAsia="zh-CN"/>
        </w:rPr>
      </w:pPr>
      <w:r>
        <w:rPr>
          <w:rFonts w:hint="eastAsia" w:ascii="Times New Roman" w:hAnsi="Times New Roman" w:eastAsia="黑体" w:cs="黑体"/>
          <w:b w:val="0"/>
          <w:bCs w:val="0"/>
          <w:sz w:val="32"/>
          <w:szCs w:val="32"/>
          <w:lang w:val="en-US" w:eastAsia="zh-CN"/>
        </w:rPr>
        <w:t xml:space="preserve">第三条 </w:t>
      </w:r>
      <w:r>
        <w:rPr>
          <w:rFonts w:hint="eastAsia" w:ascii="Times New Roman" w:hAnsi="Times New Roman" w:eastAsia="仿宋_GB2312" w:cs="仿宋_GB2312"/>
          <w:sz w:val="32"/>
          <w:szCs w:val="32"/>
          <w:lang w:val="en-US" w:eastAsia="zh-CN"/>
        </w:rPr>
        <w:t>信访工作责任审计包括年度审计和离任审计，年度审计一般在本年底或次年初开展，离任审计在基层单位主要负责人转任、免职、辞职等离开现职时开展。</w:t>
      </w:r>
    </w:p>
    <w:p>
      <w:pPr>
        <w:keepNext w:val="0"/>
        <w:keepLines w:val="0"/>
        <w:pageBreakBefore w:val="0"/>
        <w:shd w:val="clear"/>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eastAsia" w:ascii="Times New Roman" w:hAnsi="Times New Roman"/>
          <w:lang w:val="en-US" w:eastAsia="zh-CN"/>
        </w:rPr>
      </w:pPr>
      <w:r>
        <w:rPr>
          <w:rFonts w:hint="eastAsia" w:ascii="Times New Roman" w:hAnsi="Times New Roman" w:eastAsia="黑体" w:cs="黑体"/>
          <w:sz w:val="32"/>
          <w:szCs w:val="32"/>
          <w:lang w:val="en-US" w:eastAsia="zh-CN"/>
        </w:rPr>
        <w:t>第四条</w:t>
      </w:r>
      <w:r>
        <w:rPr>
          <w:rFonts w:hint="eastAsia" w:ascii="Times New Roman" w:hAnsi="Times New Roman" w:eastAsia="仿宋_GB2312" w:cs="仿宋_GB2312"/>
          <w:sz w:val="32"/>
          <w:szCs w:val="32"/>
          <w:lang w:val="en-US" w:eastAsia="zh-CN"/>
        </w:rPr>
        <w:t xml:space="preserve"> 信访工作责任审计的对象为县级公安机关派出所及各部门警种主要负责人（“一把手”），未发生到市级公安机关及以上机关、单位信访的基层单位主要负责人免于审计。</w:t>
      </w:r>
    </w:p>
    <w:p>
      <w:pPr>
        <w:keepNext w:val="0"/>
        <w:keepLines w:val="0"/>
        <w:pageBreakBefore w:val="0"/>
        <w:shd w:val="clear"/>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eastAsia" w:ascii="Times New Roman" w:hAnsi="Times New Roman" w:eastAsia="仿宋_GB2312" w:cs="仿宋_GB2312"/>
          <w:sz w:val="32"/>
          <w:szCs w:val="32"/>
          <w:lang w:val="en-US" w:eastAsia="zh-CN"/>
        </w:rPr>
      </w:pPr>
      <w:r>
        <w:rPr>
          <w:rFonts w:hint="eastAsia" w:ascii="Times New Roman" w:hAnsi="Times New Roman" w:eastAsia="黑体" w:cs="黑体"/>
          <w:b w:val="0"/>
          <w:bCs w:val="0"/>
          <w:sz w:val="32"/>
          <w:szCs w:val="32"/>
          <w:lang w:val="en-US" w:eastAsia="zh-CN"/>
        </w:rPr>
        <w:t>第五条</w:t>
      </w:r>
      <w:r>
        <w:rPr>
          <w:rFonts w:hint="eastAsia" w:ascii="Times New Roman" w:hAnsi="Times New Roman" w:eastAsia="仿宋_GB2312" w:cs="仿宋_GB2312"/>
          <w:sz w:val="32"/>
          <w:szCs w:val="32"/>
          <w:lang w:val="en-US" w:eastAsia="zh-CN"/>
        </w:rPr>
        <w:t xml:space="preserve"> 信访工作责任审计由县级公安机关信访工作领导小组负责组织实施，具体由领导小组办公室协调开展，纪检监察、政工、督察、法制、信访、审计等部门共同参与。</w:t>
      </w:r>
    </w:p>
    <w:p>
      <w:pPr>
        <w:keepNext w:val="0"/>
        <w:keepLines w:val="0"/>
        <w:pageBreakBefore w:val="0"/>
        <w:widowControl w:val="0"/>
        <w:shd w:val="clear"/>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eastAsia" w:ascii="Times New Roman" w:hAnsi="Times New Roman" w:eastAsia="仿宋_GB2312" w:cs="仿宋_GB2312"/>
          <w:sz w:val="32"/>
          <w:szCs w:val="32"/>
          <w:lang w:val="en-US" w:eastAsia="zh-CN"/>
        </w:rPr>
      </w:pPr>
      <w:r>
        <w:rPr>
          <w:rFonts w:hint="eastAsia" w:ascii="Times New Roman" w:hAnsi="Times New Roman" w:eastAsia="黑体" w:cs="黑体"/>
          <w:snapToGrid w:val="0"/>
          <w:kern w:val="32"/>
          <w:sz w:val="32"/>
          <w:szCs w:val="32"/>
          <w:lang w:val="en-US" w:eastAsia="zh-CN" w:bidi="ar-SA"/>
        </w:rPr>
        <w:t>第六条</w:t>
      </w:r>
      <w:r>
        <w:rPr>
          <w:rFonts w:hint="eastAsia" w:ascii="Times New Roman" w:hAnsi="Times New Roman" w:eastAsia="仿宋_GB2312" w:cs="仿宋_GB2312"/>
          <w:b/>
          <w:bCs/>
          <w:sz w:val="32"/>
          <w:szCs w:val="32"/>
          <w:lang w:val="en-US" w:eastAsia="zh-CN"/>
        </w:rPr>
        <w:t xml:space="preserve"> </w:t>
      </w:r>
      <w:r>
        <w:rPr>
          <w:rFonts w:hint="eastAsia" w:ascii="Times New Roman" w:hAnsi="Times New Roman" w:eastAsia="仿宋_GB2312" w:cs="仿宋_GB2312"/>
          <w:sz w:val="32"/>
          <w:szCs w:val="32"/>
          <w:lang w:val="en-US" w:eastAsia="zh-CN"/>
        </w:rPr>
        <w:t>信访工作责任审计主要包括以下：</w:t>
      </w:r>
    </w:p>
    <w:p>
      <w:pPr>
        <w:keepNext w:val="0"/>
        <w:keepLines w:val="0"/>
        <w:pageBreakBefore w:val="0"/>
        <w:widowControl w:val="0"/>
        <w:shd w:val="clear"/>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eastAsia" w:ascii="楷体_GB2312" w:hAnsi="楷体_GB2312" w:eastAsia="楷体_GB2312" w:cs="楷体_GB2312"/>
          <w:sz w:val="32"/>
          <w:szCs w:val="32"/>
          <w:lang w:val="en-US" w:eastAsia="zh-CN"/>
        </w:rPr>
      </w:pPr>
      <w:r>
        <w:rPr>
          <w:rFonts w:hint="eastAsia" w:ascii="楷体_GB2312" w:hAnsi="楷体_GB2312" w:eastAsia="楷体_GB2312" w:cs="楷体_GB2312"/>
          <w:b w:val="0"/>
          <w:bCs w:val="0"/>
          <w:sz w:val="32"/>
          <w:szCs w:val="32"/>
          <w:lang w:val="en-US" w:eastAsia="zh-CN"/>
        </w:rPr>
        <w:t>（一）</w:t>
      </w:r>
      <w:r>
        <w:rPr>
          <w:rFonts w:hint="eastAsia" w:ascii="楷体_GB2312" w:hAnsi="楷体_GB2312" w:eastAsia="楷体_GB2312" w:cs="楷体_GB2312"/>
          <w:sz w:val="32"/>
          <w:szCs w:val="32"/>
          <w:lang w:val="en-US" w:eastAsia="zh-CN"/>
        </w:rPr>
        <w:t>正面清单</w:t>
      </w:r>
    </w:p>
    <w:p>
      <w:pPr>
        <w:keepNext w:val="0"/>
        <w:keepLines w:val="0"/>
        <w:pageBreakBefore w:val="0"/>
        <w:shd w:val="clear"/>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eastAsia" w:ascii="Times New Roman" w:hAnsi="Times New Roman" w:eastAsia="仿宋_GB2312" w:cs="仿宋_GB2312"/>
          <w:sz w:val="32"/>
          <w:szCs w:val="32"/>
          <w:lang w:val="en-US" w:eastAsia="zh-CN"/>
        </w:rPr>
      </w:pPr>
      <w:r>
        <w:rPr>
          <w:rFonts w:hint="eastAsia" w:ascii="Times New Roman" w:hAnsi="Times New Roman" w:eastAsia="仿宋_GB2312" w:cs="仿宋_GB2312"/>
          <w:sz w:val="32"/>
          <w:szCs w:val="32"/>
          <w:lang w:val="en-US" w:eastAsia="zh-CN"/>
        </w:rPr>
        <w:t>1.派出所所长每周至少半天开展接访，倡导每周固定半天开门接访，县级公安机关各部门警种主要负责人每月至少接访下访1次，也可采取约访或上门走访等方式。信访形势良好、信访案件确实较少的，可适当减少接访频次。</w:t>
      </w:r>
    </w:p>
    <w:p>
      <w:pPr>
        <w:keepNext w:val="0"/>
        <w:keepLines w:val="0"/>
        <w:pageBreakBefore w:val="0"/>
        <w:shd w:val="clear"/>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eastAsia" w:ascii="Times New Roman" w:hAnsi="Times New Roman" w:eastAsia="仿宋_GB2312" w:cs="仿宋_GB2312"/>
          <w:sz w:val="32"/>
          <w:szCs w:val="32"/>
          <w:lang w:val="en-US" w:eastAsia="zh-CN"/>
        </w:rPr>
      </w:pPr>
      <w:r>
        <w:rPr>
          <w:rFonts w:hint="eastAsia" w:ascii="Times New Roman" w:hAnsi="Times New Roman" w:eastAsia="仿宋_GB2312" w:cs="仿宋_GB2312"/>
          <w:sz w:val="32"/>
          <w:szCs w:val="32"/>
          <w:lang w:val="en-US" w:eastAsia="zh-CN"/>
        </w:rPr>
        <w:t>2.办理初信初访。根据公安信访事项办理“一件事”改革的要求，依法规范办理初信初访，推动信访问题及时妥善化解。</w:t>
      </w:r>
    </w:p>
    <w:p>
      <w:pPr>
        <w:keepNext w:val="0"/>
        <w:keepLines w:val="0"/>
        <w:pageBreakBefore w:val="0"/>
        <w:shd w:val="clear"/>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eastAsia" w:ascii="Times New Roman" w:hAnsi="Times New Roman" w:eastAsia="仿宋_GB2312" w:cs="仿宋_GB2312"/>
          <w:sz w:val="32"/>
          <w:szCs w:val="32"/>
          <w:lang w:val="en-US" w:eastAsia="zh-CN"/>
        </w:rPr>
      </w:pPr>
      <w:r>
        <w:rPr>
          <w:rFonts w:hint="eastAsia" w:ascii="Times New Roman" w:hAnsi="Times New Roman" w:eastAsia="仿宋_GB2312" w:cs="仿宋_GB2312"/>
          <w:sz w:val="32"/>
          <w:szCs w:val="32"/>
          <w:lang w:val="en-US" w:eastAsia="zh-CN"/>
        </w:rPr>
        <w:t>3.化解信访积案。按照“三到位一处理”原则，充分运用“四解”工作法，包案化解信访积案，实现案结事了心解。</w:t>
      </w:r>
    </w:p>
    <w:p>
      <w:pPr>
        <w:keepNext w:val="0"/>
        <w:keepLines w:val="0"/>
        <w:pageBreakBefore w:val="0"/>
        <w:shd w:val="clear"/>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eastAsia" w:ascii="Times New Roman" w:hAnsi="Times New Roman" w:eastAsia="仿宋_GB2312" w:cs="仿宋_GB2312"/>
          <w:sz w:val="32"/>
          <w:szCs w:val="32"/>
          <w:lang w:val="en-US" w:eastAsia="zh-CN"/>
        </w:rPr>
      </w:pPr>
      <w:r>
        <w:rPr>
          <w:rFonts w:hint="eastAsia" w:ascii="Times New Roman" w:hAnsi="Times New Roman" w:eastAsia="仿宋_GB2312" w:cs="仿宋_GB2312"/>
          <w:sz w:val="32"/>
          <w:szCs w:val="32"/>
          <w:lang w:val="en-US" w:eastAsia="zh-CN"/>
        </w:rPr>
        <w:t>4.深化访源治理。常态开展矛盾纠纷排查化解，强化民意感知，指导建立健全村（社区）及民间矛盾纠纷调处机构，探索实行未诉先办、无诉自办机制，从源头上预防和减少信访问题的发生。</w:t>
      </w:r>
    </w:p>
    <w:p>
      <w:pPr>
        <w:keepNext w:val="0"/>
        <w:keepLines w:val="0"/>
        <w:pageBreakBefore w:val="0"/>
        <w:shd w:val="clear"/>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eastAsia" w:ascii="Times New Roman" w:hAnsi="Times New Roman" w:eastAsia="仿宋_GB2312" w:cs="仿宋_GB2312"/>
          <w:sz w:val="32"/>
          <w:szCs w:val="32"/>
          <w:lang w:val="en-US" w:eastAsia="zh-CN"/>
        </w:rPr>
      </w:pPr>
      <w:r>
        <w:rPr>
          <w:rFonts w:hint="eastAsia" w:ascii="Times New Roman" w:hAnsi="Times New Roman" w:eastAsia="仿宋_GB2312" w:cs="仿宋_GB2312"/>
          <w:sz w:val="32"/>
          <w:szCs w:val="32"/>
          <w:lang w:val="en-US" w:eastAsia="zh-CN"/>
        </w:rPr>
        <w:t>5.评查倒查责任。主动组织对每一起信访案件开展评查倒查，查清引发信访问题的执法或队伍问题，会同有关部门依法依纪依规作出处理，并举一反三，落实整改，完善制度，防止类似问题再次发生。</w:t>
      </w:r>
    </w:p>
    <w:p>
      <w:pPr>
        <w:keepNext w:val="0"/>
        <w:keepLines w:val="0"/>
        <w:pageBreakBefore w:val="0"/>
        <w:shd w:val="clear"/>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eastAsia" w:ascii="Times New Roman" w:hAnsi="Times New Roman" w:eastAsia="仿宋_GB2312" w:cs="仿宋_GB2312"/>
          <w:sz w:val="32"/>
          <w:szCs w:val="32"/>
          <w:lang w:val="en-US" w:eastAsia="zh-CN"/>
        </w:rPr>
      </w:pPr>
      <w:r>
        <w:rPr>
          <w:rFonts w:hint="eastAsia" w:ascii="Times New Roman" w:hAnsi="Times New Roman" w:eastAsia="仿宋_GB2312" w:cs="仿宋_GB2312"/>
          <w:sz w:val="32"/>
          <w:szCs w:val="32"/>
          <w:lang w:val="en-US" w:eastAsia="zh-CN"/>
        </w:rPr>
        <w:t>6.优化信访生态。定期分析本单位、本警种信访形势，研究采取针对性措施，遏制信访问题多发高发态势，推动信访总量特别是进京来省访逐年下降、信访生态持续优化。</w:t>
      </w:r>
    </w:p>
    <w:p>
      <w:pPr>
        <w:keepNext w:val="0"/>
        <w:keepLines w:val="0"/>
        <w:pageBreakBefore w:val="0"/>
        <w:shd w:val="clear"/>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eastAsia" w:ascii="Times New Roman" w:hAnsi="Times New Roman" w:eastAsia="仿宋_GB2312" w:cs="仿宋_GB2312"/>
          <w:sz w:val="32"/>
          <w:szCs w:val="32"/>
          <w:lang w:val="en-US" w:eastAsia="zh-CN"/>
        </w:rPr>
      </w:pPr>
      <w:r>
        <w:rPr>
          <w:rFonts w:hint="eastAsia" w:ascii="Times New Roman" w:hAnsi="Times New Roman" w:eastAsia="仿宋_GB2312" w:cs="仿宋_GB2312"/>
          <w:sz w:val="32"/>
          <w:szCs w:val="32"/>
          <w:lang w:val="en-US" w:eastAsia="zh-CN"/>
        </w:rPr>
        <w:t>7.管控信访风险。及时全面排查涉警信访风险隐患，会同有关部门全力疏导化解，认真做好重点时期管控工作，切实将重点人员吸附在当地，严防发生规模性集体访、涉访个人极端事件、涉访重大负面舆情等不良影响事件。</w:t>
      </w:r>
    </w:p>
    <w:p>
      <w:pPr>
        <w:keepNext w:val="0"/>
        <w:keepLines w:val="0"/>
        <w:pageBreakBefore w:val="0"/>
        <w:widowControl w:val="0"/>
        <w:shd w:val="clear"/>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eastAsia" w:ascii="楷体_GB2312" w:hAnsi="楷体_GB2312" w:eastAsia="楷体_GB2312" w:cs="楷体_GB2312"/>
          <w:sz w:val="32"/>
          <w:szCs w:val="32"/>
          <w:lang w:val="en-US" w:eastAsia="zh-CN"/>
        </w:rPr>
      </w:pPr>
      <w:r>
        <w:rPr>
          <w:rFonts w:hint="eastAsia" w:ascii="楷体_GB2312" w:hAnsi="楷体_GB2312" w:eastAsia="楷体_GB2312" w:cs="楷体_GB2312"/>
          <w:b w:val="0"/>
          <w:bCs w:val="0"/>
          <w:sz w:val="32"/>
          <w:szCs w:val="32"/>
          <w:lang w:val="en-US" w:eastAsia="zh-CN"/>
        </w:rPr>
        <w:t>（二）</w:t>
      </w:r>
      <w:r>
        <w:rPr>
          <w:rFonts w:hint="eastAsia" w:ascii="楷体_GB2312" w:hAnsi="楷体_GB2312" w:eastAsia="楷体_GB2312" w:cs="楷体_GB2312"/>
          <w:sz w:val="32"/>
          <w:szCs w:val="32"/>
          <w:lang w:val="en-US" w:eastAsia="zh-CN"/>
        </w:rPr>
        <w:t>负面清单</w:t>
      </w:r>
    </w:p>
    <w:p>
      <w:pPr>
        <w:keepNext w:val="0"/>
        <w:keepLines w:val="0"/>
        <w:pageBreakBefore w:val="0"/>
        <w:shd w:val="clear"/>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eastAsia" w:ascii="Times New Roman" w:hAnsi="Times New Roman" w:eastAsia="仿宋_GB2312" w:cs="仿宋_GB2312"/>
          <w:sz w:val="32"/>
          <w:szCs w:val="32"/>
          <w:lang w:val="en-US" w:eastAsia="zh-CN"/>
        </w:rPr>
      </w:pPr>
      <w:r>
        <w:rPr>
          <w:rFonts w:hint="eastAsia" w:ascii="Times New Roman" w:hAnsi="Times New Roman" w:eastAsia="仿宋_GB2312" w:cs="仿宋_GB2312"/>
          <w:sz w:val="32"/>
          <w:szCs w:val="32"/>
          <w:lang w:val="en-US" w:eastAsia="zh-CN"/>
        </w:rPr>
        <w:t>1.因决策失误、工作失职、执法过错，导致信访问题产生，严重损害群众利益的；</w:t>
      </w:r>
    </w:p>
    <w:p>
      <w:pPr>
        <w:keepNext w:val="0"/>
        <w:keepLines w:val="0"/>
        <w:pageBreakBefore w:val="0"/>
        <w:shd w:val="clear"/>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eastAsia" w:ascii="Times New Roman" w:hAnsi="Times New Roman" w:eastAsia="仿宋_GB2312" w:cs="仿宋_GB2312"/>
          <w:sz w:val="32"/>
          <w:szCs w:val="32"/>
          <w:lang w:val="en-US" w:eastAsia="zh-CN"/>
        </w:rPr>
      </w:pPr>
      <w:r>
        <w:rPr>
          <w:rFonts w:hint="eastAsia" w:ascii="Times New Roman" w:hAnsi="Times New Roman" w:eastAsia="仿宋_GB2312" w:cs="仿宋_GB2312"/>
          <w:sz w:val="32"/>
          <w:szCs w:val="32"/>
          <w:lang w:val="en-US" w:eastAsia="zh-CN"/>
        </w:rPr>
        <w:t>2.未按照规定办理信访事项，或者不执行信访事项处理意见，严重损害信访群众合法权益的；</w:t>
      </w:r>
    </w:p>
    <w:p>
      <w:pPr>
        <w:keepNext w:val="0"/>
        <w:keepLines w:val="0"/>
        <w:pageBreakBefore w:val="0"/>
        <w:shd w:val="clear"/>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eastAsia" w:ascii="Times New Roman" w:hAnsi="Times New Roman" w:eastAsia="仿宋_GB2312" w:cs="仿宋_GB2312"/>
          <w:sz w:val="32"/>
          <w:szCs w:val="32"/>
          <w:lang w:val="en-US" w:eastAsia="zh-CN"/>
        </w:rPr>
      </w:pPr>
      <w:r>
        <w:rPr>
          <w:rFonts w:hint="eastAsia" w:ascii="Times New Roman" w:hAnsi="Times New Roman" w:eastAsia="仿宋_GB2312" w:cs="仿宋_GB2312"/>
          <w:sz w:val="32"/>
          <w:szCs w:val="32"/>
          <w:lang w:val="en-US" w:eastAsia="zh-CN"/>
        </w:rPr>
        <w:t>3.违反群众纪律，对应当解决的群众合理合法诉求消极应付、推诿扯皮，或者对待信访群众态度恶劣、简单粗暴，严重损害党群警民关系的；</w:t>
      </w:r>
    </w:p>
    <w:p>
      <w:pPr>
        <w:keepNext w:val="0"/>
        <w:keepLines w:val="0"/>
        <w:pageBreakBefore w:val="0"/>
        <w:shd w:val="clear"/>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eastAsia" w:ascii="Times New Roman" w:hAnsi="Times New Roman" w:eastAsia="仿宋_GB2312" w:cs="仿宋_GB2312"/>
          <w:sz w:val="32"/>
          <w:szCs w:val="32"/>
          <w:lang w:val="en-US" w:eastAsia="zh-CN"/>
        </w:rPr>
      </w:pPr>
      <w:r>
        <w:rPr>
          <w:rFonts w:hint="eastAsia" w:ascii="Times New Roman" w:hAnsi="Times New Roman" w:eastAsia="仿宋_GB2312" w:cs="仿宋_GB2312"/>
          <w:sz w:val="32"/>
          <w:szCs w:val="32"/>
          <w:lang w:val="en-US" w:eastAsia="zh-CN"/>
        </w:rPr>
        <w:t>4.信访风险防范处置不重视、不到位，导致发生规模性集体访、涉访个人极端事件、涉访重大负面舆情的；</w:t>
      </w:r>
    </w:p>
    <w:p>
      <w:pPr>
        <w:keepNext w:val="0"/>
        <w:keepLines w:val="0"/>
        <w:pageBreakBefore w:val="0"/>
        <w:shd w:val="clear"/>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eastAsia" w:ascii="Times New Roman" w:hAnsi="Times New Roman" w:eastAsia="仿宋_GB2312" w:cs="仿宋_GB2312"/>
          <w:sz w:val="32"/>
          <w:szCs w:val="32"/>
          <w:lang w:val="en-US" w:eastAsia="zh-CN"/>
        </w:rPr>
      </w:pPr>
      <w:r>
        <w:rPr>
          <w:rFonts w:hint="eastAsia" w:ascii="Times New Roman" w:hAnsi="Times New Roman" w:eastAsia="仿宋_GB2312" w:cs="仿宋_GB2312"/>
          <w:sz w:val="32"/>
          <w:szCs w:val="32"/>
          <w:lang w:val="en-US" w:eastAsia="zh-CN"/>
        </w:rPr>
        <w:t>5.对信访机构提出的改进工作、完善政策和给予处分等建议重视不够、落实不力，导致重大信访问题长期得不到解决，严重影响信访形势或损害群众利益的；</w:t>
      </w:r>
    </w:p>
    <w:p>
      <w:pPr>
        <w:keepNext w:val="0"/>
        <w:keepLines w:val="0"/>
        <w:pageBreakBefore w:val="0"/>
        <w:shd w:val="clear"/>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eastAsia" w:ascii="Times New Roman" w:hAnsi="Times New Roman" w:eastAsia="仿宋_GB2312" w:cs="仿宋_GB2312"/>
          <w:sz w:val="32"/>
          <w:szCs w:val="32"/>
          <w:lang w:val="en-US" w:eastAsia="zh-CN"/>
        </w:rPr>
      </w:pPr>
      <w:r>
        <w:rPr>
          <w:rFonts w:hint="eastAsia" w:ascii="Times New Roman" w:hAnsi="Times New Roman" w:eastAsia="仿宋_GB2312" w:cs="仿宋_GB2312"/>
          <w:sz w:val="32"/>
          <w:szCs w:val="32"/>
          <w:lang w:val="en-US" w:eastAsia="zh-CN"/>
        </w:rPr>
        <w:t>6.其他违反信访工作纪律、造成严重后果的情形。</w:t>
      </w:r>
    </w:p>
    <w:p>
      <w:pPr>
        <w:pStyle w:val="3"/>
        <w:keepNext w:val="0"/>
        <w:keepLines w:val="0"/>
        <w:pageBreakBefore w:val="0"/>
        <w:shd w:val="clear"/>
        <w:kinsoku/>
        <w:wordWrap/>
        <w:overflowPunct/>
        <w:autoSpaceDE/>
        <w:autoSpaceDN/>
        <w:bidi w:val="0"/>
        <w:spacing w:after="0" w:line="600" w:lineRule="exact"/>
        <w:ind w:left="0" w:leftChars="0" w:right="0" w:rightChars="0" w:firstLine="640" w:firstLineChars="200"/>
        <w:textAlignment w:val="auto"/>
        <w:outlineLvl w:val="9"/>
        <w:rPr>
          <w:rFonts w:hint="eastAsia" w:ascii="Times New Roman" w:hAnsi="Times New Roman" w:eastAsia="仿宋_GB2312" w:cs="仿宋_GB2312"/>
          <w:sz w:val="32"/>
          <w:szCs w:val="32"/>
          <w:lang w:val="en-US" w:eastAsia="zh-CN"/>
        </w:rPr>
      </w:pPr>
      <w:r>
        <w:rPr>
          <w:rFonts w:hint="eastAsia" w:ascii="Times New Roman" w:hAnsi="Times New Roman" w:eastAsia="黑体" w:cs="黑体"/>
          <w:snapToGrid w:val="0"/>
          <w:kern w:val="32"/>
          <w:sz w:val="32"/>
          <w:szCs w:val="32"/>
          <w:lang w:val="en-US" w:eastAsia="zh-CN" w:bidi="ar-SA"/>
        </w:rPr>
        <w:t>第</w:t>
      </w:r>
      <w:r>
        <w:rPr>
          <w:rFonts w:hint="eastAsia" w:eastAsia="黑体" w:cs="黑体"/>
          <w:snapToGrid w:val="0"/>
          <w:kern w:val="32"/>
          <w:sz w:val="32"/>
          <w:szCs w:val="32"/>
          <w:lang w:val="en-US" w:eastAsia="zh-CN" w:bidi="ar-SA"/>
        </w:rPr>
        <w:t>七</w:t>
      </w:r>
      <w:r>
        <w:rPr>
          <w:rFonts w:hint="eastAsia" w:ascii="Times New Roman" w:hAnsi="Times New Roman" w:eastAsia="黑体" w:cs="黑体"/>
          <w:snapToGrid w:val="0"/>
          <w:kern w:val="32"/>
          <w:sz w:val="32"/>
          <w:szCs w:val="32"/>
          <w:lang w:val="en-US" w:eastAsia="zh-CN" w:bidi="ar-SA"/>
        </w:rPr>
        <w:t>条</w:t>
      </w:r>
      <w:r>
        <w:rPr>
          <w:rFonts w:hint="eastAsia" w:ascii="Times New Roman" w:hAnsi="Times New Roman" w:eastAsia="仿宋_GB2312" w:cs="仿宋_GB2312"/>
          <w:b/>
          <w:bCs/>
          <w:sz w:val="32"/>
          <w:szCs w:val="32"/>
          <w:lang w:val="en-US" w:eastAsia="zh-CN"/>
        </w:rPr>
        <w:t xml:space="preserve"> </w:t>
      </w:r>
      <w:r>
        <w:rPr>
          <w:rFonts w:hint="eastAsia" w:ascii="Times New Roman" w:hAnsi="Times New Roman" w:eastAsia="仿宋_GB2312" w:cs="仿宋_GB2312"/>
          <w:sz w:val="32"/>
          <w:szCs w:val="32"/>
          <w:lang w:val="en-US" w:eastAsia="zh-CN"/>
        </w:rPr>
        <w:t>信访工作责任年度审计</w:t>
      </w:r>
      <w:r>
        <w:rPr>
          <w:rFonts w:hint="eastAsia" w:eastAsia="仿宋_GB2312" w:cs="仿宋_GB2312"/>
          <w:sz w:val="32"/>
          <w:szCs w:val="32"/>
          <w:lang w:val="en-US" w:eastAsia="zh-CN"/>
        </w:rPr>
        <w:t>报告</w:t>
      </w:r>
      <w:r>
        <w:rPr>
          <w:rFonts w:hint="eastAsia" w:ascii="Times New Roman" w:hAnsi="Times New Roman" w:eastAsia="仿宋_GB2312" w:cs="仿宋_GB2312"/>
          <w:sz w:val="32"/>
          <w:szCs w:val="32"/>
          <w:lang w:val="en-US" w:eastAsia="zh-CN"/>
        </w:rPr>
        <w:t>报县级公安机关党委，并送政治处备案，作为干部评先评优和提拔任用的重要依据。</w:t>
      </w:r>
    </w:p>
    <w:p>
      <w:pPr>
        <w:keepNext w:val="0"/>
        <w:keepLines w:val="0"/>
        <w:pageBreakBefore w:val="0"/>
        <w:shd w:val="clear"/>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eastAsia" w:ascii="Times New Roman" w:hAnsi="Times New Roman" w:eastAsia="仿宋_GB2312" w:cs="仿宋_GB2312"/>
          <w:sz w:val="32"/>
          <w:szCs w:val="32"/>
          <w:lang w:val="en-US" w:eastAsia="zh-CN"/>
        </w:rPr>
      </w:pPr>
      <w:r>
        <w:rPr>
          <w:rFonts w:hint="eastAsia" w:ascii="Times New Roman" w:hAnsi="Times New Roman" w:eastAsia="黑体" w:cs="黑体"/>
          <w:snapToGrid w:val="0"/>
          <w:kern w:val="32"/>
          <w:sz w:val="32"/>
          <w:szCs w:val="32"/>
          <w:lang w:val="en-US" w:eastAsia="zh-CN" w:bidi="ar-SA"/>
        </w:rPr>
        <w:t>第八条</w:t>
      </w:r>
      <w:r>
        <w:rPr>
          <w:rFonts w:hint="eastAsia" w:ascii="Times New Roman" w:hAnsi="Times New Roman" w:eastAsia="仿宋_GB2312" w:cs="仿宋_GB2312"/>
          <w:sz w:val="32"/>
          <w:szCs w:val="32"/>
          <w:lang w:val="en-US" w:eastAsia="zh-CN"/>
        </w:rPr>
        <w:t xml:space="preserve"> 人事调整期间，信访工作领导小组办公室应结合“凡提四必”要求，对有关基层单位主要负责人开展离任审计，审计报告纳入个人考察情况。审计发现问题应当严肃指出，责令作出检查并限期整改。存在负面清单所列情形的，应当严格问责。</w:t>
      </w:r>
    </w:p>
    <w:p>
      <w:pPr>
        <w:keepNext w:val="0"/>
        <w:keepLines w:val="0"/>
        <w:pageBreakBefore w:val="0"/>
        <w:shd w:val="clear"/>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eastAsia" w:ascii="Times New Roman" w:hAnsi="Times New Roman"/>
          <w:lang w:val="en-US" w:eastAsia="zh-CN"/>
        </w:rPr>
      </w:pPr>
      <w:r>
        <w:rPr>
          <w:rFonts w:hint="eastAsia" w:ascii="Times New Roman" w:hAnsi="Times New Roman" w:eastAsia="黑体" w:cs="黑体"/>
          <w:snapToGrid w:val="0"/>
          <w:kern w:val="32"/>
          <w:sz w:val="32"/>
          <w:szCs w:val="32"/>
          <w:lang w:val="en-US" w:eastAsia="zh-CN" w:bidi="ar-SA"/>
        </w:rPr>
        <w:t>第九条</w:t>
      </w:r>
      <w:r>
        <w:rPr>
          <w:rFonts w:hint="eastAsia" w:ascii="Times New Roman" w:hAnsi="Times New Roman" w:eastAsia="仿宋_GB2312" w:cs="仿宋_GB2312"/>
          <w:sz w:val="32"/>
          <w:szCs w:val="32"/>
          <w:lang w:val="en-US" w:eastAsia="zh-CN"/>
        </w:rPr>
        <w:t xml:space="preserve"> 离任干部应当梳理基层单位所有未化解信访事项、当前存在的信访风险隐患，分析信访事项和风险未化解的原因、存在的困难，说明已开展的工作和下步措施，制作交接清单，由离任和接任干部、基层单位相关负责人、信访工作领导小组办公室负责人签字确认后，交给接任干部，作为划分离任干部和接任干部信访工作责任界限的重要依据。</w:t>
      </w:r>
    </w:p>
    <w:p>
      <w:pPr>
        <w:keepNext w:val="0"/>
        <w:keepLines w:val="0"/>
        <w:pageBreakBefore w:val="0"/>
        <w:shd w:val="clear"/>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eastAsia" w:ascii="Times New Roman" w:hAnsi="Times New Roman" w:eastAsia="方正小标宋简体" w:cs="方正小标宋简体"/>
          <w:sz w:val="44"/>
          <w:szCs w:val="44"/>
          <w:lang w:val="en-US" w:eastAsia="zh-CN"/>
        </w:rPr>
      </w:pPr>
      <w:r>
        <w:rPr>
          <w:rFonts w:hint="eastAsia" w:ascii="Times New Roman" w:hAnsi="Times New Roman" w:eastAsia="黑体" w:cs="黑体"/>
          <w:snapToGrid w:val="0"/>
          <w:kern w:val="32"/>
          <w:sz w:val="32"/>
          <w:szCs w:val="32"/>
          <w:lang w:val="en-US" w:eastAsia="zh-CN" w:bidi="ar-SA"/>
        </w:rPr>
        <w:t>第十条</w:t>
      </w:r>
      <w:r>
        <w:rPr>
          <w:rFonts w:hint="eastAsia" w:ascii="Times New Roman" w:hAnsi="Times New Roman" w:eastAsia="仿宋_GB2312" w:cs="仿宋_GB2312"/>
          <w:sz w:val="32"/>
          <w:szCs w:val="32"/>
          <w:lang w:val="en-US" w:eastAsia="zh-CN"/>
        </w:rPr>
        <w:t xml:space="preserve"> 本办法由浙江省公安厅信访工作领导小组负责解释，自印发之日起</w:t>
      </w:r>
      <w:r>
        <w:rPr>
          <w:rFonts w:hint="eastAsia" w:ascii="Times New Roman" w:hAnsi="Times New Roman" w:eastAsia="仿宋_GB2312" w:cs="仿宋_GB2312"/>
          <w:sz w:val="32"/>
          <w:szCs w:val="32"/>
        </w:rPr>
        <w:t>施行。</w:t>
      </w:r>
    </w:p>
    <w:p>
      <w:pPr>
        <w:pStyle w:val="3"/>
        <w:rPr>
          <w:rFonts w:hint="eastAsia"/>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0" w:beforeAutospacing="0" w:after="0" w:afterAutospacing="0" w:line="600" w:lineRule="exact"/>
        <w:ind w:left="0" w:right="0" w:firstLine="640"/>
        <w:jc w:val="left"/>
        <w:textAlignment w:val="auto"/>
      </w:pPr>
    </w:p>
    <w:sectPr>
      <w:footerReference r:id="rId3" w:type="default"/>
      <w:pgSz w:w="11906" w:h="16838"/>
      <w:pgMar w:top="2041" w:right="1531" w:bottom="2041" w:left="1531"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 w:name="仿宋_GB2312">
    <w:panose1 w:val="02010609030101010101"/>
    <w:charset w:val="86"/>
    <w:family w:val="auto"/>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 w:name="方正隶书_GBK">
    <w:altName w:val="宋体"/>
    <w:panose1 w:val="03000509000000000000"/>
    <w:charset w:val="86"/>
    <w:family w:val="script"/>
    <w:pitch w:val="default"/>
    <w:sig w:usb0="00000000" w:usb1="00000000" w:usb2="00000000" w:usb3="00000000" w:csb0="00040000" w:csb1="00000000"/>
  </w:font>
  <w:font w:name="华文行楷">
    <w:panose1 w:val="02010800040101010101"/>
    <w:charset w:val="86"/>
    <w:family w:val="auto"/>
    <w:pitch w:val="default"/>
    <w:sig w:usb0="00000001" w:usb1="080F0000" w:usb2="00000000" w:usb3="00000000" w:csb0="00040000" w:csb1="00000000"/>
  </w:font>
  <w:font w:name="Calibri Light">
    <w:panose1 w:val="020F0302020204030204"/>
    <w:charset w:val="00"/>
    <w:family w:val="auto"/>
    <w:pitch w:val="default"/>
    <w:sig w:usb0="A00002EF" w:usb1="4000207B" w:usb2="00000000" w:usb3="00000000" w:csb0="2000019F" w:csb1="00000000"/>
  </w:font>
  <w:font w:name="华文楷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snapToGrid w:val="0"/>
                            <w:rPr>
                              <w:rFonts w:hint="default" w:ascii="Times New Roman" w:hAnsi="Times New Roman" w:eastAsia="宋体" w:cs="Times New Roman"/>
                              <w:sz w:val="28"/>
                              <w:szCs w:val="44"/>
                              <w:lang w:eastAsia="zh-CN"/>
                            </w:rPr>
                          </w:pPr>
                          <w:r>
                            <w:rPr>
                              <w:rFonts w:hint="default" w:ascii="Times New Roman" w:hAnsi="Times New Roman" w:cs="Times New Roman"/>
                              <w:sz w:val="28"/>
                              <w:szCs w:val="44"/>
                              <w:lang w:eastAsia="zh-CN"/>
                            </w:rPr>
                            <w:t>—</w:t>
                          </w:r>
                          <w:r>
                            <w:rPr>
                              <w:rFonts w:hint="default" w:ascii="Times New Roman" w:hAnsi="Times New Roman" w:cs="Times New Roman"/>
                              <w:sz w:val="28"/>
                              <w:szCs w:val="44"/>
                              <w:lang w:val="en-US" w:eastAsia="zh-CN"/>
                            </w:rPr>
                            <w:t xml:space="preserve"> </w:t>
                          </w:r>
                          <w:r>
                            <w:rPr>
                              <w:rFonts w:hint="default" w:ascii="Times New Roman" w:hAnsi="Times New Roman" w:cs="Times New Roman"/>
                              <w:sz w:val="28"/>
                              <w:szCs w:val="44"/>
                              <w:lang w:eastAsia="zh-CN"/>
                            </w:rPr>
                            <w:fldChar w:fldCharType="begin"/>
                          </w:r>
                          <w:r>
                            <w:rPr>
                              <w:rFonts w:hint="default" w:ascii="Times New Roman" w:hAnsi="Times New Roman" w:cs="Times New Roman"/>
                              <w:sz w:val="28"/>
                              <w:szCs w:val="44"/>
                              <w:lang w:eastAsia="zh-CN"/>
                            </w:rPr>
                            <w:instrText xml:space="preserve"> PAGE  \* MERGEFORMAT </w:instrText>
                          </w:r>
                          <w:r>
                            <w:rPr>
                              <w:rFonts w:hint="default" w:ascii="Times New Roman" w:hAnsi="Times New Roman" w:cs="Times New Roman"/>
                              <w:sz w:val="28"/>
                              <w:szCs w:val="44"/>
                              <w:lang w:eastAsia="zh-CN"/>
                            </w:rPr>
                            <w:fldChar w:fldCharType="separate"/>
                          </w:r>
                          <w:r>
                            <w:rPr>
                              <w:rFonts w:hint="default" w:ascii="Times New Roman" w:hAnsi="Times New Roman" w:cs="Times New Roman"/>
                              <w:sz w:val="28"/>
                              <w:szCs w:val="44"/>
                              <w:lang w:eastAsia="zh-CN"/>
                            </w:rPr>
                            <w:t>1</w:t>
                          </w:r>
                          <w:r>
                            <w:rPr>
                              <w:rFonts w:hint="default" w:ascii="Times New Roman" w:hAnsi="Times New Roman" w:cs="Times New Roman"/>
                              <w:sz w:val="28"/>
                              <w:szCs w:val="44"/>
                              <w:lang w:eastAsia="zh-CN"/>
                            </w:rPr>
                            <w:fldChar w:fldCharType="end"/>
                          </w:r>
                          <w:r>
                            <w:rPr>
                              <w:rFonts w:hint="default" w:ascii="Times New Roman" w:hAnsi="Times New Roman" w:cs="Times New Roman"/>
                              <w:sz w:val="28"/>
                              <w:szCs w:val="44"/>
                              <w:lang w:val="en-US" w:eastAsia="zh-CN"/>
                            </w:rPr>
                            <w:t xml:space="preserve"> </w:t>
                          </w:r>
                          <w:r>
                            <w:rPr>
                              <w:rFonts w:hint="default" w:ascii="Times New Roman" w:hAnsi="Times New Roman" w:cs="Times New Roman"/>
                              <w:sz w:val="28"/>
                              <w:szCs w:val="44"/>
                              <w:lang w:eastAsia="zh-CN"/>
                            </w:rPr>
                            <w:t>—</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CzSVju0AAAAAUBAAAPAAAAAAAAAAEA&#10;IAAAACIAAABkcnMvZG93bnJldi54bWxQSwECFAAUAAAACACHTuJA5LOmo8ICAADWBQAADgAAAAAA&#10;AAABACAAAAAfAQAAZHJzL2Uyb0RvYy54bWxQSwUGAAAAAAYABgBZAQAAUwYAAAAA&#10;">
              <v:fill on="f" focussize="0,0"/>
              <v:stroke on="f" weight="0.5pt"/>
              <v:imagedata o:title=""/>
              <o:lock v:ext="edit" aspectratio="f"/>
              <v:textbox inset="0mm,0mm,0mm,0mm" style="mso-fit-shape-to-text:t;">
                <w:txbxContent>
                  <w:p>
                    <w:pPr>
                      <w:snapToGrid w:val="0"/>
                      <w:rPr>
                        <w:rFonts w:hint="default" w:ascii="Times New Roman" w:hAnsi="Times New Roman" w:eastAsia="宋体" w:cs="Times New Roman"/>
                        <w:sz w:val="28"/>
                        <w:szCs w:val="44"/>
                        <w:lang w:eastAsia="zh-CN"/>
                      </w:rPr>
                    </w:pPr>
                    <w:r>
                      <w:rPr>
                        <w:rFonts w:hint="default" w:ascii="Times New Roman" w:hAnsi="Times New Roman" w:cs="Times New Roman"/>
                        <w:sz w:val="28"/>
                        <w:szCs w:val="44"/>
                        <w:lang w:eastAsia="zh-CN"/>
                      </w:rPr>
                      <w:t>—</w:t>
                    </w:r>
                    <w:r>
                      <w:rPr>
                        <w:rFonts w:hint="default" w:ascii="Times New Roman" w:hAnsi="Times New Roman" w:cs="Times New Roman"/>
                        <w:sz w:val="28"/>
                        <w:szCs w:val="44"/>
                        <w:lang w:val="en-US" w:eastAsia="zh-CN"/>
                      </w:rPr>
                      <w:t xml:space="preserve"> </w:t>
                    </w:r>
                    <w:r>
                      <w:rPr>
                        <w:rFonts w:hint="default" w:ascii="Times New Roman" w:hAnsi="Times New Roman" w:cs="Times New Roman"/>
                        <w:sz w:val="28"/>
                        <w:szCs w:val="44"/>
                        <w:lang w:eastAsia="zh-CN"/>
                      </w:rPr>
                      <w:fldChar w:fldCharType="begin"/>
                    </w:r>
                    <w:r>
                      <w:rPr>
                        <w:rFonts w:hint="default" w:ascii="Times New Roman" w:hAnsi="Times New Roman" w:cs="Times New Roman"/>
                        <w:sz w:val="28"/>
                        <w:szCs w:val="44"/>
                        <w:lang w:eastAsia="zh-CN"/>
                      </w:rPr>
                      <w:instrText xml:space="preserve"> PAGE  \* MERGEFORMAT </w:instrText>
                    </w:r>
                    <w:r>
                      <w:rPr>
                        <w:rFonts w:hint="default" w:ascii="Times New Roman" w:hAnsi="Times New Roman" w:cs="Times New Roman"/>
                        <w:sz w:val="28"/>
                        <w:szCs w:val="44"/>
                        <w:lang w:eastAsia="zh-CN"/>
                      </w:rPr>
                      <w:fldChar w:fldCharType="separate"/>
                    </w:r>
                    <w:r>
                      <w:rPr>
                        <w:rFonts w:hint="default" w:ascii="Times New Roman" w:hAnsi="Times New Roman" w:cs="Times New Roman"/>
                        <w:sz w:val="28"/>
                        <w:szCs w:val="44"/>
                        <w:lang w:eastAsia="zh-CN"/>
                      </w:rPr>
                      <w:t>1</w:t>
                    </w:r>
                    <w:r>
                      <w:rPr>
                        <w:rFonts w:hint="default" w:ascii="Times New Roman" w:hAnsi="Times New Roman" w:cs="Times New Roman"/>
                        <w:sz w:val="28"/>
                        <w:szCs w:val="44"/>
                        <w:lang w:eastAsia="zh-CN"/>
                      </w:rPr>
                      <w:fldChar w:fldCharType="end"/>
                    </w:r>
                    <w:r>
                      <w:rPr>
                        <w:rFonts w:hint="default" w:ascii="Times New Roman" w:hAnsi="Times New Roman" w:cs="Times New Roman"/>
                        <w:sz w:val="28"/>
                        <w:szCs w:val="44"/>
                        <w:lang w:val="en-US" w:eastAsia="zh-CN"/>
                      </w:rPr>
                      <w:t xml:space="preserve"> </w:t>
                    </w:r>
                    <w:r>
                      <w:rPr>
                        <w:rFonts w:hint="default" w:ascii="Times New Roman" w:hAnsi="Times New Roman" w:cs="Times New Roman"/>
                        <w:sz w:val="28"/>
                        <w:szCs w:val="44"/>
                        <w:lang w:eastAsia="zh-CN"/>
                      </w:rPr>
                      <w:t>—</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4F239C"/>
    <w:rsid w:val="273664DA"/>
    <w:rsid w:val="3145529E"/>
    <w:rsid w:val="40E27013"/>
    <w:rsid w:val="674F239C"/>
    <w:rsid w:val="6E5832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4"/>
      <w:lang w:val="en-US" w:eastAsia="zh-CN" w:bidi="ar-SA"/>
    </w:rPr>
  </w:style>
  <w:style w:type="paragraph" w:styleId="4">
    <w:name w:val="heading 1"/>
    <w:basedOn w:val="1"/>
    <w:next w:val="1"/>
    <w:qFormat/>
    <w:uiPriority w:val="0"/>
    <w:pPr>
      <w:keepNext/>
      <w:keepLines/>
      <w:spacing w:beforeLines="0" w:beforeAutospacing="0" w:afterLines="0" w:afterAutospacing="0" w:line="600" w:lineRule="exact"/>
      <w:jc w:val="center"/>
      <w:outlineLvl w:val="0"/>
    </w:pPr>
    <w:rPr>
      <w:rFonts w:eastAsia="方正小标宋简体"/>
      <w:kern w:val="44"/>
      <w:sz w:val="44"/>
    </w:rPr>
  </w:style>
  <w:style w:type="character" w:default="1" w:styleId="8">
    <w:name w:val="Default Paragraph Font"/>
    <w:semiHidden/>
    <w:uiPriority w:val="0"/>
  </w:style>
  <w:style w:type="table" w:default="1" w:styleId="9">
    <w:name w:val="Normal Table"/>
    <w:semiHidden/>
    <w:uiPriority w:val="0"/>
    <w:tblPr>
      <w:tblLayout w:type="fixed"/>
      <w:tblCellMar>
        <w:top w:w="0" w:type="dxa"/>
        <w:left w:w="108" w:type="dxa"/>
        <w:bottom w:w="0" w:type="dxa"/>
        <w:right w:w="108" w:type="dxa"/>
      </w:tblCellMar>
    </w:tblPr>
  </w:style>
  <w:style w:type="paragraph" w:styleId="2">
    <w:name w:val="Body Text"/>
    <w:basedOn w:val="1"/>
    <w:next w:val="3"/>
    <w:uiPriority w:val="0"/>
    <w:pPr>
      <w:spacing w:after="120"/>
    </w:pPr>
  </w:style>
  <w:style w:type="paragraph" w:styleId="3">
    <w:name w:val="Body Text First Indent"/>
    <w:basedOn w:val="2"/>
    <w:next w:val="1"/>
    <w:uiPriority w:val="0"/>
    <w:pPr>
      <w:ind w:firstLine="420" w:firstLineChars="100"/>
    </w:p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浙江省公安厅</Company>
  <Pages>1</Pages>
  <Words>0</Words>
  <Characters>0</Characters>
  <Lines>0</Lines>
  <Paragraphs>0</Paragraphs>
  <ScaleCrop>false</ScaleCrop>
  <LinksUpToDate>false</LinksUpToDate>
  <CharactersWithSpaces>0</CharactersWithSpaces>
  <Application>WPS Office_10.8.0.6157_F1E327BC-269C-435d-A152-05C5408002CA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2025-02-17T07:37:00Z</dcterms:created>
  <dc:creator>c</dc:creator>
  <cp:lastModifiedBy>c</cp:lastModifiedBy>
  <dcterms:modified xsi:type="dcterms:W3CDTF">2025-02-17T07:43:25Z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2052-10.8.0.6157</vt:lpwstr>
  </property>
</Properties>
</file>