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G4L AI Governance Framework</w:t>
      </w:r>
    </w:p>
    <w:p>
      <w:pPr>
        <w:spacing w:after="120"/>
      </w:pPr>
      <w:r>
        <w:rPr>
          <w:i/>
          <w:iCs/>
        </w:rPr>
        <w:t xml:space="preserve">How Grinta for Life deploys artificial intelligence responsibly in service of member wellbeing.</w:t>
      </w:r>
    </w:p>
    <w:p>
      <w:pPr>
        <w:spacing w:after="40"/>
      </w:pPr>
      <w:r>
        <w:t xml:space="preserve">Version: 2.0</w:t>
      </w:r>
    </w:p>
    <w:p>
      <w:pPr>
        <w:spacing w:after="40"/>
      </w:pPr>
      <w:r>
        <w:t xml:space="preserve">Adopted: May 2026</w:t>
      </w:r>
    </w:p>
    <w:p>
      <w:pPr>
        <w:spacing w:after="40"/>
      </w:pPr>
      <w:r>
        <w:t xml:space="preserve">Owner: Jay Crain, Founder</w:t>
      </w:r>
    </w:p>
    <w:p>
      <w:pPr>
        <w:spacing w:after="40"/>
      </w:pPr>
      <w:r>
        <w:t xml:space="preserve">Publication: grintaforlife.com (public, no email gate)</w:t>
      </w:r>
    </w:p>
    <w:p>
      <w:pPr>
        <w:spacing w:after="200"/>
      </w:pPr>
      <w:r>
        <w:t xml:space="preserve">Next review: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EF7" w:color="auto" w:val="clear"/>
            <w:tcMar>
              <w:top w:type="dxa" w:w="120"/>
              <w:left w:type="dxa" w:w="160"/>
              <w:bottom w:type="dxa" w:w="120"/>
              <w:right w:type="dxa" w:w="160"/>
            </w:tcMar>
          </w:tcPr>
          <w:p>
            <w:pPr>
              <w:spacing w:after="60"/>
            </w:pPr>
            <w:r>
              <w:rPr>
                <w:b/>
                <w:bCs/>
                <w:color w:val="1F3864"/>
              </w:rPr>
              <w:t xml:space="preserve">Why this document is public — </w:t>
            </w:r>
            <w:r>
              <w:t xml:space="preserve">G4L members trust us with their most honest stories. We hold ourselves to a different standard than the wellness industry's default — not because regulation requires it, but because the people we serve deserve transparency about how AI shapes their experience. This framework is available to any member, partner, foundation, or regulator who asks to see it — and is published on grintaforlife.com as a downloadable PDF without an email gate.</w:t>
            </w:r>
          </w:p>
        </w:tc>
      </w:tr>
    </w:tbl>
    <w:p>
      <w:pPr>
        <w:spacing w:after="120"/>
      </w:pPr>
      <w:r>
        <w:t xml:space="preserve"/>
      </w:r>
    </w:p>
    <w:p>
      <w:pPr>
        <w:pStyle w:val="Heading2"/>
        <w:spacing w:after="120" w:before="240"/>
      </w:pPr>
      <w:r>
        <w:rPr>
          <w:b/>
          <w:bCs/>
          <w:color w:val="1F3864"/>
          <w:sz w:val="26"/>
          <w:szCs w:val="26"/>
        </w:rPr>
        <w:t xml:space="preserve">Our Commitment</w:t>
      </w:r>
    </w:p>
    <w:p>
      <w:pPr>
        <w:spacing w:after="120"/>
      </w:pPr>
      <w:r>
        <w:t xml:space="preserve">G4L uses artificial intelligence to make human connection more meaningful — not to replace it. Every design decision in our AI architecture is evaluated against a single test: does this make a member feel more seen, more supported, and more connected to other humans? If the answer is no, we don't build it.</w:t>
      </w:r>
    </w:p>
    <w:p>
      <w:pPr>
        <w:spacing w:after="120"/>
      </w:pPr>
      <w:r>
        <w:t xml:space="preserve">This framework documents how G4L deploys AI, what guardrails govern its behavior, how we protect the people who trust us with their most honest stories, and how those commitments hold across every tenant — public and corporate — of the G4L multi-tenant platform.</w:t>
      </w:r>
    </w:p>
    <w:p>
      <w:pPr>
        <w:pStyle w:val="Heading2"/>
        <w:spacing w:after="120" w:before="240"/>
      </w:pPr>
      <w:r>
        <w:rPr>
          <w:b/>
          <w:bCs/>
          <w:color w:val="1F3864"/>
          <w:sz w:val="26"/>
          <w:szCs w:val="26"/>
        </w:rPr>
        <w:t xml:space="preserve">What Our AI Does</w:t>
      </w:r>
    </w:p>
    <w:p>
      <w:pPr>
        <w:spacing w:after="120"/>
      </w:pPr>
      <w:r>
        <w:t xml:space="preserve">G4L deploys two distinct AI agents, both built on the Anthropic API. The Member Agent is the member-facing companion. The Founder Agent drafts Jay's correspondence for Jay to review and send. Both operate under the same governance framework. Members never interact with the Founder Agent directly; they receive correspondence from Jay, sent through standard email and SMS channels after Jay's personal review.</w:t>
      </w:r>
    </w:p>
    <w:p>
      <w:pPr>
        <w:pStyle w:val="Heading3"/>
        <w:spacing w:after="100" w:before="200"/>
      </w:pPr>
      <w:r>
        <w:rPr>
          <w:b/>
          <w:bCs/>
          <w:color w:val="1F3864"/>
          <w:sz w:val="22"/>
          <w:szCs w:val="22"/>
        </w:rPr>
        <w:t xml:space="preserve">The Member Agent listens at the beginning</w:t>
      </w:r>
    </w:p>
    <w:p>
      <w:pPr>
        <w:spacing w:after="120"/>
      </w:pPr>
      <w:r>
        <w:t xml:space="preserve">The Member Agent conducts a structured onboarding conversation with new members, capturing their athletic history, identity gap, and motivation for joining. It synthesizes this into a member identity paragraph that becomes the centerpiece of their dashboard.</w:t>
      </w:r>
    </w:p>
    <w:p>
      <w:pPr>
        <w:pStyle w:val="Heading3"/>
        <w:spacing w:after="100" w:before="200"/>
      </w:pPr>
      <w:r>
        <w:rPr>
          <w:b/>
          <w:bCs/>
          <w:color w:val="1F3864"/>
          <w:sz w:val="22"/>
          <w:szCs w:val="22"/>
        </w:rPr>
        <w:t xml:space="preserve">The Member Agent measures over time</w:t>
      </w:r>
    </w:p>
    <w:p>
      <w:pPr>
        <w:spacing w:after="120"/>
      </w:pPr>
      <w:r>
        <w:t xml:space="preserve">The Member Agent administers the Identity Distance Questionnaire (IDQ) every 60 days, calculates the member's ID Score across the four IDQ dimensions (Physical, Self, Social, Outlook), and tracks score movement as the primary impact metric for both the member and the research program.</w:t>
      </w:r>
    </w:p>
    <w:p>
      <w:pPr>
        <w:pStyle w:val="Heading3"/>
        <w:spacing w:after="100" w:before="200"/>
      </w:pPr>
      <w:r>
        <w:rPr>
          <w:b/>
          <w:bCs/>
          <w:color w:val="1F3864"/>
          <w:sz w:val="22"/>
          <w:szCs w:val="22"/>
        </w:rPr>
        <w:t xml:space="preserve">The Member Agent guides between human moments</w:t>
      </w:r>
    </w:p>
    <w:p>
      <w:pPr>
        <w:spacing w:after="120"/>
      </w:pPr>
      <w:r>
        <w:t xml:space="preserve">Between onboarding and IDQ retakes, the Member Agent is available for check-in conversations and shorter Pulse Checks. It draws on each member's full longitudinal history to make interactions feel continuous and personal. Its primary function in these moments is to listen, reflect, and route members toward the human community at the right time.</w:t>
      </w:r>
    </w:p>
    <w:p>
      <w:pPr>
        <w:pStyle w:val="Heading3"/>
        <w:spacing w:after="100" w:before="200"/>
      </w:pPr>
      <w:r>
        <w:rPr>
          <w:b/>
          <w:bCs/>
          <w:color w:val="1F3864"/>
          <w:sz w:val="22"/>
          <w:szCs w:val="22"/>
        </w:rPr>
        <w:t xml:space="preserve">The Founder Agent drafts the founder's voice</w:t>
      </w:r>
    </w:p>
    <w:p>
      <w:pPr>
        <w:spacing w:after="120"/>
      </w:pPr>
      <w:r>
        <w:t xml:space="preserve">The Founder Agent is an internal architectural component that drafts founder correspondence — welcomes, milestones, retake commentary, drift re-engagement, social copy. Every draft is reviewed by the founder before sending. Members never interact with the Founder Agent directly. The Founder Agent operates under the same governance constraints as the Member Agent plus the Jay-review-before-send mandate as an immutable architectural rule.</w:t>
      </w:r>
    </w:p>
    <w:p>
      <w:pPr>
        <w:pStyle w:val="Heading3"/>
        <w:spacing w:after="100" w:before="200"/>
      </w:pPr>
      <w:r>
        <w:rPr>
          <w:b/>
          <w:bCs/>
          <w:color w:val="1F3864"/>
          <w:sz w:val="22"/>
          <w:szCs w:val="22"/>
        </w:rPr>
        <w:t xml:space="preserve">Both agents operate inside a multi-tenant infrastructure</w:t>
      </w:r>
    </w:p>
    <w:p>
      <w:pPr>
        <w:spacing w:after="120"/>
      </w:pPr>
      <w:r>
        <w:t xml:space="preserve">From day one, the G4L Platform is architected multi-tenant. The Member-facing platform ships as the public tenant. Corporate clients (Stage 3, January 2028 onward) purchase dedicated tenant instances with their own member pool, their own Member Agent configuration, and per-tenant data isolation. Every governance commitment in this framework applies to every tenant. The architectural separation is detailed in the Multi-Tenant Governance section below.</w:t>
      </w:r>
    </w:p>
    <w:p>
      <w:pPr>
        <w:pStyle w:val="Heading2"/>
        <w:spacing w:after="120" w:before="240"/>
      </w:pPr>
      <w:r>
        <w:rPr>
          <w:b/>
          <w:bCs/>
          <w:color w:val="1F3864"/>
          <w:sz w:val="26"/>
          <w:szCs w:val="26"/>
        </w:rPr>
        <w:t xml:space="preserve">What Our AI Never Does</w:t>
      </w:r>
    </w:p>
    <w:p>
      <w:pPr>
        <w:spacing w:after="120"/>
      </w:pPr>
      <w:r>
        <w:t xml:space="preserve">These are non-negotiable constraints embedded in every version of the G4L system prompts, validated at every prompt change, and reviewed quarterly. The first nine apply to every agent in every tenant. The last three are multi-tenant additions that became operational with the Stage 2 platform launch.</w:t>
      </w:r>
    </w:p>
    <w:p>
      <w:pPr>
        <w:pStyle w:val="ListParagraph"/>
        <w:numPr>
          <w:ilvl w:val="0"/>
          <w:numId w:val="2"/>
        </w:numPr>
        <w:spacing w:after="80"/>
      </w:pPr>
      <w:r>
        <w:t xml:space="preserve">Diagnoses, labels, or pathologizes a member's experience.</w:t>
      </w:r>
    </w:p>
    <w:p>
      <w:pPr>
        <w:pStyle w:val="ListParagraph"/>
        <w:numPr>
          <w:ilvl w:val="0"/>
          <w:numId w:val="2"/>
        </w:numPr>
        <w:spacing w:after="80"/>
      </w:pPr>
      <w:r>
        <w:t xml:space="preserve">References an ID Score to a member as a raw number without band label and human context.</w:t>
      </w:r>
    </w:p>
    <w:p>
      <w:pPr>
        <w:pStyle w:val="ListParagraph"/>
        <w:numPr>
          <w:ilvl w:val="0"/>
          <w:numId w:val="2"/>
        </w:numPr>
        <w:spacing w:after="80"/>
      </w:pPr>
      <w:r>
        <w:t xml:space="preserve">Attempts to address a mental health disclosure directly. Routes immediately to locale-specific crisis resources (988 in the US; see Emotional Safety Protocol for international locales).</w:t>
      </w:r>
    </w:p>
    <w:p>
      <w:pPr>
        <w:pStyle w:val="ListParagraph"/>
        <w:numPr>
          <w:ilvl w:val="0"/>
          <w:numId w:val="2"/>
        </w:numPr>
        <w:spacing w:after="80"/>
      </w:pPr>
      <w:r>
        <w:t xml:space="preserve">Suggests programs, tiers, upgrades, or commercial offerings.</w:t>
      </w:r>
    </w:p>
    <w:p>
      <w:pPr>
        <w:pStyle w:val="ListParagraph"/>
        <w:numPr>
          <w:ilvl w:val="0"/>
          <w:numId w:val="2"/>
        </w:numPr>
        <w:spacing w:after="80"/>
      </w:pPr>
      <w:r>
        <w:t xml:space="preserve">Operates outside the G4L voice and 4Rs framework.</w:t>
      </w:r>
    </w:p>
    <w:p>
      <w:pPr>
        <w:pStyle w:val="ListParagraph"/>
        <w:numPr>
          <w:ilvl w:val="0"/>
          <w:numId w:val="2"/>
        </w:numPr>
        <w:spacing w:after="80"/>
      </w:pPr>
      <w:r>
        <w:t xml:space="preserve">Substitutes for human coaching at the Direct membership tier.</w:t>
      </w:r>
    </w:p>
    <w:p>
      <w:pPr>
        <w:pStyle w:val="ListParagraph"/>
        <w:numPr>
          <w:ilvl w:val="0"/>
          <w:numId w:val="2"/>
        </w:numPr>
        <w:spacing w:after="80"/>
      </w:pPr>
      <w:r>
        <w:t xml:space="preserve">Stores or references information shared in confidence beyond what the member has explicitly consented to.</w:t>
      </w:r>
    </w:p>
    <w:p>
      <w:pPr>
        <w:pStyle w:val="ListParagraph"/>
        <w:numPr>
          <w:ilvl w:val="0"/>
          <w:numId w:val="2"/>
        </w:numPr>
        <w:spacing w:after="80"/>
      </w:pPr>
      <w:r>
        <w:t xml:space="preserve">Continues a conversation when a member has signaled they want to stop.</w:t>
      </w:r>
    </w:p>
    <w:p>
      <w:pPr>
        <w:pStyle w:val="ListParagraph"/>
        <w:numPr>
          <w:ilvl w:val="0"/>
          <w:numId w:val="2"/>
        </w:numPr>
        <w:spacing w:after="80"/>
      </w:pPr>
      <w:r>
        <w:t xml:space="preserve">Sends correspondence in the founder's name without his review. (Founder Agent constraint; architecturally enforced — the Founder Agent does not have a send tool.)</w:t>
      </w:r>
    </w:p>
    <w:p>
      <w:pPr>
        <w:pStyle w:val="ListParagraph"/>
        <w:numPr>
          <w:ilvl w:val="0"/>
          <w:numId w:val="2"/>
        </w:numPr>
        <w:spacing w:after="80"/>
      </w:pPr>
      <w:r>
        <w:rPr>
          <w:b/>
          <w:bCs/>
        </w:rPr>
        <w:t xml:space="preserve">(NEW v2.0) </w:t>
      </w:r>
      <w:r>
        <w:t xml:space="preserve">Reads or writes data outside the session's tenant scope. (Member Agent constraint; enforced at the database layer via row-level security policies and at the agent runtime via tenant context injection at session start.)</w:t>
      </w:r>
    </w:p>
    <w:p>
      <w:pPr>
        <w:pStyle w:val="ListParagraph"/>
        <w:numPr>
          <w:ilvl w:val="0"/>
          <w:numId w:val="2"/>
        </w:numPr>
        <w:spacing w:after="80"/>
      </w:pPr>
      <w:r>
        <w:rPr>
          <w:b/>
          <w:bCs/>
        </w:rPr>
        <w:t xml:space="preserve">(NEW v2.0) </w:t>
      </w:r>
      <w:r>
        <w:t xml:space="preserve">Commits a cross-tenant operation without Jay review. (Founder Agent constraint; cross-tenant admin operations — tenant provisioning, configuration changes, member transfers, research feed composition — are drafted by the Founder Agent and committed only after Jay-review.)</w:t>
      </w:r>
    </w:p>
    <w:p>
      <w:pPr>
        <w:pStyle w:val="ListParagraph"/>
        <w:numPr>
          <w:ilvl w:val="0"/>
          <w:numId w:val="2"/>
        </w:numPr>
        <w:spacing w:after="80"/>
      </w:pPr>
      <w:r>
        <w:rPr>
          <w:b/>
          <w:bCs/>
        </w:rPr>
        <w:t xml:space="preserve">(NEW v2.0) </w:t>
      </w:r>
      <w:r>
        <w:t xml:space="preserve">Publishes research output below the k-anonymity threshold. Default k = 10 for any published cohort; lower k thresholds permitted for internal hypothesis generation only and tagged 'internal_only.'</w:t>
      </w:r>
    </w:p>
    <w:p>
      <w:pPr>
        <w:pStyle w:val="Heading2"/>
        <w:spacing w:after="120" w:before="240"/>
      </w:pPr>
      <w:r>
        <w:rPr>
          <w:b/>
          <w:bCs/>
          <w:color w:val="1F3864"/>
          <w:sz w:val="26"/>
          <w:szCs w:val="26"/>
        </w:rPr>
        <w:t xml:space="preserve">Transparency Standard</w:t>
      </w:r>
    </w:p>
    <w:p>
      <w:pPr>
        <w:spacing w:after="120"/>
      </w:pPr>
      <w:r>
        <w:t xml:space="preserve">Every member knows they are interacting with AI before the first conversation begins. The disclosure is not buried in terms of service. It appears as the first line of the onboarding experience, written in plain language and adapted to the member's tenant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EF7" w:color="auto" w:val="clear"/>
            <w:tcMar>
              <w:top w:type="dxa" w:w="120"/>
              <w:left w:type="dxa" w:w="160"/>
              <w:bottom w:type="dxa" w:w="120"/>
              <w:right w:type="dxa" w:w="160"/>
            </w:tcMar>
          </w:tcPr>
          <w:p>
            <w:pPr>
              <w:spacing w:after="60"/>
            </w:pPr>
            <w:r>
              <w:rPr>
                <w:b/>
                <w:bCs/>
                <w:color w:val="1F3864"/>
              </w:rPr>
              <w:t xml:space="preserve">The disclosure, verbatim (public tenant default) — </w:t>
            </w:r>
            <w:r>
              <w:t xml:space="preserve">"This conversation is guided by AI. Everything you share shapes your G4L experience and is handled with the same care you'd expect from a person. You can stop at any time."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EF7" w:color="auto" w:val="clear"/>
            <w:tcMar>
              <w:top w:type="dxa" w:w="120"/>
              <w:left w:type="dxa" w:w="160"/>
              <w:bottom w:type="dxa" w:w="120"/>
              <w:right w:type="dxa" w:w="160"/>
            </w:tcMar>
          </w:tcPr>
          <w:p>
            <w:pPr>
              <w:spacing w:after="60"/>
            </w:pPr>
            <w:r>
              <w:rPr>
                <w:b/>
                <w:bCs/>
                <w:color w:val="1F3864"/>
              </w:rPr>
              <w:t xml:space="preserve">Per-tenant branding overlay (NEW v2.0) — </w:t>
            </w:r>
            <w:r>
              <w:t xml:space="preserve">Corporate tenants configure a tenant-branded display name (e.g., "Acme Corp G4L Program") that substitutes into the disclosure first line. The underlying commitment — AI involvement disclosed before the first conversation, plain language, no email gate — is identical across all tenants. Tenant branding adapts the surface; the governance is constant.</w:t>
            </w:r>
          </w:p>
        </w:tc>
      </w:tr>
    </w:tbl>
    <w:p>
      <w:pPr>
        <w:spacing w:after="120"/>
      </w:pPr>
      <w:r>
        <w:t xml:space="preserve"/>
      </w:r>
    </w:p>
    <w:p>
      <w:pPr>
        <w:spacing w:after="120"/>
      </w:pPr>
      <w:r>
        <w:t xml:space="preserve">Members who prefer not to interact with AI can complete a standard text-based profile form at any point. This option is always available and never penalized. The Independence Guarantee posture extends to every gating asset in the program: a paper protocol exists for every framework moment, so a member can complete the framework without ever interacting with the agent if they choose. This applies in every tenant.</w:t>
      </w:r>
    </w:p>
    <w:p>
      <w:pPr>
        <w:pStyle w:val="Heading2"/>
        <w:spacing w:after="120" w:before="240"/>
      </w:pPr>
      <w:r>
        <w:rPr>
          <w:b/>
          <w:bCs/>
          <w:color w:val="1F3864"/>
          <w:sz w:val="26"/>
          <w:szCs w:val="26"/>
        </w:rPr>
        <w:t xml:space="preserve">Emotional Safety Protocol</w:t>
      </w:r>
    </w:p>
    <w:p>
      <w:pPr>
        <w:spacing w:after="120"/>
      </w:pPr>
      <w:r>
        <w:t xml:space="preserve">Members of G4L are navigating real vulnerability. Some will share experiences that go beyond athletic identity — grief, isolation, health crises, depression. The Member Agent is not equipped to handle these disclosures and does not attempt to.</w:t>
      </w:r>
    </w:p>
    <w:p>
      <w:pPr>
        <w:pStyle w:val="Heading3"/>
        <w:spacing w:after="100" w:before="200"/>
      </w:pPr>
      <w:r>
        <w:rPr>
          <w:b/>
          <w:bCs/>
          <w:color w:val="1F3864"/>
          <w:sz w:val="22"/>
          <w:szCs w:val="22"/>
        </w:rPr>
        <w:t xml:space="preserve">Detection</w:t>
      </w:r>
    </w:p>
    <w:p>
      <w:pPr>
        <w:spacing w:after="120"/>
      </w:pPr>
      <w:r>
        <w:t xml:space="preserve">The system prompt includes specific language pattern recognition for distress signals — expressions of hopelessness, references to self-harm, acute grief, or crisis language. Detection triggers an immediate protocol shift.</w:t>
      </w:r>
    </w:p>
    <w:p>
      <w:pPr>
        <w:pStyle w:val="Heading3"/>
        <w:spacing w:after="100" w:before="200"/>
      </w:pPr>
      <w:r>
        <w:rPr>
          <w:b/>
          <w:bCs/>
          <w:color w:val="1F3864"/>
          <w:sz w:val="22"/>
          <w:szCs w:val="22"/>
        </w:rPr>
        <w:t xml:space="preserve">Response</w:t>
      </w:r>
    </w:p>
    <w:p>
      <w:pPr>
        <w:spacing w:after="120"/>
      </w:pPr>
      <w:r>
        <w:t xml:space="preserve">The agent acknowledges the disclosure warmly, does not attempt to counsel or minimize, and provides immediate locale-appropriate crisis resources. In the US, the routing is to the 988 Suicide and Crisis Lifeline. Every flagged conversation is escalated to a human team member within 24 hours.</w:t>
      </w:r>
    </w:p>
    <w:p>
      <w:pPr>
        <w:pStyle w:val="Heading3"/>
        <w:spacing w:after="100" w:before="200"/>
      </w:pPr>
      <w:r>
        <w:rPr>
          <w:b/>
          <w:bCs/>
          <w:color w:val="1F3864"/>
          <w:sz w:val="22"/>
          <w:szCs w:val="22"/>
        </w:rPr>
        <w:t xml:space="preserve">Locale-specific crisis routing (NEW v2.0)</w:t>
      </w:r>
    </w:p>
    <w:p>
      <w:pPr>
        <w:spacing w:after="120"/>
      </w:pPr>
      <w:r>
        <w:t xml:space="preserve">As the platform expands internationally through tenant provisioning, locale-specific crisis hotline routing is configured per tenant. Each tenant carries a crisis_routing_locale that determines which crisis hotline number and phrasing the system prompt substitutes into the crisis routing section. Current routing:</w:t>
      </w:r>
    </w:p>
    <w:p>
      <w:pPr>
        <w:pStyle w:val="ListParagraph"/>
        <w:numPr>
          <w:ilvl w:val="0"/>
          <w:numId w:val="2"/>
        </w:numPr>
        <w:spacing w:after="80"/>
      </w:pPr>
      <w:r>
        <w:t xml:space="preserve">US tenants: 988 Suicide and Crisis Lifeline</w:t>
      </w:r>
    </w:p>
    <w:p>
      <w:pPr>
        <w:pStyle w:val="ListParagraph"/>
        <w:numPr>
          <w:ilvl w:val="0"/>
          <w:numId w:val="2"/>
        </w:numPr>
        <w:spacing w:after="80"/>
      </w:pPr>
      <w:r>
        <w:t xml:space="preserve">UK tenants: Samaritans (116 123)</w:t>
      </w:r>
    </w:p>
    <w:p>
      <w:pPr>
        <w:pStyle w:val="ListParagraph"/>
        <w:numPr>
          <w:ilvl w:val="0"/>
          <w:numId w:val="2"/>
        </w:numPr>
        <w:spacing w:after="80"/>
      </w:pPr>
      <w:r>
        <w:t xml:space="preserve">Canadian tenants: 988</w:t>
      </w:r>
    </w:p>
    <w:p>
      <w:pPr>
        <w:pStyle w:val="ListParagraph"/>
        <w:numPr>
          <w:ilvl w:val="0"/>
          <w:numId w:val="2"/>
        </w:numPr>
        <w:spacing w:after="80"/>
      </w:pPr>
      <w:r>
        <w:t xml:space="preserve">Australian tenants: Lifeline Australia (13 11 14)</w:t>
      </w:r>
    </w:p>
    <w:p>
      <w:pPr>
        <w:pStyle w:val="ListParagraph"/>
        <w:numPr>
          <w:ilvl w:val="0"/>
          <w:numId w:val="2"/>
        </w:numPr>
        <w:spacing w:after="80"/>
      </w:pPr>
      <w:r>
        <w:t xml:space="preserve">Other locales: configured at tenant provisioning time, validated against AI Governance Framework v2.0 requirements before tenant goes live</w:t>
      </w:r>
    </w:p>
    <w:p>
      <w:pPr>
        <w:pStyle w:val="Heading3"/>
        <w:spacing w:after="100" w:before="200"/>
      </w:pPr>
      <w:r>
        <w:rPr>
          <w:b/>
          <w:bCs/>
          <w:color w:val="1F3864"/>
          <w:sz w:val="22"/>
          <w:szCs w:val="22"/>
        </w:rPr>
        <w:t xml:space="preserve">Documentation</w:t>
      </w:r>
    </w:p>
    <w:p>
      <w:pPr>
        <w:spacing w:after="120"/>
      </w:pPr>
      <w:r>
        <w:t xml:space="preserve">All flagged conversations are logged — without identifying content — to track frequency, identify patterns, and improve detection over time. This protocol is reviewed and tested quarterly. Per-tenant flagged conversation logs are accessible to that tenant's administrators (corporate HR / Total Rewards leads) for their tenant only, scoped via the per-tenant audit log.</w:t>
      </w:r>
    </w:p>
    <w:p>
      <w:pPr>
        <w:pStyle w:val="Heading2"/>
        <w:spacing w:after="120" w:before="240"/>
      </w:pPr>
      <w:r>
        <w:rPr>
          <w:b/>
          <w:bCs/>
          <w:color w:val="1F3864"/>
          <w:sz w:val="26"/>
          <w:szCs w:val="26"/>
        </w:rPr>
        <w:t xml:space="preserve">Data Governance</w:t>
      </w:r>
    </w:p>
    <w:p>
      <w:pPr>
        <w:spacing w:after="120"/>
      </w:pPr>
      <w:r>
        <w:t xml:space="preserve">Seven commitments govern how member data is collected, stored, used, and protected. The first six apply to every member in every tenant. The seventh is a multi-tenant addition that became operational with the Stage 2 platform launch.</w:t>
      </w:r>
    </w:p>
    <w:p>
      <w:pPr>
        <w:pStyle w:val="Heading3"/>
        <w:spacing w:after="100" w:before="200"/>
      </w:pPr>
      <w:r>
        <w:rPr>
          <w:b/>
          <w:bCs/>
          <w:color w:val="1F3864"/>
          <w:sz w:val="22"/>
          <w:szCs w:val="22"/>
        </w:rPr>
        <w:t xml:space="preserve">1. Explicit consent</w:t>
      </w:r>
    </w:p>
    <w:p>
      <w:pPr>
        <w:spacing w:after="120"/>
      </w:pPr>
      <w:r>
        <w:t xml:space="preserve">Members consent to data collection at onboarding in plain language specifying what is collected, how it is used, and who has access. Corporate tenant members additionally see the corporate tenant's data handling addendum as part of consent.</w:t>
      </w:r>
    </w:p>
    <w:p>
      <w:pPr>
        <w:pStyle w:val="Heading3"/>
        <w:spacing w:after="100" w:before="200"/>
      </w:pPr>
      <w:r>
        <w:rPr>
          <w:b/>
          <w:bCs/>
          <w:color w:val="1F3864"/>
          <w:sz w:val="22"/>
          <w:szCs w:val="22"/>
        </w:rPr>
        <w:t xml:space="preserve">2. Minimum necessary collection</w:t>
      </w:r>
    </w:p>
    <w:p>
      <w:pPr>
        <w:spacing w:after="120"/>
      </w:pPr>
      <w:r>
        <w:t xml:space="preserve">The Member Agent collects only what is required to personalize the member experience and generate the ID Score across the four IDQ dimensions.</w:t>
      </w:r>
    </w:p>
    <w:p>
      <w:pPr>
        <w:pStyle w:val="Heading3"/>
        <w:spacing w:after="100" w:before="200"/>
      </w:pPr>
      <w:r>
        <w:rPr>
          <w:b/>
          <w:bCs/>
          <w:color w:val="1F3864"/>
          <w:sz w:val="22"/>
          <w:szCs w:val="22"/>
        </w:rPr>
        <w:t xml:space="preserve">3. Separation of product and research data</w:t>
      </w:r>
    </w:p>
    <w:p>
      <w:pPr>
        <w:spacing w:after="120"/>
      </w:pPr>
      <w:r>
        <w:t xml:space="preserve">Member profile data and research data are stored separately. Research consent withdrawal does not affect platform access.</w:t>
      </w:r>
    </w:p>
    <w:p>
      <w:pPr>
        <w:pStyle w:val="Heading3"/>
        <w:spacing w:after="100" w:before="200"/>
      </w:pPr>
      <w:r>
        <w:rPr>
          <w:b/>
          <w:bCs/>
          <w:color w:val="1F3864"/>
          <w:sz w:val="22"/>
          <w:szCs w:val="22"/>
        </w:rPr>
        <w:t xml:space="preserve">4. No model training on member data</w:t>
      </w:r>
    </w:p>
    <w:p>
      <w:pPr>
        <w:spacing w:after="120"/>
      </w:pPr>
      <w:r>
        <w:t xml:space="preserve">G4L does not permit member conversation data to be used to train AI models by any party. The Anthropic API is configured to honor this commitment. This applies to every tenant.</w:t>
      </w:r>
    </w:p>
    <w:p>
      <w:pPr>
        <w:pStyle w:val="Heading3"/>
        <w:spacing w:after="100" w:before="200"/>
      </w:pPr>
      <w:r>
        <w:rPr>
          <w:b/>
          <w:bCs/>
          <w:color w:val="1F3864"/>
          <w:sz w:val="22"/>
          <w:szCs w:val="22"/>
        </w:rPr>
        <w:t xml:space="preserve">5. Retention and deletion</w:t>
      </w:r>
    </w:p>
    <w:p>
      <w:pPr>
        <w:spacing w:after="120"/>
      </w:pPr>
      <w:r>
        <w:t xml:space="preserve">Conversation data is retained for the duration of membership plus 12 months. Members can request deletion at any time and that deletion is executed within 30 days. Per-tenant retention policies may shorten this window per corporate contract terms; per-tenant policies cannot extend the default.</w:t>
      </w:r>
    </w:p>
    <w:p>
      <w:pPr>
        <w:pStyle w:val="Heading3"/>
        <w:spacing w:after="100" w:before="200"/>
      </w:pPr>
      <w:r>
        <w:rPr>
          <w:b/>
          <w:bCs/>
          <w:color w:val="1F3864"/>
          <w:sz w:val="22"/>
          <w:szCs w:val="22"/>
        </w:rPr>
        <w:t xml:space="preserve">6. Breach protocol</w:t>
      </w:r>
    </w:p>
    <w:p>
      <w:pPr>
        <w:spacing w:after="120"/>
      </w:pPr>
      <w:r>
        <w:t xml:space="preserve">Affected members are notified within 72 hours of any confirmed breach, with plain-language disclosure of what happened, what data was involved, and what we are doing in response. Per-tenant breach scope is bounded by the tenant isolation guarantee — a breach in one tenant cannot expose another tenant's data.</w:t>
      </w:r>
    </w:p>
    <w:p>
      <w:pPr>
        <w:pStyle w:val="Heading3"/>
        <w:spacing w:after="100" w:before="200"/>
      </w:pPr>
      <w:r>
        <w:rPr>
          <w:b/>
          <w:bCs/>
          <w:color w:val="1F3864"/>
          <w:sz w:val="22"/>
          <w:szCs w:val="22"/>
        </w:rPr>
        <w:t xml:space="preserve">7. Per-tenant data isolation (NEW v2.0)</w:t>
      </w:r>
    </w:p>
    <w:p>
      <w:pPr>
        <w:spacing w:after="120"/>
      </w:pPr>
      <w:r>
        <w:t xml:space="preserve">Corporate tenants' member data is structurally isolated from other tenants. The isolation is enforced at three layers: at the database layer via row-level security policies on every member-scoped table; at the agent runtime via tenant context injection at session start; at the application layer via tenant_id validation on every API request. The Member Agent operating inside a corporate tenant cannot see data from the public tenant or from any other corporate tenant. This is a structural guarantee — there is no mechanism in the Member Agent runtime to violate the tenant boundary.</w:t>
      </w:r>
    </w:p>
    <w:p>
      <w:pPr>
        <w:spacing w:after="120"/>
      </w:pPr>
      <w:r>
        <w:t xml:space="preserve">F500 corporate clients require SOC2-grade data isolation between their employees and other companies' employees. The architecture delivers this as a structural guarantee, not a policy promise. The technical implementation is detailed in the Member Agent Technical Specification v2.0 (Multi-Tenant Additions).</w:t>
      </w:r>
    </w:p>
    <w:p>
      <w:pPr>
        <w:pStyle w:val="Heading2"/>
        <w:spacing w:after="120" w:before="240"/>
      </w:pPr>
      <w:r>
        <w:rPr>
          <w:b/>
          <w:bCs/>
          <w:color w:val="1F3864"/>
          <w:sz w:val="26"/>
          <w:szCs w:val="26"/>
        </w:rPr>
        <w:t xml:space="preserve">Research Ethics</w:t>
      </w:r>
    </w:p>
    <w:p>
      <w:pPr>
        <w:spacing w:after="120"/>
      </w:pPr>
      <w:r>
        <w:t xml:space="preserve">G4L's longitudinal research program operates under IRB (Institutional Review Board) oversight in partnership with Dr. Greg Welk at Iowa State University. Five commitments govern research participation. The first four apply to every member; the fifth is a multi-tenant addition governing cross-tenant aggregation.</w:t>
      </w:r>
    </w:p>
    <w:p>
      <w:pPr>
        <w:pStyle w:val="ListParagraph"/>
        <w:numPr>
          <w:ilvl w:val="0"/>
          <w:numId w:val="2"/>
        </w:numPr>
        <w:spacing w:after="80"/>
      </w:pPr>
      <w:r>
        <w:rPr>
          <w:b/>
          <w:bCs/>
        </w:rPr>
        <w:t xml:space="preserve">1. Separate research consent. </w:t>
      </w:r>
      <w:r>
        <w:t xml:space="preserve">Research participation requires a separate explicit consent process from platform membership. Members who decline research do not lose any platform feature.</w:t>
      </w:r>
    </w:p>
    <w:p>
      <w:pPr>
        <w:pStyle w:val="ListParagraph"/>
        <w:numPr>
          <w:ilvl w:val="0"/>
          <w:numId w:val="2"/>
        </w:numPr>
        <w:spacing w:after="80"/>
      </w:pPr>
      <w:r>
        <w:rPr>
          <w:b/>
          <w:bCs/>
        </w:rPr>
        <w:t xml:space="preserve">2. Disclosure in publications. </w:t>
      </w:r>
      <w:r>
        <w:t xml:space="preserve">AI-administered assessments are disclosed as such in all research publications. Reviewers and readers know the instrument was administered conversationally by the Member Agent.</w:t>
      </w:r>
    </w:p>
    <w:p>
      <w:pPr>
        <w:pStyle w:val="ListParagraph"/>
        <w:numPr>
          <w:ilvl w:val="0"/>
          <w:numId w:val="2"/>
        </w:numPr>
        <w:spacing w:after="80"/>
      </w:pPr>
      <w:r>
        <w:rPr>
          <w:b/>
          <w:bCs/>
        </w:rPr>
        <w:t xml:space="preserve">3. Withdrawal at any time. </w:t>
      </w:r>
      <w:r>
        <w:t xml:space="preserve">Members can withdraw from research at any time without affecting platform membership. Withdrawal is one click and is honored within 30 days.</w:t>
      </w:r>
    </w:p>
    <w:p>
      <w:pPr>
        <w:pStyle w:val="ListParagraph"/>
        <w:numPr>
          <w:ilvl w:val="0"/>
          <w:numId w:val="2"/>
        </w:numPr>
        <w:spacing w:after="80"/>
      </w:pPr>
      <w:r>
        <w:rPr>
          <w:b/>
          <w:bCs/>
        </w:rPr>
        <w:t xml:space="preserve">4. Aggregate findings shared first. </w:t>
      </w:r>
      <w:r>
        <w:t xml:space="preserve">Aggregate findings are shared with the G4L community before academic publication. Members see the results of the work they contributed to.</w:t>
      </w:r>
    </w:p>
    <w:p>
      <w:pPr>
        <w:pStyle w:val="ListParagraph"/>
        <w:numPr>
          <w:ilvl w:val="0"/>
          <w:numId w:val="2"/>
        </w:numPr>
        <w:spacing w:after="80"/>
      </w:pPr>
      <w:r>
        <w:rPr>
          <w:b/>
          <w:bCs/>
        </w:rPr>
        <w:t xml:space="preserve">5. Cross-tenant k-anonymity (NEW v2.0). </w:t>
      </w:r>
      <w:r>
        <w:t xml:space="preserve">Research feed composition across tenants enforces k-anonymity at the aggregation layer. Default k = 10 for any published cohort (no aggregate row reveals data from fewer than 10 distinct members). Per-tenant research consent is enforced at aggregation time — tenants with research_feed_consent = false are excluded entirely. Published research carries the tenant population descriptor (e.g., "public tenant members plus consented corporate tenants") without naming corporate clients.</w:t>
      </w:r>
    </w:p>
    <w:p>
      <w:pPr>
        <w:pStyle w:val="Heading2"/>
        <w:spacing w:after="120" w:before="240"/>
      </w:pPr>
      <w:r>
        <w:rPr>
          <w:b/>
          <w:bCs/>
          <w:color w:val="1F3864"/>
          <w:sz w:val="26"/>
          <w:szCs w:val="26"/>
        </w:rPr>
        <w:t xml:space="preserve">Multi-Tenant Governance (NEW v2.0)</w:t>
      </w:r>
    </w:p>
    <w:p>
      <w:pPr>
        <w:spacing w:after="120"/>
      </w:pPr>
      <w:r>
        <w:t xml:space="preserve">From day one, the G4L Platform is architected multi-tenant. This section establishes how every commitment in this framework applies across the tenant boundary.</w:t>
      </w:r>
    </w:p>
    <w:p>
      <w:pPr>
        <w:pStyle w:val="Heading3"/>
        <w:spacing w:after="100" w:before="200"/>
      </w:pPr>
      <w:r>
        <w:rPr>
          <w:b/>
          <w:bCs/>
          <w:color w:val="1F3864"/>
          <w:sz w:val="22"/>
          <w:szCs w:val="22"/>
        </w:rPr>
        <w:t xml:space="preserve">1. Tenant inheritance of all commitments</w:t>
      </w:r>
    </w:p>
    <w:p>
      <w:pPr>
        <w:spacing w:after="120"/>
      </w:pPr>
      <w:r>
        <w:t xml:space="preserve">Every tenant — the public tenant (direct-consumer members), corporate tenants (F500 and startup wellness clients), practitioner tenants (Certified Practitioner program), and chapter tenants (Licensed Chapter program) — inherits every commitment in this framework by default. A tenant cannot opt out of a commitment. A tenant can opt into additional commitments (e.g., a corporate tenant may add prohibitions specific to their context: never discuss compensation or HR matters; never recommend financial decisions). Additional commitments are validated against this framework at tenant configuration time.</w:t>
      </w:r>
    </w:p>
    <w:p>
      <w:pPr>
        <w:pStyle w:val="Heading3"/>
        <w:spacing w:after="100" w:before="200"/>
      </w:pPr>
      <w:r>
        <w:rPr>
          <w:b/>
          <w:bCs/>
          <w:color w:val="1F3864"/>
          <w:sz w:val="22"/>
          <w:szCs w:val="22"/>
        </w:rPr>
        <w:t xml:space="preserve">2. Tenant data isolation as structural guarantee</w:t>
      </w:r>
    </w:p>
    <w:p>
      <w:pPr>
        <w:spacing w:after="120"/>
      </w:pPr>
      <w:r>
        <w:t xml:space="preserve">Per Data Governance commitment #7 above. Database row-level security policies on every member-scoped table enforce tenant_id scoping. The Member Agent runtime sets the tenant context at session start and cannot switch tenants mid-session. The application layer validates tenant_id on every API request. Defense in depth — even if application code makes a programming error, the database returns zero rows for any tenant_id mismatch.</w:t>
      </w:r>
    </w:p>
    <w:p>
      <w:pPr>
        <w:pStyle w:val="Heading3"/>
        <w:spacing w:after="100" w:before="200"/>
      </w:pPr>
      <w:r>
        <w:rPr>
          <w:b/>
          <w:bCs/>
          <w:color w:val="1F3864"/>
          <w:sz w:val="22"/>
          <w:szCs w:val="22"/>
        </w:rPr>
        <w:t xml:space="preserve">3. Per-tenant AI disclosure with branding overlay</w:t>
      </w:r>
    </w:p>
    <w:p>
      <w:pPr>
        <w:spacing w:after="120"/>
      </w:pPr>
      <w:r>
        <w:t xml:space="preserve">Per Transparency Standard above. Disclosure first line adapts to tenant branding (tenant_config.branding_display_name) but the underlying commitment is identical across tenants. AI involvement disclosed before the first conversation; plain language; no email gate; no penalty for opting out.</w:t>
      </w:r>
    </w:p>
    <w:p>
      <w:pPr>
        <w:pStyle w:val="Heading3"/>
        <w:spacing w:after="100" w:before="200"/>
      </w:pPr>
      <w:r>
        <w:rPr>
          <w:b/>
          <w:bCs/>
          <w:color w:val="1F3864"/>
          <w:sz w:val="22"/>
          <w:szCs w:val="22"/>
        </w:rPr>
        <w:t xml:space="preserve">4. Locale-specific crisis routing</w:t>
      </w:r>
    </w:p>
    <w:p>
      <w:pPr>
        <w:spacing w:after="120"/>
      </w:pPr>
      <w:r>
        <w:t xml:space="preserve">Per Emotional Safety Protocol above. Each tenant carries a crisis_routing_locale that determines the appropriate crisis hotline number and phrasing substituted into the system prompt at session start. The locale routing table is maintained in the application code and version-controlled under this framework.</w:t>
      </w:r>
    </w:p>
    <w:p>
      <w:pPr>
        <w:pStyle w:val="Heading3"/>
        <w:spacing w:after="100" w:before="200"/>
      </w:pPr>
      <w:r>
        <w:rPr>
          <w:b/>
          <w:bCs/>
          <w:color w:val="1F3864"/>
          <w:sz w:val="22"/>
          <w:szCs w:val="22"/>
        </w:rPr>
        <w:t xml:space="preserve">5. Per-tenant audit log access</w:t>
      </w:r>
    </w:p>
    <w:p>
      <w:pPr>
        <w:spacing w:after="120"/>
      </w:pPr>
      <w:r>
        <w:t xml:space="preserve">Tenant administrators (corporate HR / Total Rewards leads, practitioner tenant owners, chapter leads) have read access to their tenant's audit log for compliance review. The audit log captures every Member Agent operation (profile update, history write, hand-off trigger, crisis flag) and every Founder Agent action (Member-facing send, admin operation commit) scoped to the tenant. Tenant administrators cannot read any other tenant's audit log.</w:t>
      </w:r>
    </w:p>
    <w:p>
      <w:pPr>
        <w:pStyle w:val="Heading3"/>
        <w:spacing w:after="100" w:before="200"/>
      </w:pPr>
      <w:r>
        <w:rPr>
          <w:b/>
          <w:bCs/>
          <w:color w:val="1F3864"/>
          <w:sz w:val="22"/>
          <w:szCs w:val="22"/>
        </w:rPr>
        <w:t xml:space="preserve">6. Cross-tenant operations governance</w:t>
      </w:r>
    </w:p>
    <w:p>
      <w:pPr>
        <w:spacing w:after="120"/>
      </w:pPr>
      <w:r>
        <w:t xml:space="preserve">The Member Agent has zero cross-tenant capability. Every Member Agent session is bound to a single tenant_id at session start, RLS-enforced, structurally incapable of reading or writing data outside its tenant. Cross-tenant operations live in the Founder Agent — tenant provisioning, tenant configuration management, member transfer between tenants, cross-tenant aggregation for the research feed. Every cross-tenant operation is drafted by the Founder Agent and committed only after Jay-review. The Founder Agent does not autonomously commit cross-tenant operations; the architecture makes autonomous cross-tenant commits structurally impossible. Details in the Founder Agent Technical Specification v2.0 (Cross-Tenant Admin Additions).</w:t>
      </w:r>
    </w:p>
    <w:p>
      <w:pPr>
        <w:pStyle w:val="Heading2"/>
        <w:spacing w:after="120" w:before="240"/>
      </w:pPr>
      <w:r>
        <w:rPr>
          <w:b/>
          <w:bCs/>
          <w:color w:val="1F3864"/>
          <w:sz w:val="26"/>
          <w:szCs w:val="26"/>
        </w:rPr>
        <w:t xml:space="preserve">Personal AI for Human Flourishing (NEW v2.0)</w:t>
      </w:r>
    </w:p>
    <w:p>
      <w:pPr>
        <w:spacing w:after="120"/>
      </w:pPr>
      <w:r>
        <w:t xml:space="preserve">G4L's AI work is anchored in the Human Flourishing research tradition, not in the broader AI wellness category. This positioning is philosophical and empirical, and it shapes the design choices documented in this framework.</w:t>
      </w:r>
    </w:p>
    <w:p>
      <w:pPr>
        <w:pStyle w:val="Heading3"/>
        <w:spacing w:after="100" w:before="200"/>
      </w:pPr>
      <w:r>
        <w:rPr>
          <w:b/>
          <w:bCs/>
          <w:color w:val="1F3864"/>
          <w:sz w:val="22"/>
          <w:szCs w:val="22"/>
        </w:rPr>
        <w:t xml:space="preserve">The research anchor</w:t>
      </w:r>
    </w:p>
    <w:p>
      <w:pPr>
        <w:spacing w:after="120"/>
      </w:pPr>
      <w:r>
        <w:t xml:space="preserve">Personal AI for Human Flourishing draws on Tyler VanderWeele's research at the Harvard Human Flourishing Program, the Global Flourishing Study, Templeton Foundation–funded research on human flourishing, and MacArthur Research Programs work on the conditions under which humans thrive. These traditions share a commitment to multidimensional measurement, longitudinal observation, and a definition of flourishing that extends beyond the absence of disease or distress.</w:t>
      </w:r>
    </w:p>
    <w:p>
      <w:pPr>
        <w:pStyle w:val="Heading3"/>
        <w:spacing w:after="100" w:before="200"/>
      </w:pPr>
      <w:r>
        <w:rPr>
          <w:b/>
          <w:bCs/>
          <w:color w:val="1F3864"/>
          <w:sz w:val="22"/>
          <w:szCs w:val="22"/>
        </w:rPr>
        <w:t xml:space="preserve">Why this positioning matters for AI design</w:t>
      </w:r>
    </w:p>
    <w:p>
      <w:pPr>
        <w:spacing w:after="120"/>
      </w:pPr>
      <w:r>
        <w:t xml:space="preserve">AI wellness applications optimize for engagement, retention, and clinical proxy metrics (anxiety scores, depression screens). Personal AI for Human Flourishing optimizes for measurable improvement in the dimensions human flourishing research has identified as the architecture of a good life. For G4L, those dimensions are operationalized as the four IDQ dimensions (Physical, Self, Social, Outlook) and the composite ID Score. The Member Agent is built to surface what the framework measures — not to maximize app engagement, not to substitute for human relationship, not to replace human coaching at the Direct tier.</w:t>
      </w:r>
    </w:p>
    <w:p>
      <w:pPr>
        <w:pStyle w:val="Heading3"/>
        <w:spacing w:after="100" w:before="200"/>
      </w:pPr>
      <w:r>
        <w:rPr>
          <w:b/>
          <w:bCs/>
          <w:color w:val="1F3864"/>
          <w:sz w:val="22"/>
          <w:szCs w:val="22"/>
        </w:rPr>
        <w:t xml:space="preserve">Operational implications</w:t>
      </w:r>
    </w:p>
    <w:p>
      <w:pPr>
        <w:pStyle w:val="ListParagraph"/>
        <w:numPr>
          <w:ilvl w:val="0"/>
          <w:numId w:val="2"/>
        </w:numPr>
        <w:spacing w:after="80"/>
      </w:pPr>
      <w:r>
        <w:t xml:space="preserve">The Member Agent's prohibitions against pathologizing, against direct mental health response, against operating outside the 4Rs framework are not incidental — they are the operational form of the flourishing-research commitment to multidimensional support rather than clinical proxy.</w:t>
      </w:r>
    </w:p>
    <w:p>
      <w:pPr>
        <w:pStyle w:val="ListParagraph"/>
        <w:numPr>
          <w:ilvl w:val="0"/>
          <w:numId w:val="2"/>
        </w:numPr>
        <w:spacing w:after="80"/>
      </w:pPr>
      <w:r>
        <w:t xml:space="preserve">The ID Score's role as a longitudinal trajectory metric (not a diagnostic label) reflects the flourishing-research commitment to measured improvement over time rather than categorical status.</w:t>
      </w:r>
    </w:p>
    <w:p>
      <w:pPr>
        <w:pStyle w:val="ListParagraph"/>
        <w:numPr>
          <w:ilvl w:val="0"/>
          <w:numId w:val="2"/>
        </w:numPr>
        <w:spacing w:after="80"/>
      </w:pPr>
      <w:r>
        <w:t xml:space="preserve">The Independence Guarantee posture (paper protocol for every gating asset; the agent is a service, not a requirement) reflects the flourishing-research commitment that human agency is foundational to flourishing.</w:t>
      </w:r>
    </w:p>
    <w:p>
      <w:pPr>
        <w:pStyle w:val="ListParagraph"/>
        <w:numPr>
          <w:ilvl w:val="0"/>
          <w:numId w:val="2"/>
        </w:numPr>
        <w:spacing w:after="80"/>
      </w:pPr>
      <w:r>
        <w:t xml:space="preserve">The Jay-review-before-send governance on the Founder Agent reflects the flourishing-research commitment that meaningful relationships — including the founder's relationship with members — should not be automated away.</w:t>
      </w:r>
    </w:p>
    <w:p>
      <w:pPr>
        <w:pStyle w:val="Heading3"/>
        <w:spacing w:after="100" w:before="200"/>
      </w:pPr>
      <w:r>
        <w:rPr>
          <w:b/>
          <w:bCs/>
          <w:color w:val="1F3864"/>
          <w:sz w:val="22"/>
          <w:szCs w:val="22"/>
        </w:rPr>
        <w:t xml:space="preserve">Cross-references</w:t>
      </w:r>
    </w:p>
    <w:p>
      <w:pPr>
        <w:spacing w:after="120"/>
      </w:pPr>
      <w:r>
        <w:t xml:space="preserve">This positioning is the philosophical anchor for the AI-Ethics Foundation Relationship-Building parallel workstream (cultivating Templeton, Hewlett, MacArthur Research Programs, Ford AI Ethics over 2026-2029, independent of Stage timing). It is the Position 4 of the Competitive Landscape Brief v1.2 strategic positions. It is the philosophical foundation referenced by Brand Standards v2.0 (in progress) and Business Plan v7.0 (in progress).</w:t>
      </w:r>
    </w:p>
    <w:p>
      <w:pPr>
        <w:pStyle w:val="Heading2"/>
        <w:spacing w:after="120" w:before="240"/>
      </w:pPr>
      <w:r>
        <w:rPr>
          <w:b/>
          <w:bCs/>
          <w:color w:val="1F3864"/>
          <w:sz w:val="26"/>
          <w:szCs w:val="26"/>
        </w:rPr>
        <w:t xml:space="preserve">Governance Structure</w:t>
      </w:r>
    </w:p>
    <w:p>
      <w:pPr>
        <w:spacing w:after="120"/>
      </w:pPr>
      <w:r>
        <w:t xml:space="preserve">Six named roles carry specific responsibilities for the framework. Decisions and reviews route through these roles, not through ad-hoc judgment. The sixth role (Tenant Administrators) is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4"/>
              <w:left w:val="single" w:color="CCCCCC" w:sz="4"/>
              <w:bottom w:val="single" w:color="CCCCCC" w:sz="4"/>
              <w:right w:val="single" w:color="CCCCCC" w:sz="4"/>
            </w:tcBorders>
            <w:shd w:fill="1F3864" w:color="auto" w:val="clear"/>
            <w:tcMar>
              <w:top w:type="dxa" w:w="100"/>
              <w:left w:type="dxa" w:w="120"/>
              <w:bottom w:type="dxa" w:w="100"/>
              <w:right w:type="dxa" w:w="120"/>
            </w:tcMar>
            <w:vAlign w:val="top"/>
          </w:tcPr>
          <w:p>
            <w:pPr>
              <w:spacing w:after="60"/>
            </w:pPr>
            <w:r>
              <w:rPr>
                <w:b/>
                <w:bCs/>
                <w:i w:val="false"/>
                <w:iCs w:val="false"/>
                <w:color w:val="FFFFFF"/>
                <w:sz w:val="22"/>
                <w:szCs w:val="22"/>
              </w:rPr>
              <w:t xml:space="preserve">Role</w:t>
            </w:r>
          </w:p>
        </w:tc>
        <w:tc>
          <w:tcPr>
            <w:tcW w:type="dxa" w:w="5800"/>
            <w:tcBorders>
              <w:top w:val="single" w:color="CCCCCC" w:sz="4"/>
              <w:left w:val="single" w:color="CCCCCC" w:sz="4"/>
              <w:bottom w:val="single" w:color="CCCCCC" w:sz="4"/>
              <w:right w:val="single" w:color="CCCCCC" w:sz="4"/>
            </w:tcBorders>
            <w:shd w:fill="1F3864" w:color="auto" w:val="clear"/>
            <w:tcMar>
              <w:top w:type="dxa" w:w="100"/>
              <w:left w:type="dxa" w:w="120"/>
              <w:bottom w:type="dxa" w:w="100"/>
              <w:right w:type="dxa" w:w="120"/>
            </w:tcMar>
            <w:vAlign w:val="top"/>
          </w:tcPr>
          <w:p>
            <w:pPr>
              <w:spacing w:after="60"/>
            </w:pPr>
            <w:r>
              <w:rPr>
                <w:b/>
                <w:bCs/>
                <w:i w:val="false"/>
                <w:iCs w:val="false"/>
                <w:color w:val="FFFFFF"/>
                <w:sz w:val="22"/>
                <w:szCs w:val="22"/>
              </w:rPr>
              <w:t xml:space="preserve">Responsibility</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Jay Crain — Founder</w:t>
            </w:r>
          </w:p>
        </w:tc>
        <w:tc>
          <w:tcPr>
            <w:tcW w:type="dxa" w:w="5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Final authority on all AI design decisions. Reviews system prompts quarterly. Approves any changes to non-negotiable prohibitions. Personally reviews every Founder Agent draft before send. Reviews every cross-tenant admin operation before commit. Owns the relationship to the AI-Ethics Foundation Relationship-Building parallel workstream.</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Donna Crain — Operations</w:t>
            </w:r>
          </w:p>
        </w:tc>
        <w:tc>
          <w:tcPr>
            <w:tcW w:type="dxa" w:w="5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Oversees emotional safety escalation process. Reviews flagged conversation log weekly across all tenants. Coordinates per-tenant audit log review surfaces for tenant administrators.</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Lead Developer</w:t>
            </w:r>
          </w:p>
        </w:tc>
        <w:tc>
          <w:tcPr>
            <w:tcW w:type="dxa" w:w="5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Maintains system prompt integrity. Implements prompt changes. Controls API key access. Monitors for tenant isolation breaches via the multi-tenant regression test suite. Maintains the locale-specific crisis routing table.</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Dr. Greg Welk — Research Partner</w:t>
            </w:r>
          </w:p>
        </w:tc>
        <w:tc>
          <w:tcPr>
            <w:tcW w:type="dxa" w:w="5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Oversees IRB compliance for research layer. Reviews AI-administered IDQ methodology. Co-authors research publications. Co-investigator for the cross-tenant research feed aggregation; validates k-anonymity thresholds before published outputs.</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Legal Counsel</w:t>
            </w:r>
          </w:p>
        </w:tc>
        <w:tc>
          <w:tcPr>
            <w:tcW w:type="dxa" w:w="5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Reviews framework annually. Advises on emerging AI regulation. Approves data governance language before publication. Reviews tenant contracts for AI Governance Framework alignment. Co-reviews the cross-tenant operations audit quarterly with Jay.</w:t>
            </w:r>
          </w:p>
        </w:tc>
      </w:tr>
      <w:tr>
        <w:tc>
          <w:tcPr>
            <w:tcW w:type="dxa" w:w="3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Tenant Administrators (NEW v2.0)</w:t>
            </w:r>
          </w:p>
        </w:tc>
        <w:tc>
          <w:tcPr>
            <w:tcW w:type="dxa" w:w="5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Per-tenant compliance review surface — corporate HR / Total Rewards leads, practitioner tenant owners, chapter leads. Read access to their tenant's audit log only; bounded write actions (invite members, deactivate members, request tenant configuration changes); all write actions logged with actor accountability. Sign an admin terms-of-use at first session naming the action accountability commitment. Do not interact with the agents in a drafting capacity.</w:t>
            </w:r>
          </w:p>
        </w:tc>
      </w:tr>
    </w:tbl>
    <w:p>
      <w:pPr>
        <w:spacing w:after="120"/>
      </w:pPr>
      <w:r>
        <w:t xml:space="preserve"/>
      </w:r>
    </w:p>
    <w:p>
      <w:pPr>
        <w:pStyle w:val="Heading2"/>
        <w:spacing w:after="120" w:before="240"/>
      </w:pPr>
      <w:r>
        <w:rPr>
          <w:b/>
          <w:bCs/>
          <w:color w:val="1F3864"/>
          <w:sz w:val="26"/>
          <w:szCs w:val="26"/>
        </w:rPr>
        <w:t xml:space="preserve">Review Cadence</w:t>
      </w:r>
    </w:p>
    <w:p>
      <w:pPr>
        <w:spacing w:after="120"/>
      </w:pPr>
      <w:r>
        <w:t xml:space="preserve">Ten recurring reviews keep the framework live rather than ceremonial. Each review has a defined frequency and owner. The last three are new in v2.0, tied to multi-tenant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800"/>
      </w:tblGrid>
      <w:tr>
        <w:trPr>
          <w:tblHeader/>
        </w:trPr>
        <w:tc>
          <w:tcPr>
            <w:tcW w:type="dxa" w:w="4000"/>
            <w:tcBorders>
              <w:top w:val="single" w:color="CCCCCC" w:sz="4"/>
              <w:left w:val="single" w:color="CCCCCC" w:sz="4"/>
              <w:bottom w:val="single" w:color="CCCCCC" w:sz="4"/>
              <w:right w:val="single" w:color="CCCCCC" w:sz="4"/>
            </w:tcBorders>
            <w:shd w:fill="1F3864" w:color="auto" w:val="clear"/>
            <w:tcMar>
              <w:top w:type="dxa" w:w="100"/>
              <w:left w:type="dxa" w:w="120"/>
              <w:bottom w:type="dxa" w:w="100"/>
              <w:right w:type="dxa" w:w="120"/>
            </w:tcMar>
            <w:vAlign w:val="top"/>
          </w:tcPr>
          <w:p>
            <w:pPr>
              <w:spacing w:after="60"/>
            </w:pPr>
            <w:r>
              <w:rPr>
                <w:b/>
                <w:bCs/>
                <w:i w:val="false"/>
                <w:iCs w:val="false"/>
                <w:color w:val="FFFFFF"/>
                <w:sz w:val="22"/>
                <w:szCs w:val="22"/>
              </w:rPr>
              <w:t xml:space="preserve">Review</w:t>
            </w:r>
          </w:p>
        </w:tc>
        <w:tc>
          <w:tcPr>
            <w:tcW w:type="dxa" w:w="2200"/>
            <w:tcBorders>
              <w:top w:val="single" w:color="CCCCCC" w:sz="4"/>
              <w:left w:val="single" w:color="CCCCCC" w:sz="4"/>
              <w:bottom w:val="single" w:color="CCCCCC" w:sz="4"/>
              <w:right w:val="single" w:color="CCCCCC" w:sz="4"/>
            </w:tcBorders>
            <w:shd w:fill="1F3864" w:color="auto" w:val="clear"/>
            <w:tcMar>
              <w:top w:type="dxa" w:w="100"/>
              <w:left w:type="dxa" w:w="120"/>
              <w:bottom w:type="dxa" w:w="100"/>
              <w:right w:type="dxa" w:w="120"/>
            </w:tcMar>
            <w:vAlign w:val="top"/>
          </w:tcPr>
          <w:p>
            <w:pPr>
              <w:spacing w:after="60"/>
            </w:pPr>
            <w:r>
              <w:rPr>
                <w:b/>
                <w:bCs/>
                <w:i w:val="false"/>
                <w:iCs w:val="false"/>
                <w:color w:val="FFFFFF"/>
                <w:sz w:val="22"/>
                <w:szCs w:val="22"/>
              </w:rPr>
              <w:t xml:space="preserve">Frequency</w:t>
            </w:r>
          </w:p>
        </w:tc>
        <w:tc>
          <w:tcPr>
            <w:tcW w:type="dxa" w:w="2800"/>
            <w:tcBorders>
              <w:top w:val="single" w:color="CCCCCC" w:sz="4"/>
              <w:left w:val="single" w:color="CCCCCC" w:sz="4"/>
              <w:bottom w:val="single" w:color="CCCCCC" w:sz="4"/>
              <w:right w:val="single" w:color="CCCCCC" w:sz="4"/>
            </w:tcBorders>
            <w:shd w:fill="1F3864" w:color="auto" w:val="clear"/>
            <w:tcMar>
              <w:top w:type="dxa" w:w="100"/>
              <w:left w:type="dxa" w:w="120"/>
              <w:bottom w:type="dxa" w:w="100"/>
              <w:right w:type="dxa" w:w="120"/>
            </w:tcMar>
            <w:vAlign w:val="top"/>
          </w:tcPr>
          <w:p>
            <w:pPr>
              <w:spacing w:after="60"/>
            </w:pPr>
            <w:r>
              <w:rPr>
                <w:b/>
                <w:bCs/>
                <w:i w:val="false"/>
                <w:iCs w:val="false"/>
                <w:color w:val="FFFFFF"/>
                <w:sz w:val="22"/>
                <w:szCs w:val="22"/>
              </w:rPr>
              <w:t xml:space="preserve">Owner</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System prompt quality review</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Quarterly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Jay + Developer</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Emotional safety protocol test</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Quarterly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Donna + Developer</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Flagged conversation log review</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Weekly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Donna</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Data governance compliance</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Annually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Legal Counsel</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Research ethics review</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Per study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Dr. Welk + IRB</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Regulatory landscape scan</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Quarterly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Legal Counsel</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Member trust survey</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Bi-annually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Community Manager</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Per-tenant voice drift review (NEW v2.0)</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Quarterly, per tenant</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Jay + Developer</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Tenant configuration validation review (NEW v2.0)</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Every tenant_config update</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Jay</w:t>
            </w:r>
          </w:p>
        </w:tc>
      </w:tr>
      <w:tr>
        <w:tc>
          <w:tcPr>
            <w:tcW w:type="dxa" w:w="40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bCs/>
                <w:i w:val="false"/>
                <w:iCs w:val="false"/>
                <w:color w:val="000000"/>
                <w:sz w:val="22"/>
                <w:szCs w:val="22"/>
              </w:rPr>
              <w:t xml:space="preserve">Cross-tenant operations audit (NEW v2.0)</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Quarterly</w:t>
            </w:r>
          </w:p>
        </w:tc>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vAlign w:val="top"/>
          </w:tcPr>
          <w:p>
            <w:pPr>
              <w:spacing w:after="60"/>
            </w:pPr>
            <w:r>
              <w:rPr>
                <w:b w:val="false"/>
                <w:bCs w:val="false"/>
                <w:i w:val="false"/>
                <w:iCs w:val="false"/>
                <w:color w:val="000000"/>
                <w:sz w:val="22"/>
                <w:szCs w:val="22"/>
              </w:rPr>
              <w:t xml:space="preserve">Jay + Legal Counsel</w:t>
            </w:r>
          </w:p>
        </w:tc>
      </w:tr>
    </w:tbl>
    <w:p>
      <w:pPr>
        <w:spacing w:after="120"/>
      </w:pPr>
      <w:r>
        <w:t xml:space="preserve"/>
      </w:r>
    </w:p>
    <w:p>
      <w:pPr>
        <w:pStyle w:val="Heading2"/>
        <w:spacing w:after="120" w:before="240"/>
      </w:pPr>
      <w:r>
        <w:rPr>
          <w:b/>
          <w:bCs/>
          <w:color w:val="1F3864"/>
          <w:sz w:val="26"/>
          <w:szCs w:val="26"/>
        </w:rPr>
        <w:t xml:space="preserve">Our Standard</w:t>
      </w:r>
    </w:p>
    <w:p>
      <w:pPr>
        <w:spacing w:after="120"/>
      </w:pPr>
      <w:r>
        <w:t xml:space="preserve">The wellness industry has a long history of exploiting vulnerability for commercial gain. G4L exists because that approach has failed 35 million Americans living through Midlife Identity Loss.</w:t>
      </w:r>
    </w:p>
    <w:p>
      <w:pPr>
        <w:spacing w:after="120"/>
      </w:pPr>
      <w:r>
        <w:t xml:space="preserve">We hold ourselves to a different standard — not because regulation requires it, but because the people who trust us with their most honest stories deserve it.</w:t>
      </w:r>
    </w:p>
    <w:p>
      <w:pPr>
        <w:spacing w:after="120"/>
      </w:pPr>
      <w:r>
        <w:t xml:space="preserve">Every AI decision we make is documented here. Every change to this framework is dated and version-controlled. This document is available to any member, partner, foundation, or regulator who asks to see it — and is published on grintaforlife.com as a downloadable PDF without an email gate. The Personal AI for Human Flourishing positioning is what we mean when we say what we are; the multi-tenant governance commitments are how we hold the line as we scale across tenants.</w:t>
      </w:r>
    </w:p>
    <w:p>
      <w:pPr>
        <w:spacing w:after="120"/>
      </w:pPr>
      <w:r>
        <w:t xml:space="preserve">We built the Member Agent to hold a member's story with care, in every tenant, with structural data isolation as a guarantee not a promise. We built the Founder Agent to hold the founder's voice with consistency and to be the place where cross-tenant work happens under Jay's review. This framework is how we make sure both do — across every tenant, for every member, every day.</w:t>
      </w:r>
    </w:p>
    <w:p>
      <w:pPr>
        <w:pStyle w:val="Heading3"/>
        <w:spacing w:after="100" w:before="200"/>
      </w:pPr>
      <w:r>
        <w:rPr>
          <w:b/>
          <w:bCs/>
          <w:color w:val="1F3864"/>
          <w:sz w:val="22"/>
          <w:szCs w:val="22"/>
        </w:rPr>
        <w:t xml:space="preserve">Document control</w:t>
      </w:r>
    </w:p>
    <w:p>
      <w:pPr>
        <w:spacing w:after="40"/>
      </w:pPr>
      <w:r>
        <w:t xml:space="preserve">Version: 2.0</w:t>
      </w:r>
    </w:p>
    <w:p>
      <w:pPr>
        <w:spacing w:after="40"/>
      </w:pPr>
      <w:r>
        <w:t xml:space="preserve">Adopted: May 2026</w:t>
      </w:r>
    </w:p>
    <w:p>
      <w:pPr>
        <w:spacing w:after="40"/>
      </w:pPr>
      <w:r>
        <w:t xml:space="preserve">Next review: August 2026</w:t>
      </w:r>
    </w:p>
    <w:p>
      <w:pPr>
        <w:spacing w:after="40"/>
      </w:pPr>
      <w:r>
        <w:t xml:space="preserve">Aligned to: Pro Forma v4.6 · FMP v2.1 · Three Stages — Development + Capital Plan v3.1 SVG · Member Agent Tech Spec v2.0 (Multi-Tenant Additions) · Founder Agent Tech Spec v2.0 (Cross-Tenant Admin Additions) · Competitive Landscape Brief v1.2 · Memo v3.0 Changes Spec.</w:t>
      </w:r>
    </w:p>
    <w:p>
      <w:pPr>
        <w:spacing w:after="120"/>
      </w:pPr>
      <w:r>
        <w:t xml:space="preserve">Update history: v1.0 (May 2026) initial draft; v1.1 (May 2026) added Founder Agent constraints and Member Agent naming; v1.2 (May 2026) added grintaforlife.com publication; v2.0 (May 2026) added Multi-Tenant Governance, Personal AI for Human Flourishing positioning, per-tenant data isolation (Data Governance #7), cross-tenant k-anonymity (Research Ethics #5), Tenant Administrators governance role, three new review cadences, three new non-negotiable prohibitions, locale-specific crisis routing, vocabulary cascade (PIRF → IDQ four dimensions; Grinta Index → ID Score; G4L Intelligence Layer → separate Member Agent and Founder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8EEF7" w:color="auto" w:val="clear"/>
            <w:tcMar>
              <w:top w:type="dxa" w:w="120"/>
              <w:left w:type="dxa" w:w="160"/>
              <w:bottom w:type="dxa" w:w="120"/>
              <w:right w:type="dxa" w:w="160"/>
            </w:tcMar>
          </w:tcPr>
          <w:p>
            <w:pPr>
              <w:spacing w:after="60"/>
            </w:pPr>
            <w:r>
              <w:rPr>
                <w:b/>
                <w:bCs/>
                <w:color w:val="1F3864"/>
              </w:rPr>
              <w:t xml:space="preserve">Contact — </w:t>
            </w:r>
            <w:r>
              <w:t xml:space="preserve">Questions about this framework: grintaforlife.com/contact. Members can review and request changes to their data at any time via the same channel. Foundation partners and regulators are welcome to schedule a framework review with Jay directly.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Grinta for Life · AI Governance Framework · v2.0 · </w:t>
    </w: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2026-05-29T21:41:05.622Z</dcterms:created>
  <dcterms:modified xsi:type="dcterms:W3CDTF">2026-05-29T21:41:05.627Z</dcterms:modified>
</cp:coreProperties>
</file>

<file path=docProps/custom.xml><?xml version="1.0" encoding="utf-8"?>
<Properties xmlns="http://schemas.openxmlformats.org/officeDocument/2006/custom-properties" xmlns:vt="http://schemas.openxmlformats.org/officeDocument/2006/docPropsVTypes"/>
</file>