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60"/>
      </w:tblGrid>
      <w:tr>
        <w:tc>
          <w:tcPr>
            <w:tcW w:type="dxa" w:w="9760"/>
            <w:shd w:fill="374F6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32"/>
                <w:szCs w:val="32"/>
              </w:rPr>
              <w:t xml:space="preserve">G4L Decision Log</w:t>
            </w:r>
          </w:p>
          <w:p>
            <w:pPr>
              <w:spacing w:before="40"/>
            </w:pPr>
            <w:r>
              <w:rPr>
                <w:rFonts w:ascii="Barlow" w:cs="Barlow" w:eastAsia="Barlow" w:hAnsi="Barlow"/>
                <w:color w:val="FFFFFF"/>
                <w:sz w:val="17"/>
                <w:szCs w:val="17"/>
              </w:rPr>
              <w:t xml:space="preserve">The framework and platform build, decision by decision · living document · Owner: Jay · v1.3</w:t>
            </w:r>
          </w:p>
        </w:tc>
      </w:tr>
    </w:tbl>
    <w:p>
      <w:pPr>
        <w:spacing w:after="30"/>
      </w:pPr>
      <w:r>
        <w:rPr>
          <w:rFonts w:ascii="Barlow" w:cs="Barlow" w:eastAsia="Barlow" w:hAnsi="Barlow"/>
        </w:rPr>
        <w:t xml:space="preserve"/>
      </w:r>
    </w:p>
    <w:p>
      <w:pPr>
        <w:spacing w:after="60"/>
      </w:pPr>
      <w:r>
        <w:rPr>
          <w:rFonts w:ascii="Barlow" w:cs="Barlow" w:eastAsia="Barlow" w:hAnsi="Barlow"/>
          <w:color w:val="2A2A2A"/>
          <w:sz w:val="19"/>
          <w:szCs w:val="19"/>
        </w:rPr>
        <w:t xml:space="preserve">One entry per decision: what we decided, why, and what it means for the platform. Newest on top.</w:t>
      </w:r>
    </w:p>
    <w:tbl>
      <w:tblPr>
        <w:tblW w:type="dxa" w:w="9760"/>
        <w:tblBorders>
          <w:top w:val="single" w:color="E8E6E6" w:sz="2"/>
          <w:left w:val="single" w:color="E8E6E6" w:sz="2"/>
          <w:bottom w:val="single" w:color="E8E6E6" w:sz="2"/>
          <w:right w:val="single" w:color="E8E6E6" w:sz="2"/>
          <w:insideH w:val="single" w:color="E8E6E6" w:sz="2"/>
          <w:insideV w:val="single" w:color="E8E6E6" w:sz="2"/>
        </w:tblBorders>
      </w:tblPr>
      <w:tblGrid>
        <w:gridCol w:w="1050"/>
        <w:gridCol w:w="2750"/>
        <w:gridCol w:w="3260"/>
        <w:gridCol w:w="2700"/>
      </w:tblGrid>
      <w:tr>
        <w:trPr>
          <w:tblHeader/>
        </w:trPr>
        <w:tc>
          <w:tcPr>
            <w:tcW w:type="dxa" w:w="1050"/>
            <w:shd w:fill="374F6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2750"/>
            <w:shd w:fill="374F6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3260"/>
            <w:shd w:fill="374F6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Why / alternatives considered</w:t>
            </w:r>
          </w:p>
        </w:tc>
        <w:tc>
          <w:tcPr>
            <w:tcW w:type="dxa" w:w="2700"/>
            <w:shd w:fill="374F6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FFFFFF"/>
                <w:sz w:val="16"/>
                <w:szCs w:val="16"/>
              </w:rPr>
              <w:t xml:space="preserve">Platform impact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10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Raise compressed: all $545K closed by Sep 30 '26 — revenue-share closes Jun/Jul/Sep; impact-campaign commitments by Sep 30, collections complete by Dec '26. Fundraising ends Q3; build mode only.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An open round running 14 months is a distraction and a drain (founder experience); the total is small by our network's standards — close it fast. Alt: the modeled 14-month collection trickle.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None direct; capital arrives earlier than modeled, so the cash cushion rises in every month. Pro Forma v5.3.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10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Founder comp step pre-authorized: market salaries ($30K/mo combined, modeled from Mar '28) on a defined trigger — consecutive-month MRR, cash floor, payments current. Written into the deal and shown openly in the model.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Define 'when it's responsible' in numbers now so it never becomes a negotiation later. Alt: discretionary raises (awkward, opaque to funders).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Modeled in v5.3 (Assumptions C28); end-Yr3 cumulative cash ~$503K after the step (was ~$728K without).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10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Single-funder variant pre-cleared: $545K all revenue-share at 1.5x with accelerators (remaining cap due on acquisition / corporate-scale contract) and optional rate step-up. UFC stays open for inbound donations in all scenarios.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If one believer offers to fund the whole plan, say yes in the room — terms pre-made. Alt: improvise terms under deal pressure.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None until exercised; Funder Returns tab models both variants.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10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Operating agreement clarification — Greg's stake and role in Adjacent Lab to be papered. Status: open (Jay + Greg + Legal).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The Authoring Brief calls Greg co-founder; distribution discretion runs through the operating agreement. Paper it while everything is friendly.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Defines who signs what as platform IP accrues.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9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Program topology corrected: Reconnect is a short gateway; Rewire (mind) and Rebuild (body) run as parallel tracks dosed per member by IDQ + agent; Reclaim is the outcome state — The Loop, no fixed length. 360-day cycle retired as program law.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Founder correction; matches the Authoring Brief's 12 gated assets.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Dosing engine replaces linear progression; 'current focus' replaces phase; Reclaim recognition is launch scope.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9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Launch plan: charter MVP Oct '26 (12 gated assets live; first retakes Dec); paid public launch Jan 1 '27 into resolution season; companions + 1,000-Miles follow post-launch.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Fastest revenue, least investment; resolution season is the best acquisition moment; recovers the Authoring Brief's October target.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Billing live by Dec '26; launch slice = 12 gated assets + dosing v1 + dashboard-lite + agent v1 + Circle.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9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IRB decoupled from the product: the program charges from launch; research runs parallel under separate consent.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IRB gates research claims, not commerce; governance already separates consents.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Product telemetry = internal QI from day one; research feed activates at approval.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8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Platform build restructured AI-native: fractional senior + AI-assisted build; six months; Pro Forma v5.2.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Reviewers flagged the conventional plan as pre-AI; walks our platform-waves thesis.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Saves $67K; worst-case stress stays cash-positive; developer search = fractional-architect profile.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4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Reconnect gated assets to A/B variant test in Feasibility (Excavation+Window vs Doors+adapted S-DS Spark).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S-DS promising but validated on a non-midlife sample; founder data decides.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Assets = versioned, swappable content with variant support and per-variant telemetry.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4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Reclaim List preserved as required Reconnect output regardless of variant.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Downstream dependency: dashboard, First Step, agent context.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Stable data contract.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4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G4L-native instrument authored from self-discrepancy theory (not adapted S-DS wording). Open — Greg + Legal.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CC BY-NC-SA NonCommercial clause vs paid product.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None until instrument lands.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4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IDQ frozen as the longitudinal metric.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Longitudinal comparability.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Schema, scoring, 60-day cadence stable.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3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Charter members free through Feasibility and Pilot; convert at paid launch.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Research ethics + relationship.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Billing: free-cohort flag, conversion flow, founders tier.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3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Staged evaluation cycles adopted (Feasibility / Pilot / Full Implementation); 'Horizon' terminology retired.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Evaluate while building; call things what they are.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Build sequencing aligns to stages.</w:t>
            </w:r>
          </w:p>
        </w:tc>
      </w:tr>
      <w:tr>
        <w:tc>
          <w:tcPr>
            <w:tcW w:type="dxa" w:w="10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/>
                <w:bCs/>
                <w:color w:val="2A2A2A"/>
                <w:sz w:val="16"/>
                <w:szCs w:val="16"/>
              </w:rPr>
              <w:t xml:space="preserve">Jun 1 '26</w:t>
            </w:r>
          </w:p>
        </w:tc>
        <w:tc>
          <w:tcPr>
            <w:tcW w:type="dxa" w:w="2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Two named efforts: GRINTA! Impact Campaign ($250K via UFC) + G4L Platform Development ($295K revenue-share). Pillar/track/charitable/commercial labels dropped.</w:t>
            </w:r>
          </w:p>
        </w:tc>
        <w:tc>
          <w:tcPr>
            <w:tcW w:type="dxa" w:w="32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The funding mechanism defines each effort.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Barlow" w:cs="Barlow" w:eastAsia="Barlow" w:hAnsi="Barlow"/>
                <w:b w:val="false"/>
                <w:bCs w:val="false"/>
                <w:color w:val="2A2A2A"/>
                <w:sz w:val="16"/>
                <w:szCs w:val="16"/>
              </w:rPr>
              <w:t xml:space="preserve">Naming only.</w:t>
            </w:r>
          </w:p>
        </w:tc>
      </w:tr>
    </w:tbl>
    <w:p>
      <w:pPr>
        <w:spacing w:after="80"/>
      </w:pPr>
      <w:r>
        <w:rPr>
          <w:rFonts w:ascii="Barlow" w:cs="Barlow" w:eastAsia="Barlow" w:hAnsi="Barlow"/>
          <w:i/>
          <w:iCs/>
          <w:color w:val="2A2A2A"/>
          <w:sz w:val="16"/>
          <w:szCs w:val="16"/>
        </w:rPr>
        <w:t xml:space="preserve">To add an entry: date · decision in one sentence · why + what you considered · platform impact (or 'none').</w:t>
      </w:r>
    </w:p>
    <w:sectPr>
      <w:footerReference w:type="default" r:id="rId7"/>
      <w:pgSz w:w="12240" w:h="15840" w:orient="portrait"/>
      <w:pgMar w:top="1000" w:right="1240" w:bottom="10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rlow" w:cs="Barlow" w:eastAsia="Barlow" w:hAnsi="Barlow"/>
        <w:color w:val="374F63"/>
        <w:sz w:val="15"/>
        <w:szCs w:val="15"/>
      </w:rPr>
      <w:t xml:space="preserve">Grinta for Life · Decision Log v1.3 · </w:t>
    </w:r>
    <w:r>
      <w:rPr>
        <w:rFonts w:ascii="Barlow" w:cs="Barlow" w:eastAsia="Barlow" w:hAnsi="Barlow"/>
        <w:color w:val="374F63"/>
        <w:sz w:val="15"/>
        <w:szCs w:val="15"/>
      </w:rPr>
      <w:t xml:space="preserve">Page </w:t>
    </w:r>
    <w:r>
      <w:rPr>
        <w:rFonts w:ascii="Barlow" w:cs="Barlow" w:eastAsia="Barlow" w:hAnsi="Barlow"/>
        <w:color w:val="374F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2A2A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2026-06-05T21:37:26.241Z</dcterms:created>
  <dcterms:modified xsi:type="dcterms:W3CDTF">2026-06-05T21:37:26.241Z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