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374F63"/>
          <w:sz w:val="30"/>
          <w:szCs w:val="30"/>
        </w:rPr>
        <w:t xml:space="preserve">Grinta for Life — Member Agent Technical Specification — v2.0</w:t>
      </w:r>
    </w:p>
    <w:p>
      <w:pPr>
        <w:spacing w:after="120"/>
      </w:pPr>
      <w:r>
        <w:rPr>
          <w:b/>
          <w:bCs/>
          <w:color w:val="374F63"/>
          <w:sz w:val="24"/>
          <w:szCs w:val="24"/>
        </w:rPr>
        <w:t xml:space="preserve">Multi-Tenant Additions to v1.1</w:t>
      </w:r>
    </w:p>
    <w:p>
      <w:pPr>
        <w:spacing w:after="40"/>
      </w:pPr>
      <w:r>
        <w:t xml:space="preserve">Author: Jay Crain</w:t>
      </w:r>
    </w:p>
    <w:p>
      <w:pPr>
        <w:spacing w:after="40"/>
      </w:pPr>
      <w:r>
        <w:t xml:space="preserve">Date: May 2026</w:t>
      </w:r>
    </w:p>
    <w:p>
      <w:pPr>
        <w:spacing w:after="160"/>
      </w:pPr>
      <w:r>
        <w:t xml:space="preserve">Version: 2.0 (supplements v1.1; does not replace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E6E6" w:color="auto" w:val="clear"/>
            <w:tcMar>
              <w:top w:type="dxa" w:w="120"/>
              <w:left w:type="dxa" w:w="160"/>
              <w:bottom w:type="dxa" w:w="120"/>
              <w:right w:type="dxa" w:w="160"/>
            </w:tcMar>
          </w:tcPr>
          <w:p>
            <w:pPr>
              <w:spacing w:after="60"/>
            </w:pPr>
            <w:r>
              <w:rPr>
                <w:b/>
                <w:bCs/>
                <w:color w:val="374F63"/>
              </w:rPr>
              <w:t xml:space="preserve">How to read this Spec — </w:t>
            </w:r>
            <w:r>
              <w:t xml:space="preserve">This v2.0 document is a focused supplement to Member Agent Tech Spec v1.1 (May 2026). v1.1 remains the canonical baseline: the six-layer information model, the four operating moments, the voice and governance enforcement, the failure modes, the build sequence to platform launch in mid-October 2026. v2.0 does not restate v1.1. v2.0 adds the multi-tenant architecture that activates July 1, 2027 (Stage 2 Option B pull-forward per Pro Forma v4.6) and scales through Stage 3 (January 2028 – December 2029). Every v1.1 section header is referenced when v2.0 extends it; the v2.0 reader is assumed to have v1.1 open alongside.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E6E6" w:color="auto" w:val="clear"/>
            <w:tcMar>
              <w:top w:type="dxa" w:w="120"/>
              <w:left w:type="dxa" w:w="160"/>
              <w:bottom w:type="dxa" w:w="120"/>
              <w:right w:type="dxa" w:w="160"/>
            </w:tcMar>
          </w:tcPr>
          <w:p>
            <w:pPr>
              <w:spacing w:after="60"/>
            </w:pPr>
            <w:r>
              <w:rPr>
                <w:b/>
                <w:bCs/>
                <w:color w:val="374F63"/>
              </w:rPr>
              <w:t xml:space="preserve">What v2.0 adds (summary) — </w:t>
            </w:r>
            <w:r>
              <w:t xml:space="preserve">Explicit multi-tenant architecture across all six layers; tenant management schema (tenant, tenant_config, tenant_membership, tenant_administrator); per-tenant Layer 1 configuration; tenant-scoped Layer 3 and Layer 4 with row-level security; tenant context loading in Layer 5; tenant-aware Layer 6 persistence and audit logs; public tenant vs corporate tenant distinction; tenant provisioning workflow for Stage 3 corporate onboarding; cross-tenant admin operations boundary (Member Agent: zero cross-tenant access; cross-tenant admin lives in Founder Agent Tech Spec v2.0); multi-tenant failure modes; per-tenant AI Governance commitments (SOC2-grade isolation, locale-specific 988 routing, per-tenant voice register validation).</w:t>
            </w:r>
          </w:p>
        </w:tc>
      </w:tr>
    </w:tbl>
    <w:p>
      <w:pPr>
        <w:spacing w:after="240"/>
      </w:pPr>
      <w:r>
        <w:t xml:space="preserve"/>
      </w:r>
    </w:p>
    <w:p>
      <w:pPr>
        <w:pStyle w:val="Heading1"/>
        <w:spacing w:before="320" w:after="160"/>
      </w:pPr>
      <w:r>
        <w:rPr>
          <w:b/>
          <w:bCs/>
          <w:color w:val="374F63"/>
          <w:sz w:val="30"/>
          <w:szCs w:val="30"/>
        </w:rPr>
        <w:t xml:space="preserve">1. Why Multi-Tenant, Why Now</w:t>
      </w:r>
    </w:p>
    <w:p>
      <w:pPr>
        <w:pStyle w:val="Heading2"/>
        <w:spacing w:before="240" w:after="120"/>
      </w:pPr>
      <w:r>
        <w:rPr>
          <w:b/>
          <w:bCs/>
          <w:color w:val="374F63"/>
          <w:sz w:val="24"/>
          <w:szCs w:val="24"/>
        </w:rPr>
        <w:t xml:space="preserve">1.1 The architectural commitment</w:t>
      </w:r>
    </w:p>
    <w:p>
      <w:pPr>
        <w:spacing w:after="120"/>
      </w:pPr>
      <w:r>
        <w:t xml:space="preserve">The Member Agent is architected as the public-tenant agent of a multi-tenant Member Agent infrastructure. The G4L Platform — the Member-facing application that members onboard into and use to take IDQ retakes, complete gating assets, and converse with the Member Agent — ships as a single tenant (the public tenant) of an infrastructure that supports many tenants. Each tenant is a logically isolated container with its own member pool, its own Member Agent configuration, its own Circle community, and its own data isolation.</w:t>
      </w:r>
    </w:p>
    <w:p>
      <w:pPr>
        <w:spacing w:after="120"/>
      </w:pPr>
      <w:r>
        <w:t xml:space="preserve">This commitment was made in the Pro Forma v4.5 (now v4.6) Stage 2 architecture choice — multi-tenant from day one rather than refactoring later. The Member Agent v1.1 was designed and built with this commitment in the architecture, even though the Stage 1 Charter Member Program (June 15 – September 30, 2026) and the Stage 2 Member-facing platform launch (MVP October 1, 2026; Full v1 April 30, 2027) operate the public tenant only.</w:t>
      </w:r>
    </w:p>
    <w:p>
      <w:pPr>
        <w:pStyle w:val="Heading2"/>
        <w:spacing w:before="240" w:after="120"/>
      </w:pPr>
      <w:r>
        <w:rPr>
          <w:b/>
          <w:bCs/>
          <w:color w:val="374F63"/>
          <w:sz w:val="24"/>
          <w:szCs w:val="24"/>
        </w:rPr>
        <w:t xml:space="preserve">1.2 The activation timeline</w:t>
      </w:r>
    </w:p>
    <w:p>
      <w:pPr>
        <w:spacing w:after="120"/>
      </w:pPr>
      <w:r>
        <w:t xml:space="preserve">Multi-tenant capability becomes operational per the Pro Forma v4.6 Option B pull-forward:</w:t>
      </w:r>
    </w:p>
    <w:p>
      <w:pPr>
        <w:pStyle w:val="ListParagraph"/>
        <w:numPr>
          <w:ilvl w:val="0"/>
          <w:numId w:val="2"/>
        </w:numPr>
        <w:spacing w:after="80"/>
      </w:pPr>
      <w:r>
        <w:t xml:space="preserve">May 2026 – April 2027: Stage 2 Platform Buildout. Multi-tenant architecture is designed into the database schema, the agent runtime, and the system prompt loading mechanism from day one. The public tenant is the only tenant in operation.</w:t>
      </w:r>
    </w:p>
    <w:p>
      <w:pPr>
        <w:pStyle w:val="ListParagraph"/>
        <w:numPr>
          <w:ilvl w:val="0"/>
          <w:numId w:val="2"/>
        </w:numPr>
        <w:spacing w:after="80"/>
      </w:pPr>
      <w:r>
        <w:t xml:space="preserve">July 1, 2027: Multi-Tenant development sprint begins (Option B pull-forward; Pro Forma v4.6 Stage 2 line item). Adds the tenant management surfaces: tenant provisioning workflow, tenant admin dashboards, per-tenant Member Agent configuration UI, tenant onboarding scripts.</w:t>
      </w:r>
    </w:p>
    <w:p>
      <w:pPr>
        <w:pStyle w:val="ListParagraph"/>
        <w:numPr>
          <w:ilvl w:val="0"/>
          <w:numId w:val="2"/>
        </w:numPr>
        <w:spacing w:after="80"/>
      </w:pPr>
      <w:r>
        <w:t xml:space="preserve">Q4 2027: Multi-tenant capability operational. First F500 corporate tenant deals onboard as dedicated tenant instances. Sales engineering and BD have a working product to demonstrate.</w:t>
      </w:r>
    </w:p>
    <w:p>
      <w:pPr>
        <w:pStyle w:val="ListParagraph"/>
        <w:numPr>
          <w:ilvl w:val="0"/>
          <w:numId w:val="2"/>
        </w:numPr>
        <w:spacing w:after="80"/>
      </w:pPr>
      <w:r>
        <w:t xml:space="preserve">Stage 3 (January 2028 – December 2029): Corporate channel scales on the existing multi-tenant infrastructure. F500 cohorts in dedicated tenant instances. Startup wellness deploys in shared community (public tenant) or dedicated tenant instance (premium). Framework Licensing program launches; Certified Practitioners and Licensed Chapters operate as their own tenants where applicable.</w:t>
      </w:r>
    </w:p>
    <w:p>
      <w:pPr>
        <w:pStyle w:val="Heading2"/>
        <w:spacing w:before="240" w:after="120"/>
      </w:pPr>
      <w:r>
        <w:rPr>
          <w:b/>
          <w:bCs/>
          <w:color w:val="374F63"/>
          <w:sz w:val="24"/>
          <w:szCs w:val="24"/>
        </w:rPr>
        <w:t xml:space="preserve">1.3 The structural promise</w:t>
      </w:r>
    </w:p>
    <w:p>
      <w:pPr>
        <w:spacing w:after="120"/>
      </w:pPr>
      <w:r>
        <w:t xml:space="preserve">F500 corporate clients require SOC2-grade data isolation between their employees and other companies' employees. The architecture delivers this as a structural guarantee, not a policy promise. A corporate tenant's data — members, Member Profiles, Member Histories, IDQ retakes, Pulse Checks, gating asset completions, behavioral signals, conversation transcripts — cannot be read by any other tenant. The Member Agent operating inside a corporate tenant cannot see data from the public tenant or from any other corporate tenant. This is enforced at the database layer via row-level security, at the agent runtime via tenant context injection, and at the application layer via tenant-scoped session management.</w:t>
      </w:r>
    </w:p>
    <w:p>
      <w:pPr>
        <w:spacing w:after="120"/>
      </w:pPr>
      <w:r>
        <w:t xml:space="preserve">The Founder Agent (per Founder Agent Tech Spec v2.0, in progress) has cross-tenant admin capabilities — aggregate research queries, cross-tenant drift detection, per-tenant configuration management. These are NOT accessible to the Member Agent. The Member Agent operates inside a single tenant scope per session. This separation is the structural reason corporate clients can trust that their members' data does not flow into other tenants' Member Agent contexts.</w:t>
      </w:r>
    </w:p>
    <w:p>
      <w:pPr>
        <w:pBdr>
          <w:bottom w:val="single" w:color="CCCCCC" w:sz="4"/>
        </w:pBdr>
        <w:spacing w:after="200"/>
      </w:pPr>
      <w:r>
        <w:t xml:space="preserve"/>
      </w:r>
    </w:p>
    <w:p>
      <w:pPr>
        <w:pStyle w:val="Heading1"/>
        <w:spacing w:before="320" w:after="160"/>
      </w:pPr>
      <w:r>
        <w:rPr>
          <w:b/>
          <w:bCs/>
          <w:color w:val="374F63"/>
          <w:sz w:val="30"/>
          <w:szCs w:val="30"/>
        </w:rPr>
        <w:t xml:space="preserve">2. Tenant Management Schema (NEW v2.0)</w:t>
      </w:r>
    </w:p>
    <w:p>
      <w:pPr>
        <w:spacing w:after="120"/>
      </w:pPr>
      <w:r>
        <w:t xml:space="preserve">Four new tables hold the tenant model. These tables live in the Supabase warehouse alongside the v1.1 schemas. All v1.1 member-scoped tables (member_profile, idq_retake, pulse_check, flagship_completion, behavioral_signal, drift_event) gain a tenant_id column with a foreign key to tenant.tenant_id and an associated row-level security policy.</w:t>
      </w:r>
    </w:p>
    <w:p>
      <w:pPr>
        <w:pStyle w:val="Heading2"/>
        <w:spacing w:before="240" w:after="120"/>
      </w:pPr>
      <w:r>
        <w:rPr>
          <w:b/>
          <w:bCs/>
          <w:color w:val="374F63"/>
          <w:sz w:val="24"/>
          <w:szCs w:val="24"/>
        </w:rPr>
        <w:t xml:space="preserve">2.1 tenant</w:t>
      </w:r>
    </w:p>
    <w:p>
      <w:pPr>
        <w:spacing w:after="120"/>
      </w:pPr>
      <w:r>
        <w:t xml:space="preserve">The root table. One row per tenant. The public tenant is provisioned at platform launch (mid-October 2026) with tenant_id =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E6E6" w:color="auto"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create table tenant (</w:t>
            </w:r>
          </w:p>
          <w:p>
            <w:pPr>
              <w:spacing w:after="0"/>
            </w:pPr>
            <w:r>
              <w:rPr>
                <w:rFonts w:ascii="Courier New" w:cs="Courier New" w:eastAsia="Courier New" w:hAnsi="Courier New"/>
                <w:sz w:val="18"/>
                <w:szCs w:val="18"/>
              </w:rPr>
              <w:t xml:space="preserve">  tenant_id            text primary key,        -- e.g. 'public', 'acme-corp', 'practitioner-jane-doe'</w:t>
            </w:r>
          </w:p>
          <w:p>
            <w:pPr>
              <w:spacing w:after="0"/>
            </w:pPr>
            <w:r>
              <w:rPr>
                <w:rFonts w:ascii="Courier New" w:cs="Courier New" w:eastAsia="Courier New" w:hAnsi="Courier New"/>
                <w:sz w:val="18"/>
                <w:szCs w:val="18"/>
              </w:rPr>
              <w:t xml:space="preserve">  tenant_type          text not null,           -- 'public' | 'corporate' | 'practitioner' | 'chapter' | 'adjacent_nonprofit'</w:t>
            </w:r>
          </w:p>
          <w:p>
            <w:pPr>
              <w:spacing w:after="0"/>
            </w:pPr>
            <w:r>
              <w:rPr>
                <w:rFonts w:ascii="Courier New" w:cs="Courier New" w:eastAsia="Courier New" w:hAnsi="Courier New"/>
                <w:sz w:val="18"/>
                <w:szCs w:val="18"/>
              </w:rPr>
              <w:t xml:space="preserve">  display_name         text not null,</w:t>
            </w:r>
          </w:p>
          <w:p>
            <w:pPr>
              <w:spacing w:after="0"/>
            </w:pPr>
            <w:r>
              <w:rPr>
                <w:rFonts w:ascii="Courier New" w:cs="Courier New" w:eastAsia="Courier New" w:hAnsi="Courier New"/>
                <w:sz w:val="18"/>
                <w:szCs w:val="18"/>
              </w:rPr>
              <w:t xml:space="preserve">  legal_entity_name    text,                    -- for corporate tenants</w:t>
            </w:r>
          </w:p>
          <w:p>
            <w:pPr>
              <w:spacing w:after="0"/>
            </w:pPr>
            <w:r>
              <w:rPr>
                <w:rFonts w:ascii="Courier New" w:cs="Courier New" w:eastAsia="Courier New" w:hAnsi="Courier New"/>
                <w:sz w:val="18"/>
                <w:szCs w:val="18"/>
              </w:rPr>
              <w:t xml:space="preserve">  contract_status      text not null,           -- 'active' | 'paused' | 'terminated' | 'pilot'</w:t>
            </w:r>
          </w:p>
          <w:p>
            <w:pPr>
              <w:spacing w:after="0"/>
            </w:pPr>
            <w:r>
              <w:rPr>
                <w:rFonts w:ascii="Courier New" w:cs="Courier New" w:eastAsia="Courier New" w:hAnsi="Courier New"/>
                <w:sz w:val="18"/>
                <w:szCs w:val="18"/>
              </w:rPr>
              <w:t xml:space="preserve">  contract_start_at    timestamptz not null,</w:t>
            </w:r>
          </w:p>
          <w:p>
            <w:pPr>
              <w:spacing w:after="0"/>
            </w:pPr>
            <w:r>
              <w:rPr>
                <w:rFonts w:ascii="Courier New" w:cs="Courier New" w:eastAsia="Courier New" w:hAnsi="Courier New"/>
                <w:sz w:val="18"/>
                <w:szCs w:val="18"/>
              </w:rPr>
              <w:t xml:space="preserve">  contract_end_at      timestamptz,</w:t>
            </w:r>
          </w:p>
          <w:p>
            <w:pPr>
              <w:spacing w:after="0"/>
            </w:pPr>
            <w:r>
              <w:rPr>
                <w:rFonts w:ascii="Courier New" w:cs="Courier New" w:eastAsia="Courier New" w:hAnsi="Courier New"/>
                <w:sz w:val="18"/>
                <w:szCs w:val="18"/>
              </w:rPr>
              <w:t xml:space="preserve">  seat_cap             int,                     -- max members for corporate tenants; null for public</w:t>
            </w:r>
          </w:p>
          <w:p>
            <w:pPr>
              <w:spacing w:after="0"/>
            </w:pPr>
            <w:r>
              <w:rPr>
                <w:rFonts w:ascii="Courier New" w:cs="Courier New" w:eastAsia="Courier New" w:hAnsi="Courier New"/>
                <w:sz w:val="18"/>
                <w:szCs w:val="18"/>
              </w:rPr>
              <w:t xml:space="preserve">  locale_primary       text not null default 'en-US',</w:t>
            </w:r>
          </w:p>
          <w:p>
            <w:pPr>
              <w:spacing w:after="0"/>
            </w:pPr>
            <w:r>
              <w:rPr>
                <w:rFonts w:ascii="Courier New" w:cs="Courier New" w:eastAsia="Courier New" w:hAnsi="Courier New"/>
                <w:sz w:val="18"/>
                <w:szCs w:val="18"/>
              </w:rPr>
              <w:t xml:space="preserve">  crisis_routing_locale text,                   -- e.g. 'US' for 988, 'UK' for Samaritans, etc.</w:t>
            </w:r>
          </w:p>
          <w:p>
            <w:pPr>
              <w:spacing w:after="0"/>
            </w:pPr>
            <w:r>
              <w:rPr>
                <w:rFonts w:ascii="Courier New" w:cs="Courier New" w:eastAsia="Courier New" w:hAnsi="Courier New"/>
                <w:sz w:val="18"/>
                <w:szCs w:val="18"/>
              </w:rPr>
              <w:t xml:space="preserve">  data_residency       text not null default 'us-east-1',  -- for international deployments</w:t>
            </w:r>
          </w:p>
          <w:p>
            <w:pPr>
              <w:spacing w:after="0"/>
            </w:pPr>
            <w:r>
              <w:rPr>
                <w:rFonts w:ascii="Courier New" w:cs="Courier New" w:eastAsia="Courier New" w:hAnsi="Courier New"/>
                <w:sz w:val="18"/>
                <w:szCs w:val="18"/>
              </w:rPr>
              <w:t xml:space="preserve">  created_at           timestamptz not null default now(),</w:t>
            </w:r>
          </w:p>
          <w:p>
            <w:pPr>
              <w:spacing w:after="0"/>
            </w:pPr>
            <w:r>
              <w:rPr>
                <w:rFonts w:ascii="Courier New" w:cs="Courier New" w:eastAsia="Courier New" w:hAnsi="Courier New"/>
                <w:sz w:val="18"/>
                <w:szCs w:val="18"/>
              </w:rPr>
              <w:t xml:space="preserve">  metadata             jsonb default '{}'::jsonb</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create index on tenant (tenant_type) where contract_status = 'active';</w:t>
            </w:r>
          </w:p>
        </w:tc>
      </w:tr>
    </w:tbl>
    <w:p>
      <w:pPr>
        <w:pStyle w:val="Heading2"/>
        <w:spacing w:before="240" w:after="120"/>
      </w:pPr>
      <w:r>
        <w:rPr>
          <w:b/>
          <w:bCs/>
          <w:color w:val="374F63"/>
          <w:sz w:val="24"/>
          <w:szCs w:val="24"/>
        </w:rPr>
        <w:t xml:space="preserve">2.2 tenant_config</w:t>
      </w:r>
    </w:p>
    <w:p>
      <w:pPr>
        <w:spacing w:after="120"/>
      </w:pPr>
      <w:r>
        <w:t xml:space="preserve">Per-tenant Member Agent configuration. Layer 1 (Agent Identity &amp; Configuration) reads from this table at tenant initialization. A corporate tenant can have a customized system prompt (within the bounds of AI Governance Framework v2.0 non-negotiable prohibitions), additional prohibitions specific to the corporate context (e.g., never discuss compensation or HR matters; never recommend financial decisions), and a customized voice register slice.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E6E6" w:color="auto"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create table tenant_config (</w:t>
            </w:r>
          </w:p>
          <w:p>
            <w:pPr>
              <w:spacing w:after="0"/>
            </w:pPr>
            <w:r>
              <w:rPr>
                <w:rFonts w:ascii="Courier New" w:cs="Courier New" w:eastAsia="Courier New" w:hAnsi="Courier New"/>
                <w:sz w:val="18"/>
                <w:szCs w:val="18"/>
              </w:rPr>
              <w:t xml:space="preserve">  tenant_id                 text primary key references tenant(tenant_id) on delete restrict,</w:t>
            </w:r>
          </w:p>
          <w:p>
            <w:pPr>
              <w:spacing w:after="0"/>
            </w:pPr>
            <w:r>
              <w:rPr>
                <w:rFonts w:ascii="Courier New" w:cs="Courier New" w:eastAsia="Courier New" w:hAnsi="Courier New"/>
                <w:sz w:val="18"/>
                <w:szCs w:val="18"/>
              </w:rPr>
              <w:t xml:space="preserve">  system_prompt_overlay     text,                -- prepended to the v1.1 system prompt; cannot override governance prohibitions</w:t>
            </w:r>
          </w:p>
          <w:p>
            <w:pPr>
              <w:spacing w:after="0"/>
            </w:pPr>
            <w:r>
              <w:rPr>
                <w:rFonts w:ascii="Courier New" w:cs="Courier New" w:eastAsia="Courier New" w:hAnsi="Courier New"/>
                <w:sz w:val="18"/>
                <w:szCs w:val="18"/>
              </w:rPr>
              <w:t xml:space="preserve">  additional_prohibitions   text[],              -- tenant-specific prohibitions enforced at the agent runtime</w:t>
            </w:r>
          </w:p>
          <w:p>
            <w:pPr>
              <w:spacing w:after="0"/>
            </w:pPr>
            <w:r>
              <w:rPr>
                <w:rFonts w:ascii="Courier New" w:cs="Courier New" w:eastAsia="Courier New" w:hAnsi="Courier New"/>
                <w:sz w:val="18"/>
                <w:szCs w:val="18"/>
              </w:rPr>
              <w:t xml:space="preserve">  voice_register_overlay    text,                -- optional tenant-specific voice register notes; merged with v1.1 register</w:t>
            </w:r>
          </w:p>
          <w:p>
            <w:pPr>
              <w:spacing w:after="0"/>
            </w:pPr>
            <w:r>
              <w:rPr>
                <w:rFonts w:ascii="Courier New" w:cs="Courier New" w:eastAsia="Courier New" w:hAnsi="Courier New"/>
                <w:sz w:val="18"/>
                <w:szCs w:val="18"/>
              </w:rPr>
              <w:t xml:space="preserve">  branding_display_name     text,                -- tenant-facing display name in chat UI</w:t>
            </w:r>
          </w:p>
          <w:p>
            <w:pPr>
              <w:spacing w:after="0"/>
            </w:pPr>
            <w:r>
              <w:rPr>
                <w:rFonts w:ascii="Courier New" w:cs="Courier New" w:eastAsia="Courier New" w:hAnsi="Courier New"/>
                <w:sz w:val="18"/>
                <w:szCs w:val="18"/>
              </w:rPr>
              <w:t xml:space="preserve">  branding_color_primary    text,                -- hex color for tenant-facing UI accents</w:t>
            </w:r>
          </w:p>
          <w:p>
            <w:pPr>
              <w:spacing w:after="0"/>
            </w:pPr>
            <w:r>
              <w:rPr>
                <w:rFonts w:ascii="Courier New" w:cs="Courier New" w:eastAsia="Courier New" w:hAnsi="Courier New"/>
                <w:sz w:val="18"/>
                <w:szCs w:val="18"/>
              </w:rPr>
              <w:t xml:space="preserve">  ai_provider_override      text,                -- 'anthropic' (default) | 'azure-anthropic' | 'aws-bedrock-anthropic'</w:t>
            </w:r>
          </w:p>
          <w:p>
            <w:pPr>
              <w:spacing w:after="0"/>
            </w:pPr>
            <w:r>
              <w:rPr>
                <w:rFonts w:ascii="Courier New" w:cs="Courier New" w:eastAsia="Courier New" w:hAnsi="Courier New"/>
                <w:sz w:val="18"/>
                <w:szCs w:val="18"/>
              </w:rPr>
              <w:t xml:space="preserve">  ai_disclosure_locale      text default 'en-US',</w:t>
            </w:r>
          </w:p>
          <w:p>
            <w:pPr>
              <w:spacing w:after="0"/>
            </w:pPr>
            <w:r>
              <w:rPr>
                <w:rFonts w:ascii="Courier New" w:cs="Courier New" w:eastAsia="Courier New" w:hAnsi="Courier New"/>
                <w:sz w:val="18"/>
                <w:szCs w:val="18"/>
              </w:rPr>
              <w:t xml:space="preserve">  governance_version        text not null,       -- AI Governance Framework version applied (e.g. 'v2.0')</w:t>
            </w:r>
          </w:p>
          <w:p>
            <w:pPr>
              <w:spacing w:after="0"/>
            </w:pPr>
            <w:r>
              <w:rPr>
                <w:rFonts w:ascii="Courier New" w:cs="Courier New" w:eastAsia="Courier New" w:hAnsi="Courier New"/>
                <w:sz w:val="18"/>
                <w:szCs w:val="18"/>
              </w:rPr>
              <w:t xml:space="preserve">  effective_at              timestamptz not null default now(),</w:t>
            </w:r>
          </w:p>
          <w:p>
            <w:pPr>
              <w:spacing w:after="0"/>
            </w:pPr>
            <w:r>
              <w:rPr>
                <w:rFonts w:ascii="Courier New" w:cs="Courier New" w:eastAsia="Courier New" w:hAnsi="Courier New"/>
                <w:sz w:val="18"/>
                <w:szCs w:val="18"/>
              </w:rPr>
              <w:t xml:space="preserve">  approved_by               text not null,       -- 'jay-crain' or designated admin; cross-references audit log</w:t>
            </w:r>
          </w:p>
          <w:p>
            <w:pPr>
              <w:spacing w:after="0"/>
            </w:pPr>
            <w:r>
              <w:rPr>
                <w:rFonts w:ascii="Courier New" w:cs="Courier New" w:eastAsia="Courier New" w:hAnsi="Courier New"/>
                <w:sz w:val="18"/>
                <w:szCs w:val="18"/>
              </w:rPr>
              <w:t xml:space="preserve">  metadata                  jsonb default '{}'::jsonb</w:t>
            </w:r>
          </w:p>
          <w:p>
            <w:pPr>
              <w:spacing w:after="0"/>
            </w:pPr>
            <w:r>
              <w:rPr>
                <w:rFonts w:ascii="Courier New" w:cs="Courier New" w:eastAsia="Courier New" w:hAnsi="Courier New"/>
                <w:sz w:val="18"/>
                <w:szCs w:val="18"/>
              </w:rPr>
              <w:t xml:space="preserve">);</w:t>
            </w:r>
          </w:p>
        </w:tc>
      </w:tr>
    </w:tbl>
    <w:p>
      <w:pPr>
        <w:pStyle w:val="Heading2"/>
        <w:spacing w:before="240" w:after="120"/>
      </w:pPr>
      <w:r>
        <w:rPr>
          <w:b/>
          <w:bCs/>
          <w:color w:val="374F63"/>
          <w:sz w:val="24"/>
          <w:szCs w:val="24"/>
        </w:rPr>
        <w:t xml:space="preserve">2.3 tenant_membership</w:t>
      </w:r>
    </w:p>
    <w:p>
      <w:pPr>
        <w:spacing w:after="120"/>
      </w:pPr>
      <w:r>
        <w:t xml:space="preserve">Every member belongs to exactly one tenant. The public tenant holds the direct-consumer Members; corporate tenants hold their employer-sponsored Members; practitioner tenants hold the Members under that Certified Practitioner's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E6E6" w:color="auto"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create table tenant_membership (</w:t>
            </w:r>
          </w:p>
          <w:p>
            <w:pPr>
              <w:spacing w:after="0"/>
            </w:pPr>
            <w:r>
              <w:rPr>
                <w:rFonts w:ascii="Courier New" w:cs="Courier New" w:eastAsia="Courier New" w:hAnsi="Courier New"/>
                <w:sz w:val="18"/>
                <w:szCs w:val="18"/>
              </w:rPr>
              <w:t xml:space="preserve">  tenant_membership_id  uuid primary key default gen_random_uuid(),</w:t>
            </w:r>
          </w:p>
          <w:p>
            <w:pPr>
              <w:spacing w:after="0"/>
            </w:pPr>
            <w:r>
              <w:rPr>
                <w:rFonts w:ascii="Courier New" w:cs="Courier New" w:eastAsia="Courier New" w:hAnsi="Courier New"/>
                <w:sz w:val="18"/>
                <w:szCs w:val="18"/>
              </w:rPr>
              <w:t xml:space="preserve">  member_id             uuid not null references member_profile(member_id),</w:t>
            </w:r>
          </w:p>
          <w:p>
            <w:pPr>
              <w:spacing w:after="0"/>
            </w:pPr>
            <w:r>
              <w:rPr>
                <w:rFonts w:ascii="Courier New" w:cs="Courier New" w:eastAsia="Courier New" w:hAnsi="Courier New"/>
                <w:sz w:val="18"/>
                <w:szCs w:val="18"/>
              </w:rPr>
              <w:t xml:space="preserve">  tenant_id             text not null references tenant(tenant_id),</w:t>
            </w:r>
          </w:p>
          <w:p>
            <w:pPr>
              <w:spacing w:after="0"/>
            </w:pPr>
            <w:r>
              <w:rPr>
                <w:rFonts w:ascii="Courier New" w:cs="Courier New" w:eastAsia="Courier New" w:hAnsi="Courier New"/>
                <w:sz w:val="18"/>
                <w:szCs w:val="18"/>
              </w:rPr>
              <w:t xml:space="preserve">  joined_at             timestamptz not null default now(),</w:t>
            </w:r>
          </w:p>
          <w:p>
            <w:pPr>
              <w:spacing w:after="0"/>
            </w:pPr>
            <w:r>
              <w:rPr>
                <w:rFonts w:ascii="Courier New" w:cs="Courier New" w:eastAsia="Courier New" w:hAnsi="Courier New"/>
                <w:sz w:val="18"/>
                <w:szCs w:val="18"/>
              </w:rPr>
              <w:t xml:space="preserve">  left_at               timestamptz,</w:t>
            </w:r>
          </w:p>
          <w:p>
            <w:pPr>
              <w:spacing w:after="0"/>
            </w:pPr>
            <w:r>
              <w:rPr>
                <w:rFonts w:ascii="Courier New" w:cs="Courier New" w:eastAsia="Courier New" w:hAnsi="Courier New"/>
                <w:sz w:val="18"/>
                <w:szCs w:val="18"/>
              </w:rPr>
              <w:t xml:space="preserve">  status                text not null,          -- 'active' | 'paused' | 'departed' | 'transferred'</w:t>
            </w:r>
          </w:p>
          <w:p>
            <w:pPr>
              <w:spacing w:after="0"/>
            </w:pPr>
            <w:r>
              <w:rPr>
                <w:rFonts w:ascii="Courier New" w:cs="Courier New" w:eastAsia="Courier New" w:hAnsi="Courier New"/>
                <w:sz w:val="18"/>
                <w:szCs w:val="18"/>
              </w:rPr>
              <w:t xml:space="preserve">  seat_class            text,                   -- corporate seat class for billing reconciliation</w:t>
            </w:r>
          </w:p>
          <w:p>
            <w:pPr>
              <w:spacing w:after="0"/>
            </w:pPr>
            <w:r>
              <w:rPr>
                <w:rFonts w:ascii="Courier New" w:cs="Courier New" w:eastAsia="Courier New" w:hAnsi="Courier New"/>
                <w:sz w:val="18"/>
                <w:szCs w:val="18"/>
              </w:rPr>
              <w:t xml:space="preserve">  unique (member_id, tenant_id, status) where status = 'active'</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create index on tenant_membership (tenant_id, status);</w:t>
            </w:r>
          </w:p>
          <w:p>
            <w:pPr>
              <w:spacing w:after="0"/>
            </w:pPr>
            <w:r>
              <w:rPr>
                <w:rFonts w:ascii="Courier New" w:cs="Courier New" w:eastAsia="Courier New" w:hAnsi="Courier New"/>
                <w:sz w:val="18"/>
                <w:szCs w:val="18"/>
              </w:rPr>
              <w:t xml:space="preserve">create index on tenant_membership (member_id, status);</w:t>
            </w:r>
          </w:p>
        </w:tc>
      </w:tr>
    </w:tbl>
    <w:p>
      <w:pPr>
        <w:spacing w:after="120"/>
      </w:pPr>
      <w:r>
        <w:t xml:space="preserve">Operational rule: a Member can hold at most one active tenant_membership at a time. A Member moving from one corporate tenant to another (e.g., changing employers) triggers a transfer workflow handled in the Founder Agent (per Founder Agent Tech Spec v2.0 cross-tenant admin layer). The Member Agent does not write tenant_membership rows.</w:t>
      </w:r>
    </w:p>
    <w:p>
      <w:pPr>
        <w:pStyle w:val="Heading2"/>
        <w:spacing w:before="240" w:after="120"/>
      </w:pPr>
      <w:r>
        <w:rPr>
          <w:b/>
          <w:bCs/>
          <w:color w:val="374F63"/>
          <w:sz w:val="24"/>
          <w:szCs w:val="24"/>
        </w:rPr>
        <w:t xml:space="preserve">2.4 tenant_administrator</w:t>
      </w:r>
    </w:p>
    <w:p>
      <w:pPr>
        <w:spacing w:after="120"/>
      </w:pPr>
      <w:r>
        <w:t xml:space="preserve">Per-tenant administrators (corporate HR / Total Rewards leads, practitioner-tenant owners, chapter leads). These users access the Founder Agent's tenant admin surfaces; they are NOT Members and do not interact with the Member Agent. Stored here for completeness; full administrator workflows live in the Founder Agent Tech Spec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E6E6" w:color="auto"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create table tenant_administrator (</w:t>
            </w:r>
          </w:p>
          <w:p>
            <w:pPr>
              <w:spacing w:after="0"/>
            </w:pPr>
            <w:r>
              <w:rPr>
                <w:rFonts w:ascii="Courier New" w:cs="Courier New" w:eastAsia="Courier New" w:hAnsi="Courier New"/>
                <w:sz w:val="18"/>
                <w:szCs w:val="18"/>
              </w:rPr>
              <w:t xml:space="preserve">  tenant_admin_id    uuid primary key default gen_random_uuid(),</w:t>
            </w:r>
          </w:p>
          <w:p>
            <w:pPr>
              <w:spacing w:after="0"/>
            </w:pPr>
            <w:r>
              <w:rPr>
                <w:rFonts w:ascii="Courier New" w:cs="Courier New" w:eastAsia="Courier New" w:hAnsi="Courier New"/>
                <w:sz w:val="18"/>
                <w:szCs w:val="18"/>
              </w:rPr>
              <w:t xml:space="preserve">  tenant_id          text not null references tenant(tenant_id),</w:t>
            </w:r>
          </w:p>
          <w:p>
            <w:pPr>
              <w:spacing w:after="0"/>
            </w:pPr>
            <w:r>
              <w:rPr>
                <w:rFonts w:ascii="Courier New" w:cs="Courier New" w:eastAsia="Courier New" w:hAnsi="Courier New"/>
                <w:sz w:val="18"/>
                <w:szCs w:val="18"/>
              </w:rPr>
              <w:t xml:space="preserve">  hubspot_contact_id text not null,             -- foreign key to HubSpot CRM (admin contact, not Member contact)</w:t>
            </w:r>
          </w:p>
          <w:p>
            <w:pPr>
              <w:spacing w:after="0"/>
            </w:pPr>
            <w:r>
              <w:rPr>
                <w:rFonts w:ascii="Courier New" w:cs="Courier New" w:eastAsia="Courier New" w:hAnsi="Courier New"/>
                <w:sz w:val="18"/>
                <w:szCs w:val="18"/>
              </w:rPr>
              <w:t xml:space="preserve">  display_name       text not null,</w:t>
            </w:r>
          </w:p>
          <w:p>
            <w:pPr>
              <w:spacing w:after="0"/>
            </w:pPr>
            <w:r>
              <w:rPr>
                <w:rFonts w:ascii="Courier New" w:cs="Courier New" w:eastAsia="Courier New" w:hAnsi="Courier New"/>
                <w:sz w:val="18"/>
                <w:szCs w:val="18"/>
              </w:rPr>
              <w:t xml:space="preserve">  email              text not null,</w:t>
            </w:r>
          </w:p>
          <w:p>
            <w:pPr>
              <w:spacing w:after="0"/>
            </w:pPr>
            <w:r>
              <w:rPr>
                <w:rFonts w:ascii="Courier New" w:cs="Courier New" w:eastAsia="Courier New" w:hAnsi="Courier New"/>
                <w:sz w:val="18"/>
                <w:szCs w:val="18"/>
              </w:rPr>
              <w:t xml:space="preserve">  role               text not null,             -- 'tenant_owner' | 'tenant_admin' | 'tenant_observer'</w:t>
            </w:r>
          </w:p>
          <w:p>
            <w:pPr>
              <w:spacing w:after="0"/>
            </w:pPr>
            <w:r>
              <w:rPr>
                <w:rFonts w:ascii="Courier New" w:cs="Courier New" w:eastAsia="Courier New" w:hAnsi="Courier New"/>
                <w:sz w:val="18"/>
                <w:szCs w:val="18"/>
              </w:rPr>
              <w:t xml:space="preserve">  granted_at         timestamptz not null default now(),</w:t>
            </w:r>
          </w:p>
          <w:p>
            <w:pPr>
              <w:spacing w:after="0"/>
            </w:pPr>
            <w:r>
              <w:rPr>
                <w:rFonts w:ascii="Courier New" w:cs="Courier New" w:eastAsia="Courier New" w:hAnsi="Courier New"/>
                <w:sz w:val="18"/>
                <w:szCs w:val="18"/>
              </w:rPr>
              <w:t xml:space="preserve">  revoked_at         timestamptz,</w:t>
            </w:r>
          </w:p>
          <w:p>
            <w:pPr>
              <w:spacing w:after="0"/>
            </w:pPr>
            <w:r>
              <w:rPr>
                <w:rFonts w:ascii="Courier New" w:cs="Courier New" w:eastAsia="Courier New" w:hAnsi="Courier New"/>
                <w:sz w:val="18"/>
                <w:szCs w:val="18"/>
              </w:rPr>
              <w:t xml:space="preserve">  metadata           jsonb default '{}'::jsonb</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create index on tenant_administrator (tenant_id) where revoked_at is null;</w:t>
            </w:r>
          </w:p>
        </w:tc>
      </w:tr>
    </w:tbl>
    <w:p>
      <w:pPr>
        <w:pStyle w:val="Heading2"/>
        <w:spacing w:before="240" w:after="120"/>
      </w:pPr>
      <w:r>
        <w:rPr>
          <w:b/>
          <w:bCs/>
          <w:color w:val="374F63"/>
          <w:sz w:val="24"/>
          <w:szCs w:val="24"/>
        </w:rPr>
        <w:t xml:space="preserve">2.5 Row-level security policies</w:t>
      </w:r>
    </w:p>
    <w:p>
      <w:pPr>
        <w:spacing w:after="120"/>
      </w:pPr>
      <w:r>
        <w:t xml:space="preserve">Every member-scoped table (the v1.1 schemas) gains a tenant_id column and an RLS policy. Application code never queries these tables without setting the tenant_id session variable first. The agent runtime sets the tenant_id at the start of every conversation (Layer 5 Conversation Context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E6E6" w:color="auto"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 example RLS policy on member_profile (replicated across all member-scoped tables)</w:t>
            </w:r>
          </w:p>
          <w:p>
            <w:pPr>
              <w:spacing w:after="0"/>
            </w:pPr>
            <w:r>
              <w:rPr>
                <w:rFonts w:ascii="Courier New" w:cs="Courier New" w:eastAsia="Courier New" w:hAnsi="Courier New"/>
                <w:sz w:val="18"/>
                <w:szCs w:val="18"/>
              </w:rPr>
              <w:t xml:space="preserve">alter table member_profile add column tenant_id text not null default 'public';</w:t>
            </w:r>
          </w:p>
          <w:p>
            <w:pPr>
              <w:spacing w:after="0"/>
            </w:pPr>
            <w:r>
              <w:rPr>
                <w:rFonts w:ascii="Courier New" w:cs="Courier New" w:eastAsia="Courier New" w:hAnsi="Courier New"/>
                <w:sz w:val="18"/>
                <w:szCs w:val="18"/>
              </w:rPr>
              <w:t xml:space="preserve">alter table member_profile add constraint member_profile_tenant_fk</w:t>
            </w:r>
          </w:p>
          <w:p>
            <w:pPr>
              <w:spacing w:after="0"/>
            </w:pPr>
            <w:r>
              <w:rPr>
                <w:rFonts w:ascii="Courier New" w:cs="Courier New" w:eastAsia="Courier New" w:hAnsi="Courier New"/>
                <w:sz w:val="18"/>
                <w:szCs w:val="18"/>
              </w:rPr>
              <w:t xml:space="preserve">  foreign key (tenant_id) references tenant(tenant_id);</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alter table member_profile enable row level security;</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create policy member_profile_tenant_isolation on member_profile</w:t>
            </w:r>
          </w:p>
          <w:p>
            <w:pPr>
              <w:spacing w:after="0"/>
            </w:pPr>
            <w:r>
              <w:rPr>
                <w:rFonts w:ascii="Courier New" w:cs="Courier New" w:eastAsia="Courier New" w:hAnsi="Courier New"/>
                <w:sz w:val="18"/>
                <w:szCs w:val="18"/>
              </w:rPr>
              <w:t xml:space="preserve">  using (tenant_id = current_setting('app.current_tenant_id', true));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the agent runtime executes this at session start:</w:t>
            </w:r>
          </w:p>
          <w:p>
            <w:pPr>
              <w:spacing w:after="0"/>
            </w:pPr>
            <w:r>
              <w:rPr>
                <w:rFonts w:ascii="Courier New" w:cs="Courier New" w:eastAsia="Courier New" w:hAnsi="Courier New"/>
                <w:sz w:val="18"/>
                <w:szCs w:val="18"/>
              </w:rPr>
              <w:t xml:space="preserve">select set_config('app.current_tenant_id', $1, true);  -- $1 = tenant_id from tenant_membership lookup</w:t>
            </w:r>
          </w:p>
        </w:tc>
      </w:tr>
    </w:tbl>
    <w:p>
      <w:pPr>
        <w:spacing w:after="120"/>
      </w:pPr>
      <w:r>
        <w:t xml:space="preserve">RLS is enforced at the database layer. The Member Agent's application code cannot bypass RLS even if a programming error attempts to query across tenants — the database returns zero rows for any tenant_id mismatch. This is the load-bearing structural guarantee.</w:t>
      </w:r>
    </w:p>
    <w:p>
      <w:pPr>
        <w:pBdr>
          <w:bottom w:val="single" w:color="CCCCCC" w:sz="4"/>
        </w:pBdr>
        <w:spacing w:after="200"/>
      </w:pPr>
      <w:r>
        <w:t xml:space="preserve"/>
      </w:r>
    </w:p>
    <w:p>
      <w:pPr>
        <w:pStyle w:val="Heading1"/>
        <w:spacing w:before="320" w:after="160"/>
      </w:pPr>
      <w:r>
        <w:rPr>
          <w:b/>
          <w:bCs/>
          <w:color w:val="374F63"/>
          <w:sz w:val="30"/>
          <w:szCs w:val="30"/>
        </w:rPr>
        <w:t xml:space="preserve">3. Layer-by-Layer Multi-Tenant Additions</w:t>
      </w:r>
    </w:p>
    <w:p>
      <w:pPr>
        <w:spacing w:after="120"/>
      </w:pPr>
      <w:r>
        <w:t xml:space="preserve">Each v1.1 layer is extended below with the multi-tenant additions. Section numbers correspond to v1.1 Section 3.x (Layer 1 = 3.1, Layer 2 = 3.2, etc.) so a reader can navigate v1.1 and v2.0 in parallel.</w:t>
      </w:r>
    </w:p>
    <w:p>
      <w:pPr>
        <w:pStyle w:val="Heading2"/>
        <w:spacing w:before="240" w:after="120"/>
      </w:pPr>
      <w:r>
        <w:rPr>
          <w:b/>
          <w:bCs/>
          <w:color w:val="374F63"/>
          <w:sz w:val="24"/>
          <w:szCs w:val="24"/>
        </w:rPr>
        <w:t xml:space="preserve">3.1 Layer 1 — Agent Identity &amp; Configuration (v2.0 additions)</w:t>
      </w:r>
    </w:p>
    <w:p>
      <w:pPr>
        <w:spacing w:after="120"/>
      </w:pPr>
      <w:r>
        <w:t xml:space="preserve">v1.1 defines Layer 1 as the agent's "self" — voice rules, AI Governance prohibitions, Independence Guarantee posture, 988 protocol, reflect-and-route patterns, AI disclosure first line. Loaded once at agent initialization; constant across all conversations for that agent instance.</w:t>
      </w:r>
    </w:p>
    <w:p>
      <w:pPr>
        <w:spacing w:after="120"/>
      </w:pPr>
      <w:r>
        <w:t xml:space="preserve">v2.0 adds per-tenant Layer 1 composition. The agent runtime loads Layer 1 as the composition of (a) the v1.1 base system prompt (the canonical Member Agent system prompt), plus (b) the tenant's system_prompt_overlay (from tenant_config), plus (c) the tenant's additional_prohibitions appended to the v1.1 GOVERNANCE PROHIBITIONS section. The composition order is strict: the overlay cannot weaken any v1.1 non-negotiable prohibition; the overlay can only add additional prohibitions or refine the voice register within the bounds of the AI Governance Framework v2.0.</w:t>
      </w:r>
    </w:p>
    <w:p>
      <w:pPr>
        <w:pStyle w:val="Heading3"/>
        <w:spacing w:before="200" w:after="100"/>
      </w:pPr>
      <w:r>
        <w:rPr>
          <w:b/>
          <w:bCs/>
          <w:color w:val="374F63"/>
          <w:sz w:val="20"/>
          <w:szCs w:val="20"/>
        </w:rPr>
        <w:t xml:space="preserve">Composition rules</w:t>
      </w:r>
    </w:p>
    <w:p>
      <w:pPr>
        <w:pStyle w:val="ListParagraph"/>
        <w:numPr>
          <w:ilvl w:val="0"/>
          <w:numId w:val="2"/>
        </w:numPr>
        <w:spacing w:after="80"/>
      </w:pPr>
      <w:r>
        <w:t xml:space="preserve">v1.1 base prompt is loaded first. The MEMBER_AGENT_SYSTEM_PROMPT constant from v1.1 §3.1 Storage.</w:t>
      </w:r>
    </w:p>
    <w:p>
      <w:pPr>
        <w:pStyle w:val="ListParagraph"/>
        <w:numPr>
          <w:ilvl w:val="0"/>
          <w:numId w:val="2"/>
        </w:numPr>
        <w:spacing w:after="80"/>
      </w:pPr>
      <w:r>
        <w:t xml:space="preserve">tenant_config.system_prompt_overlay is appended after the v1.1 base. Cannot include text that conflicts with v1.1 governance prohibitions; agent runtime validates at load time.</w:t>
      </w:r>
    </w:p>
    <w:p>
      <w:pPr>
        <w:pStyle w:val="ListParagraph"/>
        <w:numPr>
          <w:ilvl w:val="0"/>
          <w:numId w:val="2"/>
        </w:numPr>
        <w:spacing w:after="80"/>
      </w:pPr>
      <w:r>
        <w:t xml:space="preserve">tenant_config.additional_prohibitions (text[]) is appended to the GOVERNANCE PROHIBITIONS section of the composed prompt as additional 'Never...' lines. Example for an F500 corporate tenant: 'Never discuss compensation or HR matters. Route to the corporate tenant admin.' Example for a Certified Practitioner tenant: 'Never coach the Member outside the framework; route coaching questions to the practitioner directly.'</w:t>
      </w:r>
    </w:p>
    <w:p>
      <w:pPr>
        <w:pStyle w:val="ListParagraph"/>
        <w:numPr>
          <w:ilvl w:val="0"/>
          <w:numId w:val="2"/>
        </w:numPr>
        <w:spacing w:after="80"/>
      </w:pPr>
      <w:r>
        <w:t xml:space="preserve">tenant_config.voice_register_overlay (optional) is merged into the VOICE section as a tenant-specific note. Bounded by Brand Standards v2.0 (in progress): can adjust register granularity but cannot override the Member-facing register's core constraints (warm, relational, member-paced, listen before reflecting, etc.).</w:t>
      </w:r>
    </w:p>
    <w:p>
      <w:pPr>
        <w:pStyle w:val="ListParagraph"/>
        <w:numPr>
          <w:ilvl w:val="0"/>
          <w:numId w:val="2"/>
        </w:numPr>
        <w:spacing w:after="80"/>
      </w:pPr>
      <w:r>
        <w:t xml:space="preserve">AI disclosure first line is composed with the tenant's branding_display_name. For the public tenant: "This conversation is guided by AI. Everything you share shapes your G4L experience..." For an Acme Corp tenant: "This conversation is guided by AI. Everything you share shapes your Acme Corp G4L experience..."</w:t>
      </w:r>
    </w:p>
    <w:p>
      <w:pPr>
        <w:pStyle w:val="Heading3"/>
        <w:spacing w:before="200" w:after="100"/>
      </w:pPr>
      <w:r>
        <w:rPr>
          <w:b/>
          <w:bCs/>
          <w:color w:val="374F63"/>
          <w:sz w:val="20"/>
          <w:szCs w:val="20"/>
        </w:rPr>
        <w:t xml:space="preserve">Composition validation</w:t>
      </w:r>
    </w:p>
    <w:p>
      <w:pPr>
        <w:spacing w:after="120"/>
      </w:pPr>
      <w:r>
        <w:t xml:space="preserve">Every tenant_config.system_prompt_overlay and tenant_config.additional_prohibitions row is validated against the AI Governance Framework v2.0 non-negotiable list at insert/update time and at agent runtime load. Validation failures block the configuration from going live; the tenant continues to run on the previously-validated config until the new one passes.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E6E6" w:color="auto"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 pseudocode: agent runtime Layer 1 composition</w:t>
            </w:r>
          </w:p>
          <w:p>
            <w:pPr>
              <w:spacing w:after="0"/>
            </w:pPr>
            <w:r>
              <w:rPr>
                <w:rFonts w:ascii="Courier New" w:cs="Courier New" w:eastAsia="Courier New" w:hAnsi="Courier New"/>
                <w:sz w:val="18"/>
                <w:szCs w:val="18"/>
              </w:rPr>
              <w:t xml:space="preserve">async function loadLayer1(tenantId: string): Promise&lt;string&gt; {</w:t>
            </w:r>
          </w:p>
          <w:p>
            <w:pPr>
              <w:spacing w:after="0"/>
            </w:pPr>
            <w:r>
              <w:rPr>
                <w:rFonts w:ascii="Courier New" w:cs="Courier New" w:eastAsia="Courier New" w:hAnsi="Courier New"/>
                <w:sz w:val="18"/>
                <w:szCs w:val="18"/>
              </w:rPr>
              <w:t xml:space="preserve">  const base = MEMBER_AGENT_SYSTEM_PROMPT;  // from v1.1 §3.1</w:t>
            </w:r>
          </w:p>
          <w:p>
            <w:pPr>
              <w:spacing w:after="0"/>
            </w:pPr>
            <w:r>
              <w:rPr>
                <w:rFonts w:ascii="Courier New" w:cs="Courier New" w:eastAsia="Courier New" w:hAnsi="Courier New"/>
                <w:sz w:val="18"/>
                <w:szCs w:val="18"/>
              </w:rPr>
              <w:t xml:space="preserve">  const tenantConfig = await loadTenantConfig(tenantId);</w:t>
            </w:r>
          </w:p>
          <w:p>
            <w:pPr>
              <w:spacing w:after="0"/>
            </w:pPr>
            <w:r>
              <w:rPr>
                <w:rFonts w:ascii="Courier New" w:cs="Courier New" w:eastAsia="Courier New" w:hAnsi="Courier New"/>
                <w:sz w:val="18"/>
                <w:szCs w:val="18"/>
              </w:rPr>
              <w:t xml:space="preserve">  await validateOverlayAgainstGovernance(tenantConfig);  // throws if any non-negotiable is violated</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const overlay = tenantConfig.system_prompt_overlay ?? '';</w:t>
            </w:r>
          </w:p>
          <w:p>
            <w:pPr>
              <w:spacing w:after="0"/>
            </w:pPr>
            <w:r>
              <w:rPr>
                <w:rFonts w:ascii="Courier New" w:cs="Courier New" w:eastAsia="Courier New" w:hAnsi="Courier New"/>
                <w:sz w:val="18"/>
                <w:szCs w:val="18"/>
              </w:rPr>
              <w:t xml:space="preserve">  const additionalProhibitions = (tenantConfig.additional_prohibitions ?? [])</w:t>
            </w:r>
          </w:p>
          <w:p>
            <w:pPr>
              <w:spacing w:after="0"/>
            </w:pPr>
            <w:r>
              <w:rPr>
                <w:rFonts w:ascii="Courier New" w:cs="Courier New" w:eastAsia="Courier New" w:hAnsi="Courier New"/>
                <w:sz w:val="18"/>
                <w:szCs w:val="18"/>
              </w:rPr>
              <w:t xml:space="preserve">    .map(prohibition =&gt; `- ${prohibition}`)</w:t>
            </w:r>
          </w:p>
          <w:p>
            <w:pPr>
              <w:spacing w:after="0"/>
            </w:pPr>
            <w:r>
              <w:rPr>
                <w:rFonts w:ascii="Courier New" w:cs="Courier New" w:eastAsia="Courier New" w:hAnsi="Courier New"/>
                <w:sz w:val="18"/>
                <w:szCs w:val="18"/>
              </w:rPr>
              <w:t xml:space="preserve">    .join('\n');</w:t>
            </w:r>
          </w:p>
          <w:p>
            <w:pPr>
              <w:spacing w:after="0"/>
            </w:pPr>
            <w:r>
              <w:rPr>
                <w:rFonts w:ascii="Courier New" w:cs="Courier New" w:eastAsia="Courier New" w:hAnsi="Courier New"/>
                <w:sz w:val="18"/>
                <w:szCs w:val="18"/>
              </w:rPr>
              <w:t xml:space="preserve">  const aiDisclosure = composeAIDisclosure(tenantConfig.branding_display_name, tenantConfig.ai_disclosure_locale);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return [</w:t>
            </w:r>
          </w:p>
          <w:p>
            <w:pPr>
              <w:spacing w:after="0"/>
            </w:pPr>
            <w:r>
              <w:rPr>
                <w:rFonts w:ascii="Courier New" w:cs="Courier New" w:eastAsia="Courier New" w:hAnsi="Courier New"/>
                <w:sz w:val="18"/>
                <w:szCs w:val="18"/>
              </w:rPr>
              <w:t xml:space="preserve">    base,</w:t>
            </w:r>
          </w:p>
          <w:p>
            <w:pPr>
              <w:spacing w:after="0"/>
            </w:pPr>
            <w:r>
              <w:rPr>
                <w:rFonts w:ascii="Courier New" w:cs="Courier New" w:eastAsia="Courier New" w:hAnsi="Courier New"/>
                <w:sz w:val="18"/>
                <w:szCs w:val="18"/>
              </w:rPr>
              <w:t xml:space="preserve">    overlay ? `\nTENANT OVERLAY (${tenantId}):\n${overlay}` : '',</w:t>
            </w:r>
          </w:p>
          <w:p>
            <w:pPr>
              <w:spacing w:after="0"/>
            </w:pPr>
            <w:r>
              <w:rPr>
                <w:rFonts w:ascii="Courier New" w:cs="Courier New" w:eastAsia="Courier New" w:hAnsi="Courier New"/>
                <w:sz w:val="18"/>
                <w:szCs w:val="18"/>
              </w:rPr>
              <w:t xml:space="preserve">    additionalProhibitions ? `\nADDITIONAL TENANT PROHIBITIONS:\n${additionalProhibitions}` : '',</w:t>
            </w:r>
          </w:p>
          <w:p>
            <w:pPr>
              <w:spacing w:after="0"/>
            </w:pPr>
            <w:r>
              <w:rPr>
                <w:rFonts w:ascii="Courier New" w:cs="Courier New" w:eastAsia="Courier New" w:hAnsi="Courier New"/>
                <w:sz w:val="18"/>
                <w:szCs w:val="18"/>
              </w:rPr>
              <w:t xml:space="preserve">    `\nAI DISCLOSURE FIRST LINE:\n${aiDisclosure}`,</w:t>
            </w:r>
          </w:p>
          <w:p>
            <w:pPr>
              <w:spacing w:after="0"/>
            </w:pPr>
            <w:r>
              <w:rPr>
                <w:rFonts w:ascii="Courier New" w:cs="Courier New" w:eastAsia="Courier New" w:hAnsi="Courier New"/>
                <w:sz w:val="18"/>
                <w:szCs w:val="18"/>
              </w:rPr>
              <w:t xml:space="preserve">  ].join('\n');</w:t>
            </w:r>
          </w:p>
          <w:p>
            <w:pPr>
              <w:spacing w:after="0"/>
            </w:pPr>
            <w:r>
              <w:rPr>
                <w:rFonts w:ascii="Courier New" w:cs="Courier New" w:eastAsia="Courier New" w:hAnsi="Courier New"/>
                <w:sz w:val="18"/>
                <w:szCs w:val="18"/>
              </w:rPr>
              <w:t xml:space="preserve">}</w:t>
            </w:r>
          </w:p>
        </w:tc>
      </w:tr>
    </w:tbl>
    <w:p>
      <w:pPr>
        <w:pStyle w:val="Heading3"/>
        <w:spacing w:before="200" w:after="100"/>
      </w:pPr>
      <w:r>
        <w:rPr>
          <w:b/>
          <w:bCs/>
          <w:color w:val="374F63"/>
          <w:sz w:val="20"/>
          <w:szCs w:val="20"/>
        </w:rPr>
        <w:t xml:space="preserve">Locale-specific crisis routing</w:t>
      </w:r>
    </w:p>
    <w:p>
      <w:pPr>
        <w:spacing w:after="120"/>
      </w:pPr>
      <w:r>
        <w:t xml:space="preserve">v1.1 §3.1 988 protocol is US-only. v2.0 generalizes to a tenant-locale crisis routing table. The agent runtime looks up the appropriate crisis hotline number and phrasing based on tenant.crisis_routing_locale at session start and substitutes it into the system prompt's crisis routing section. The default for tenant.crisis_routing_locale = 'US' is the v1.1 988 reference. UK tenants route to Samaritans (116 123); Canadian tenants to 988; Australian tenants to Lifeline Australia (13 11 14); etc. The locale table is maintained in the application code and version-controlled under AI Governance Framework v2.0.</w:t>
      </w:r>
    </w:p>
    <w:p>
      <w:pPr>
        <w:pStyle w:val="Heading2"/>
        <w:spacing w:before="240" w:after="120"/>
      </w:pPr>
      <w:r>
        <w:rPr>
          <w:b/>
          <w:bCs/>
          <w:color w:val="374F63"/>
          <w:sz w:val="24"/>
          <w:szCs w:val="24"/>
        </w:rPr>
        <w:t xml:space="preserve">3.2 Layer 2 — Program Knowledge Corpus (v2.0 additions)</w:t>
      </w:r>
    </w:p>
    <w:p>
      <w:pPr>
        <w:spacing w:after="120"/>
      </w:pPr>
      <w:r>
        <w:t xml:space="preserve">v1.1 Layer 2 holds the core program corpus (4Rs, Atlas, IDQ, ID Score bands, SDT, Lorig &amp; Holman, CDSMP, Self Checks) plus Greg Welk's three sub-corpora (Concept Map, 12 Science Checks, 7 Topical Syntheses). v1.1 Layer 2 is shared across all members and is static-per-update.</w:t>
      </w:r>
    </w:p>
    <w:p>
      <w:pPr>
        <w:spacing w:after="120"/>
      </w:pPr>
      <w:r>
        <w:t xml:space="preserve">v2.0 v1.1 Layer 2 remains the core: the public tenant's full Layer 2 is the canonical G4L Program Knowledge Corpus. Corporate tenants and practitioner tenants inherit the public tenant's Layer 2 by default. Tenants MAY extend Layer 2 with tenant-specific addenda (e.g., an F500 corporate tenant may add internal cultural framing for how the framework maps to their leadership development language, or specific Atlas asset emphasis aligned to their executive coaching program). Tenant addenda are stored as additional program_knowledge rows tagged with tenant_id.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E6E6" w:color="auto"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alter table program_knowledge add column tenant_id text not null default 'public';</w:t>
            </w:r>
          </w:p>
          <w:p>
            <w:pPr>
              <w:spacing w:after="0"/>
            </w:pPr>
            <w:r>
              <w:rPr>
                <w:rFonts w:ascii="Courier New" w:cs="Courier New" w:eastAsia="Courier New" w:hAnsi="Courier New"/>
                <w:sz w:val="18"/>
                <w:szCs w:val="18"/>
              </w:rPr>
              <w:t xml:space="preserve">alter table program_knowledge add constraint program_knowledge_tenant_fk</w:t>
            </w:r>
          </w:p>
          <w:p>
            <w:pPr>
              <w:spacing w:after="0"/>
            </w:pPr>
            <w:r>
              <w:rPr>
                <w:rFonts w:ascii="Courier New" w:cs="Courier New" w:eastAsia="Courier New" w:hAnsi="Courier New"/>
                <w:sz w:val="18"/>
                <w:szCs w:val="18"/>
              </w:rPr>
              <w:t xml:space="preserve">  foreign key (tenant_id) references tenant(tenant_id);</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retrieval pattern: agent reads tenant_id = current_tenant first; falls back to 'public' for missing identifiers</w:t>
            </w:r>
          </w:p>
          <w:p>
            <w:pPr>
              <w:spacing w:after="0"/>
            </w:pPr>
            <w:r>
              <w:rPr>
                <w:rFonts w:ascii="Courier New" w:cs="Courier New" w:eastAsia="Courier New" w:hAnsi="Courier New"/>
                <w:sz w:val="18"/>
                <w:szCs w:val="18"/>
              </w:rPr>
              <w:t xml:space="preserve">-- this is the corpus inheritance pattern: tenant addenda override public defaults; public defaults fill gaps</w:t>
            </w:r>
          </w:p>
        </w:tc>
      </w:tr>
    </w:tbl>
    <w:p>
      <w:pPr>
        <w:pStyle w:val="Heading3"/>
        <w:spacing w:before="200" w:after="100"/>
      </w:pPr>
      <w:r>
        <w:rPr>
          <w:b/>
          <w:bCs/>
          <w:color w:val="374F63"/>
          <w:sz w:val="20"/>
          <w:szCs w:val="20"/>
        </w:rPr>
        <w:t xml:space="preserve">Corpus retrieval pattern under multi-tenant</w:t>
      </w:r>
    </w:p>
    <w:p>
      <w:pPr>
        <w:spacing w:after="120"/>
      </w:pPr>
      <w:r>
        <w:t xml:space="preserve">RAG retrieval against program_knowledge uses a tenant-aware query: first look for entries with tenant_id = current_tenant_id; for any identifier not found in the tenant's corpus, fall back to tenant_id = 'public'. This is the corpus inheritance pattern. A corporate tenant that does not customize Layer 2 sees the full public corpus; a corporate tenant that adds an extension sees the extension preferred over the public default for that identifier.</w:t>
      </w:r>
    </w:p>
    <w:p>
      <w:pPr>
        <w:pStyle w:val="Heading3"/>
        <w:spacing w:before="200" w:after="100"/>
      </w:pPr>
      <w:r>
        <w:rPr>
          <w:b/>
          <w:bCs/>
          <w:color w:val="374F63"/>
          <w:sz w:val="20"/>
          <w:szCs w:val="20"/>
        </w:rPr>
        <w:t xml:space="preserve">Greg's authority constraint</w:t>
      </w:r>
    </w:p>
    <w:p>
      <w:pPr>
        <w:spacing w:after="120"/>
      </w:pPr>
      <w:r>
        <w:t xml:space="preserve">Tenant addenda CANNOT add to or modify Greg Welk's three sub-corpora (Concept Map, Science Checks, Topical Syntheses). Those are authored by Greg under the Authoring Brief v1.0 process and are immutable from the tenant perspective. The tenant addenda mechanism is for cultural framing, locked-vocabulary mappings to the tenant's internal language, and asset emphasis — not for editing the framework's scientific underpinning.</w:t>
      </w:r>
    </w:p>
    <w:p>
      <w:pPr>
        <w:pStyle w:val="Heading2"/>
        <w:spacing w:before="240" w:after="120"/>
      </w:pPr>
      <w:r>
        <w:rPr>
          <w:b/>
          <w:bCs/>
          <w:color w:val="374F63"/>
          <w:sz w:val="24"/>
          <w:szCs w:val="24"/>
        </w:rPr>
        <w:t xml:space="preserve">3.3 Layer 3 — Member Profile (v2.0 additions)</w:t>
      </w:r>
    </w:p>
    <w:p>
      <w:pPr>
        <w:spacing w:after="120"/>
      </w:pPr>
      <w:r>
        <w:t xml:space="preserve">v1.1 Layer 3 holds the structured semi-static Member Profile. v2.0 adds tenant_id as a non-null column with default 'public', the RLS policy from §2.5, and a tenant_membership_id reference for joining to the tenant lifecycle.</w:t>
      </w:r>
    </w:p>
    <w:p>
      <w:pPr>
        <w:spacing w:after="120"/>
      </w:pPr>
      <w:r>
        <w:t xml:space="preserve">Operational changes for v2.0:</w:t>
      </w:r>
    </w:p>
    <w:p>
      <w:pPr>
        <w:pStyle w:val="ListParagraph"/>
        <w:numPr>
          <w:ilvl w:val="0"/>
          <w:numId w:val="2"/>
        </w:numPr>
        <w:spacing w:after="80"/>
      </w:pPr>
      <w:r>
        <w:t xml:space="preserve">Member onboarding writes member_profile.tenant_id at row creation time. The tenant_id is determined by the onboarding path: direct-consumer signups land in 'public'; corporate onboarding via tenant invite link writes the corporate tenant_id; practitioner onboarding via Certified Practitioner invite link writes the practitioner tenant_id.</w:t>
      </w:r>
    </w:p>
    <w:p>
      <w:pPr>
        <w:pStyle w:val="ListParagraph"/>
        <w:numPr>
          <w:ilvl w:val="0"/>
          <w:numId w:val="2"/>
        </w:numPr>
        <w:spacing w:after="80"/>
      </w:pPr>
      <w:r>
        <w:t xml:space="preserve">Member Profile loading (v1.1 §3.3 Loading) becomes tenant-scoped: the select statement now reads `select * from member_profile where hubspot_contact_id = $1 and tenant_id = current_setting('app.current_tenant_id', true) and active = true`. The RLS policy enforces the tenant_id constraint at the database layer; the query expresses it for query-planner clarity.</w:t>
      </w:r>
    </w:p>
    <w:p>
      <w:pPr>
        <w:pStyle w:val="ListParagraph"/>
        <w:numPr>
          <w:ilvl w:val="0"/>
          <w:numId w:val="2"/>
        </w:numPr>
        <w:spacing w:after="80"/>
      </w:pPr>
      <w:r>
        <w:t xml:space="preserve">Member transfer between tenants (rare but possible, e.g., employer change) is handled in the Founder Agent's cross-tenant admin layer (Founder Agent Tech Spec v2.0). The Member Agent does not transfer Members. A Member who needs to transfer is routed to a Founder Agent flow for human review.</w:t>
      </w:r>
    </w:p>
    <w:p>
      <w:pPr>
        <w:pStyle w:val="Heading2"/>
        <w:spacing w:before="240" w:after="120"/>
      </w:pPr>
      <w:r>
        <w:rPr>
          <w:b/>
          <w:bCs/>
          <w:color w:val="374F63"/>
          <w:sz w:val="24"/>
          <w:szCs w:val="24"/>
        </w:rPr>
        <w:t xml:space="preserve">3.4 Layer 4 — Member History (v2.0 additions)</w:t>
      </w:r>
    </w:p>
    <w:p>
      <w:pPr>
        <w:spacing w:after="120"/>
      </w:pPr>
      <w:r>
        <w:t xml:space="preserve">v1.1 Layer 4 is the longitudinal record (IDQ retakes, Pulse Checks, gating asset completions, behavioral signals, drift events). v2.0 adds tenant_id to every Layer 4 table:</w:t>
      </w:r>
    </w:p>
    <w:p>
      <w:pPr>
        <w:pStyle w:val="ListParagraph"/>
        <w:numPr>
          <w:ilvl w:val="0"/>
          <w:numId w:val="2"/>
        </w:numPr>
        <w:spacing w:after="80"/>
      </w:pPr>
      <w:r>
        <w:t xml:space="preserve">idq_retake.tenant_id (default 'public')</w:t>
      </w:r>
    </w:p>
    <w:p>
      <w:pPr>
        <w:pStyle w:val="ListParagraph"/>
        <w:numPr>
          <w:ilvl w:val="0"/>
          <w:numId w:val="2"/>
        </w:numPr>
        <w:spacing w:after="80"/>
      </w:pPr>
      <w:r>
        <w:t xml:space="preserve">pulse_check.tenant_id</w:t>
      </w:r>
    </w:p>
    <w:p>
      <w:pPr>
        <w:pStyle w:val="ListParagraph"/>
        <w:numPr>
          <w:ilvl w:val="0"/>
          <w:numId w:val="2"/>
        </w:numPr>
        <w:spacing w:after="80"/>
      </w:pPr>
      <w:r>
        <w:t xml:space="preserve">flagship_completion.tenant_id</w:t>
      </w:r>
    </w:p>
    <w:p>
      <w:pPr>
        <w:pStyle w:val="ListParagraph"/>
        <w:numPr>
          <w:ilvl w:val="0"/>
          <w:numId w:val="2"/>
        </w:numPr>
        <w:spacing w:after="80"/>
      </w:pPr>
      <w:r>
        <w:t xml:space="preserve">behavioral_signal.tenant_id</w:t>
      </w:r>
    </w:p>
    <w:p>
      <w:pPr>
        <w:pStyle w:val="ListParagraph"/>
        <w:numPr>
          <w:ilvl w:val="0"/>
          <w:numId w:val="2"/>
        </w:numPr>
        <w:spacing w:after="80"/>
      </w:pPr>
      <w:r>
        <w:t xml:space="preserve">drift_event.tenant_id</w:t>
      </w:r>
    </w:p>
    <w:p>
      <w:pPr>
        <w:spacing w:after="120"/>
      </w:pPr>
      <w:r>
        <w:t xml:space="preserve">RLS policies on each table enforce tenant_id isolation. A Member's Layer 4 history is queried only with tenant_id scope. A Member who is later transferred between tenants (rare; via the Founder Agent's transfer flow) retains their historical Layer 4 rows under the original tenant_id — historical data does not move with the Member; only forward history accrues to the new tenant. This preserves audit integrity and respects the corporate tenant's data isolation requirements (departed-employee data does not flow to the new employer's tenant).</w:t>
      </w:r>
    </w:p>
    <w:p>
      <w:pPr>
        <w:pStyle w:val="Heading3"/>
        <w:spacing w:before="200" w:after="100"/>
      </w:pPr>
      <w:r>
        <w:rPr>
          <w:b/>
          <w:bCs/>
          <w:color w:val="374F63"/>
          <w:sz w:val="20"/>
          <w:szCs w:val="20"/>
        </w:rPr>
        <w:t xml:space="preserve">Research feed under multi-tenant</w:t>
      </w:r>
    </w:p>
    <w:p>
      <w:pPr>
        <w:spacing w:after="120"/>
      </w:pPr>
      <w:r>
        <w:t xml:space="preserve">v1.1 §3.4 introduces the IRB-overseen anonymized research feed. v2.0 adds the tenant_id consent layer: each tenant_config carries a boolean research_feed_consent (per-tenant). The public tenant has research_feed_consent = true by default (members opt in via the Independence Guarantee consent flow at onboarding). Corporate tenants opt in or out at the contract level; the corporate tenant's contract addendum specifies whether aggregate de-identified data flows to the research feed. Practitioner tenants follow the public tenant pattern (member-level consent). The IRB study protocol covers all opt-in tenants under a single anonymized feed; the Founder Agent's cross-tenant aggregation layer (per Founder Agent Tech Spec v2.0) composes the feed.</w:t>
      </w:r>
    </w:p>
    <w:p>
      <w:pPr>
        <w:pStyle w:val="Heading2"/>
        <w:spacing w:before="240" w:after="120"/>
      </w:pPr>
      <w:r>
        <w:rPr>
          <w:b/>
          <w:bCs/>
          <w:color w:val="374F63"/>
          <w:sz w:val="24"/>
          <w:szCs w:val="24"/>
        </w:rPr>
        <w:t xml:space="preserve">3.5 Layer 5 — Conversation Context (v2.0 additions)</w:t>
      </w:r>
    </w:p>
    <w:p>
      <w:pPr>
        <w:spacing w:after="120"/>
      </w:pPr>
      <w:r>
        <w:t xml:space="preserve">v1.1 Layer 5 sets per-session context (operating moment, time since last interaction, recent dashboard state, hand-offs from Founder Agent or human team, crisis flags). v2.0 adds tenant context loading at session start:</w:t>
      </w:r>
    </w:p>
    <w:p>
      <w:pPr>
        <w:pStyle w:val="ListParagraph"/>
        <w:numPr>
          <w:ilvl w:val="0"/>
          <w:numId w:val="2"/>
        </w:numPr>
        <w:spacing w:after="80"/>
      </w:pPr>
      <w:r>
        <w:t xml:space="preserve">Resolve the Member's tenant_id via tenant_membership where status = 'active'. A Member with no active tenant_membership cannot start a session (rare; indicates a data integrity issue requiring human review).</w:t>
      </w:r>
    </w:p>
    <w:p>
      <w:pPr>
        <w:pStyle w:val="ListParagraph"/>
        <w:numPr>
          <w:ilvl w:val="0"/>
          <w:numId w:val="2"/>
        </w:numPr>
        <w:spacing w:after="80"/>
      </w:pPr>
      <w:r>
        <w:t xml:space="preserve">Set the database session variable `app.current_tenant_id` for RLS enforcement on all queries during the session.</w:t>
      </w:r>
    </w:p>
    <w:p>
      <w:pPr>
        <w:pStyle w:val="ListParagraph"/>
        <w:numPr>
          <w:ilvl w:val="0"/>
          <w:numId w:val="2"/>
        </w:numPr>
        <w:spacing w:after="80"/>
      </w:pPr>
      <w:r>
        <w:t xml:space="preserve">Load tenant_config for the tenant and compose Layer 1 per §3.1 above.</w:t>
      </w:r>
    </w:p>
    <w:p>
      <w:pPr>
        <w:pStyle w:val="ListParagraph"/>
        <w:numPr>
          <w:ilvl w:val="0"/>
          <w:numId w:val="2"/>
        </w:numPr>
        <w:spacing w:after="80"/>
      </w:pPr>
      <w:r>
        <w:t xml:space="preserve">Load tenant.crisis_routing_locale and substitute the locale-specific crisis routing reference into Layer 1.</w:t>
      </w:r>
    </w:p>
    <w:p>
      <w:pPr>
        <w:pStyle w:val="ListParagraph"/>
        <w:numPr>
          <w:ilvl w:val="0"/>
          <w:numId w:val="2"/>
        </w:numPr>
        <w:spacing w:after="80"/>
      </w:pPr>
      <w:r>
        <w:t xml:space="preserve">Load tenant.branding_display_name and substitute into the AI disclosure first line.</w:t>
      </w:r>
    </w:p>
    <w:p>
      <w:pPr>
        <w:spacing w:after="120"/>
      </w:pPr>
      <w:r>
        <w:t xml:space="preserve">All of this happens before the v1.1 Layer 5 context (operating moment, recent dashboard state, hand-offs, crisis flags) is loaded. The v1.1 Layer 5 loading then runs unchanged, with the RLS-enforced tenant scope applied to every query.</w:t>
      </w:r>
    </w:p>
    <w:p>
      <w:pPr>
        <w:pStyle w:val="Heading2"/>
        <w:spacing w:before="240" w:after="120"/>
      </w:pPr>
      <w:r>
        <w:rPr>
          <w:b/>
          <w:bCs/>
          <w:color w:val="374F63"/>
          <w:sz w:val="24"/>
          <w:szCs w:val="24"/>
        </w:rPr>
        <w:t xml:space="preserve">3.6 Layer 6 — Conversation Output (v2.0 additions)</w:t>
      </w:r>
    </w:p>
    <w:p>
      <w:pPr>
        <w:spacing w:after="120"/>
      </w:pPr>
      <w:r>
        <w:t xml:space="preserve">v1.1 Layer 6 persists conversation outputs (transcript, profile updates, history entries, hand-offs triggered, flags for human review) back to the warehouse and HubSpot at session end. v2.0 adds:</w:t>
      </w:r>
    </w:p>
    <w:p>
      <w:pPr>
        <w:pStyle w:val="ListParagraph"/>
        <w:numPr>
          <w:ilvl w:val="0"/>
          <w:numId w:val="2"/>
        </w:numPr>
        <w:spacing w:after="80"/>
      </w:pPr>
      <w:r>
        <w:t xml:space="preserve">Every Layer 6 write carries the session's tenant_id. RLS enforces that the write lands in the correct tenant's scope.</w:t>
      </w:r>
    </w:p>
    <w:p>
      <w:pPr>
        <w:pStyle w:val="ListParagraph"/>
        <w:numPr>
          <w:ilvl w:val="0"/>
          <w:numId w:val="2"/>
        </w:numPr>
        <w:spacing w:after="80"/>
      </w:pPr>
      <w:r>
        <w:t xml:space="preserve">Audit log: every Layer 6 persistence operation writes a row to a new tenant_audit_log table capturing tenant_id, member_id, session_id, operation type, and timestamp. The audit log supports tenant administrators' compliance review (corporate clients can audit what data was written against their tenant during a given period; available via the Founder Agent's tenant admin surfaces).</w:t>
      </w:r>
    </w:p>
    <w:p>
      <w:pPr>
        <w:pStyle w:val="ListParagraph"/>
        <w:numPr>
          <w:ilvl w:val="0"/>
          <w:numId w:val="2"/>
        </w:numPr>
        <w:spacing w:after="80"/>
      </w:pPr>
      <w:r>
        <w:t xml:space="preserve">HubSpot lifecycle event writes (v1.1 §3.6) carry the tenant_id as a custom property on the contact record. HubSpot remains a single instance shared across tenants (no per-tenant HubSpot accounts), with tenant_id as the segmentation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E6E6" w:color="auto"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create table tenant_audit_log (</w:t>
            </w:r>
          </w:p>
          <w:p>
            <w:pPr>
              <w:spacing w:after="0"/>
            </w:pPr>
            <w:r>
              <w:rPr>
                <w:rFonts w:ascii="Courier New" w:cs="Courier New" w:eastAsia="Courier New" w:hAnsi="Courier New"/>
                <w:sz w:val="18"/>
                <w:szCs w:val="18"/>
              </w:rPr>
              <w:t xml:space="preserve">  audit_id        uuid primary key default gen_random_uuid(),</w:t>
            </w:r>
          </w:p>
          <w:p>
            <w:pPr>
              <w:spacing w:after="0"/>
            </w:pPr>
            <w:r>
              <w:rPr>
                <w:rFonts w:ascii="Courier New" w:cs="Courier New" w:eastAsia="Courier New" w:hAnsi="Courier New"/>
                <w:sz w:val="18"/>
                <w:szCs w:val="18"/>
              </w:rPr>
              <w:t xml:space="preserve">  tenant_id       text not null references tenant(tenant_id),</w:t>
            </w:r>
          </w:p>
          <w:p>
            <w:pPr>
              <w:spacing w:after="0"/>
            </w:pPr>
            <w:r>
              <w:rPr>
                <w:rFonts w:ascii="Courier New" w:cs="Courier New" w:eastAsia="Courier New" w:hAnsi="Courier New"/>
                <w:sz w:val="18"/>
                <w:szCs w:val="18"/>
              </w:rPr>
              <w:t xml:space="preserve">  member_id       uuid references member_profile(member_id),</w:t>
            </w:r>
          </w:p>
          <w:p>
            <w:pPr>
              <w:spacing w:after="0"/>
            </w:pPr>
            <w:r>
              <w:rPr>
                <w:rFonts w:ascii="Courier New" w:cs="Courier New" w:eastAsia="Courier New" w:hAnsi="Courier New"/>
                <w:sz w:val="18"/>
                <w:szCs w:val="18"/>
              </w:rPr>
              <w:t xml:space="preserve">  session_id      uuid,                          -- conversation session UUID</w:t>
            </w:r>
          </w:p>
          <w:p>
            <w:pPr>
              <w:spacing w:after="0"/>
            </w:pPr>
            <w:r>
              <w:rPr>
                <w:rFonts w:ascii="Courier New" w:cs="Courier New" w:eastAsia="Courier New" w:hAnsi="Courier New"/>
                <w:sz w:val="18"/>
                <w:szCs w:val="18"/>
              </w:rPr>
              <w:t xml:space="preserve">  operation       text not null,                 -- 'profile_update' | 'history_write' | 'handoff_trigger' | 'crisis_flag' | ...</w:t>
            </w:r>
          </w:p>
          <w:p>
            <w:pPr>
              <w:spacing w:after="0"/>
            </w:pPr>
            <w:r>
              <w:rPr>
                <w:rFonts w:ascii="Courier New" w:cs="Courier New" w:eastAsia="Courier New" w:hAnsi="Courier New"/>
                <w:sz w:val="18"/>
                <w:szCs w:val="18"/>
              </w:rPr>
              <w:t xml:space="preserve">  payload_summary jsonb,                         -- structured summary; not the full payload (for storage efficiency)</w:t>
            </w:r>
          </w:p>
          <w:p>
            <w:pPr>
              <w:spacing w:after="0"/>
            </w:pPr>
            <w:r>
              <w:rPr>
                <w:rFonts w:ascii="Courier New" w:cs="Courier New" w:eastAsia="Courier New" w:hAnsi="Courier New"/>
                <w:sz w:val="18"/>
                <w:szCs w:val="18"/>
              </w:rPr>
              <w:t xml:space="preserve">  occurred_at     timestamptz not null default now()</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create index on tenant_audit_log (tenant_id, occurred_at desc);</w:t>
            </w:r>
          </w:p>
          <w:p>
            <w:pPr>
              <w:spacing w:after="0"/>
            </w:pPr>
            <w:r>
              <w:rPr>
                <w:rFonts w:ascii="Courier New" w:cs="Courier New" w:eastAsia="Courier New" w:hAnsi="Courier New"/>
                <w:sz w:val="18"/>
                <w:szCs w:val="18"/>
              </w:rPr>
              <w:t xml:space="preserve">create index on tenant_audit_log (member_id, occurred_at desc);</w:t>
            </w:r>
          </w:p>
        </w:tc>
      </w:tr>
    </w:tbl>
    <w:p>
      <w:pPr>
        <w:pBdr>
          <w:bottom w:val="single" w:color="CCCCCC" w:sz="4"/>
        </w:pBdr>
        <w:spacing w:after="200"/>
      </w:pPr>
      <w:r>
        <w:t xml:space="preserve"/>
      </w:r>
    </w:p>
    <w:p>
      <w:pPr>
        <w:pStyle w:val="Heading1"/>
        <w:spacing w:before="320" w:after="160"/>
      </w:pPr>
      <w:r>
        <w:rPr>
          <w:b/>
          <w:bCs/>
          <w:color w:val="374F63"/>
          <w:sz w:val="30"/>
          <w:szCs w:val="30"/>
        </w:rPr>
        <w:t xml:space="preserve">4. Operating Moments Under Multi-Tenant</w:t>
      </w:r>
    </w:p>
    <w:p>
      <w:pPr>
        <w:spacing w:after="120"/>
      </w:pPr>
      <w:r>
        <w:t xml:space="preserve">v1.1 §4 specifies the four operating moments: Onboarding, IDQ Retake, Pulse Check, Ongoing Check-in. Multi-tenant does not change the operating moments themselves — the structure, the system prompt slices, the retrieval strategy, the output expectations, the persistence patterns all carry through. What changes is the tenant scope around each moment.</w:t>
      </w:r>
    </w:p>
    <w:p>
      <w:pPr>
        <w:pStyle w:val="Heading2"/>
        <w:spacing w:before="240" w:after="120"/>
      </w:pPr>
      <w:r>
        <w:rPr>
          <w:b/>
          <w:bCs/>
          <w:color w:val="374F63"/>
          <w:sz w:val="24"/>
          <w:szCs w:val="24"/>
        </w:rPr>
        <w:t xml:space="preserve">4.1 Onboarding under multi-tenant</w:t>
      </w:r>
    </w:p>
    <w:p>
      <w:pPr>
        <w:spacing w:after="120"/>
      </w:pPr>
      <w:r>
        <w:t xml:space="preserve">Onboarding is the only operating moment where the tenant_id is determined per-Member. The onboarding path determines the tenant assignment:</w:t>
      </w:r>
    </w:p>
    <w:p>
      <w:pPr>
        <w:pStyle w:val="ListParagraph"/>
        <w:numPr>
          <w:ilvl w:val="0"/>
          <w:numId w:val="2"/>
        </w:numPr>
        <w:spacing w:after="80"/>
      </w:pPr>
      <w:r>
        <w:t xml:space="preserve">Direct-consumer onboarding (signup via grintaforlife.com): tenant_id = 'public'.</w:t>
      </w:r>
    </w:p>
    <w:p>
      <w:pPr>
        <w:pStyle w:val="ListParagraph"/>
        <w:numPr>
          <w:ilvl w:val="0"/>
          <w:numId w:val="2"/>
        </w:numPr>
        <w:spacing w:after="80"/>
      </w:pPr>
      <w:r>
        <w:t xml:space="preserve">Corporate onboarding (signup via a tenant-specific invite link from a corporate tenant admin): tenant_id = the corporate tenant's tenant_id. The invite link carries a signed tenant token validated at signup.</w:t>
      </w:r>
    </w:p>
    <w:p>
      <w:pPr>
        <w:pStyle w:val="ListParagraph"/>
        <w:numPr>
          <w:ilvl w:val="0"/>
          <w:numId w:val="2"/>
        </w:numPr>
        <w:spacing w:after="80"/>
      </w:pPr>
      <w:r>
        <w:t xml:space="preserve">Practitioner onboarding (signup via a Certified Practitioner's invite link): tenant_id = the practitioner's tenant_id.</w:t>
      </w:r>
    </w:p>
    <w:p>
      <w:pPr>
        <w:pStyle w:val="ListParagraph"/>
        <w:numPr>
          <w:ilvl w:val="0"/>
          <w:numId w:val="2"/>
        </w:numPr>
        <w:spacing w:after="80"/>
      </w:pPr>
      <w:r>
        <w:t xml:space="preserve">Chapter onboarding (signup via a Licensed Chapter's invite link): tenant_id = the chapter's tenant_id.</w:t>
      </w:r>
    </w:p>
    <w:p>
      <w:pPr>
        <w:spacing w:after="120"/>
      </w:pPr>
      <w:r>
        <w:t xml:space="preserve">The Onboarding operating moment runs unchanged from v1.1 §4.1 once the tenant context is established. The structured intake produces the Member Profile (v1.1 Layer 3) with the resolved tenant_id. The identity paragraph synthesis (Identity Synthesis Pattern, v1.1 §2.1) runs against the tenant-scoped Layer 2 corpus (public + tenant addenda).</w:t>
      </w:r>
    </w:p>
    <w:p>
      <w:pPr>
        <w:pStyle w:val="Heading2"/>
        <w:spacing w:before="240" w:after="120"/>
      </w:pPr>
      <w:r>
        <w:rPr>
          <w:b/>
          <w:bCs/>
          <w:color w:val="374F63"/>
          <w:sz w:val="24"/>
          <w:szCs w:val="24"/>
        </w:rPr>
        <w:t xml:space="preserve">4.2 IDQ Retake, Pulse Check, Ongoing Check-in under multi-tenant</w:t>
      </w:r>
    </w:p>
    <w:p>
      <w:pPr>
        <w:spacing w:after="120"/>
      </w:pPr>
      <w:r>
        <w:t xml:space="preserve">These three operating moments run unchanged from v1.1 §§4.2–4.4. The tenant context is established at session start (§3.5 above) and all queries, retrievals, and writes are tenant-scoped via RLS. The Member Agent's behavior — voice, governance, retrieval pattern, output expectations — is identical inside any tenant context. The agent is the same agent; only the data it operates on and the system-prompt composition differ per tenant.</w:t>
      </w:r>
    </w:p>
    <w:p>
      <w:pPr>
        <w:pStyle w:val="Heading2"/>
        <w:spacing w:before="240" w:after="120"/>
      </w:pPr>
      <w:r>
        <w:rPr>
          <w:b/>
          <w:bCs/>
          <w:color w:val="374F63"/>
          <w:sz w:val="24"/>
          <w:szCs w:val="24"/>
        </w:rPr>
        <w:t xml:space="preserve">4.3 Cross-tenant operations: explicitly NOT in the Member Agent</w:t>
      </w:r>
    </w:p>
    <w:p>
      <w:pPr>
        <w:spacing w:after="120"/>
      </w:pPr>
      <w:r>
        <w:t xml:space="preserve">The Member Agent has zero cross-tenant capability. It cannot read data from any tenant other than the session's tenant_id. It cannot write data to any other tenant. It cannot transfer Members between tenants. It cannot aggregate data across tenants for research. All of these are Founder Agent cross-tenant admin operations (per Founder Agent Tech Spec v2.0 in progress).</w:t>
      </w:r>
    </w:p>
    <w:p>
      <w:pPr>
        <w:spacing w:after="120"/>
      </w:pPr>
      <w:r>
        <w:t xml:space="preserve">This separation is the load-bearing structural guarantee for corporate clients' data isolation. The Member Agent's session-scoped, tenant-isolated, RLS-enforced operation is the design that makes "per-tenant data isolation as a structural guarantee, not a policy promise" true — and it is true because the Member Agent has no mechanism, anywhere in the runtime, to violate the tenant boundary.</w:t>
      </w:r>
    </w:p>
    <w:p>
      <w:pPr>
        <w:pBdr>
          <w:bottom w:val="single" w:color="CCCCCC" w:sz="4"/>
        </w:pBdr>
        <w:spacing w:after="200"/>
      </w:pPr>
      <w:r>
        <w:t xml:space="preserve"/>
      </w:r>
    </w:p>
    <w:p>
      <w:pPr>
        <w:pStyle w:val="Heading1"/>
        <w:spacing w:before="320" w:after="160"/>
      </w:pPr>
      <w:r>
        <w:rPr>
          <w:b/>
          <w:bCs/>
          <w:color w:val="374F63"/>
          <w:sz w:val="30"/>
          <w:szCs w:val="30"/>
        </w:rPr>
        <w:t xml:space="preserve">5. Tenant Provisioning Workflow (NEW v2.0)</w:t>
      </w:r>
    </w:p>
    <w:p>
      <w:pPr>
        <w:spacing w:after="120"/>
      </w:pPr>
      <w:r>
        <w:t xml:space="preserve">A new tenant is provisioned through a workflow that lives in the Founder Agent's tenant admin surfaces (per Founder Agent Tech Spec v2.0). The Member Agent is not involved in provisioning; this section documents the workflow for reference and for the Member Agent's downstream context.</w:t>
      </w:r>
    </w:p>
    <w:p>
      <w:pPr>
        <w:pStyle w:val="Heading2"/>
        <w:spacing w:before="240" w:after="120"/>
      </w:pPr>
      <w:r>
        <w:rPr>
          <w:b/>
          <w:bCs/>
          <w:color w:val="374F63"/>
          <w:sz w:val="24"/>
          <w:szCs w:val="24"/>
        </w:rPr>
        <w:t xml:space="preserve">5.1 Corporate tenant provisioning steps</w:t>
      </w:r>
    </w:p>
    <w:p>
      <w:pPr>
        <w:pStyle w:val="ListParagraph"/>
        <w:numPr>
          <w:ilvl w:val="0"/>
          <w:numId w:val="2"/>
        </w:numPr>
        <w:spacing w:after="80"/>
      </w:pPr>
      <w:r>
        <w:t xml:space="preserve">Contract execution (sales / legal step, outside the platform). Produces the legal entity, contract terms (seat cap, contract dates, locale, data residency, research_feed_consent).</w:t>
      </w:r>
    </w:p>
    <w:p>
      <w:pPr>
        <w:pStyle w:val="ListParagraph"/>
        <w:numPr>
          <w:ilvl w:val="0"/>
          <w:numId w:val="2"/>
        </w:numPr>
        <w:spacing w:after="80"/>
      </w:pPr>
      <w:r>
        <w:t xml:space="preserve">Tenant row insert. Founder Agent admin inserts the tenant row with tenant_type = 'corporate', contract details from the contract.</w:t>
      </w:r>
    </w:p>
    <w:p>
      <w:pPr>
        <w:pStyle w:val="ListParagraph"/>
        <w:numPr>
          <w:ilvl w:val="0"/>
          <w:numId w:val="2"/>
        </w:numPr>
        <w:spacing w:after="80"/>
      </w:pPr>
      <w:r>
        <w:t xml:space="preserve">Tenant configuration. Founder Agent admin creates the tenant_config row: system_prompt_overlay (if any), additional_prohibitions, voice_register_overlay (if any), branding_display_name, branding_color_primary, ai_disclosure_locale. AI Governance Framework v2.0 validation runs against the config before activation.</w:t>
      </w:r>
    </w:p>
    <w:p>
      <w:pPr>
        <w:pStyle w:val="ListParagraph"/>
        <w:numPr>
          <w:ilvl w:val="0"/>
          <w:numId w:val="2"/>
        </w:numPr>
        <w:spacing w:after="80"/>
      </w:pPr>
      <w:r>
        <w:t xml:space="preserve">Tenant admin assignment. Founder Agent admin creates one or more tenant_administrator rows for the corporate client's HR / Total Rewards admins, linked to HubSpot contacts.</w:t>
      </w:r>
    </w:p>
    <w:p>
      <w:pPr>
        <w:pStyle w:val="ListParagraph"/>
        <w:numPr>
          <w:ilvl w:val="0"/>
          <w:numId w:val="2"/>
        </w:numPr>
        <w:spacing w:after="80"/>
      </w:pPr>
      <w:r>
        <w:t xml:space="preserve">Onboarding URL generation. The platform generates a signed tenant invite link for the corporate admin to distribute to their employees. The link encodes the tenant_id and a signed timestamp; expires after a configurable window (default 90 days; renewable).</w:t>
      </w:r>
    </w:p>
    <w:p>
      <w:pPr>
        <w:pStyle w:val="ListParagraph"/>
        <w:numPr>
          <w:ilvl w:val="0"/>
          <w:numId w:val="2"/>
        </w:numPr>
        <w:spacing w:after="80"/>
      </w:pPr>
      <w:r>
        <w:t xml:space="preserve">Tenant goes live. The first member to sign up via the invite link triggers tenant.contract_status = 'active' if it was 'pilot' at creation.</w:t>
      </w:r>
    </w:p>
    <w:p>
      <w:pPr>
        <w:pStyle w:val="Heading2"/>
        <w:spacing w:before="240" w:after="120"/>
      </w:pPr>
      <w:r>
        <w:rPr>
          <w:b/>
          <w:bCs/>
          <w:color w:val="374F63"/>
          <w:sz w:val="24"/>
          <w:szCs w:val="24"/>
        </w:rPr>
        <w:t xml:space="preserve">5.2 Practitioner and Chapter tenant provisioning</w:t>
      </w:r>
    </w:p>
    <w:p>
      <w:pPr>
        <w:spacing w:after="120"/>
      </w:pPr>
      <w:r>
        <w:t xml:space="preserve">Same pattern as corporate, scaled down. The Certified Practitioner program (Stage 3 Framework Licensing) and Licensed Chapter program use the same tenant infrastructure but with simpler tenant_config (typically no system_prompt_overlay, default voice register, only a branding_display_name to distinguish in the AI disclosure line). Seat cap may be unlimited (a Licensed Chapter operating in a local community) or bounded (a Certified Practitioner managing a private client base).</w:t>
      </w:r>
    </w:p>
    <w:p>
      <w:pPr>
        <w:pStyle w:val="Heading2"/>
        <w:spacing w:before="240" w:after="120"/>
      </w:pPr>
      <w:r>
        <w:rPr>
          <w:b/>
          <w:bCs/>
          <w:color w:val="374F63"/>
          <w:sz w:val="24"/>
          <w:szCs w:val="24"/>
        </w:rPr>
        <w:t xml:space="preserve">5.3 Public tenant</w:t>
      </w:r>
    </w:p>
    <w:p>
      <w:pPr>
        <w:spacing w:after="120"/>
      </w:pPr>
      <w:r>
        <w:t xml:space="preserve">The public tenant is provisioned at platform launch (mid-October 2026) with tenant_id = 'public', tenant_type = 'public', contract_status = 'active', no contract_end_at, no seat_cap. It is never modified except for tenant_config updates (which always require AI Governance Framework v2.0 validation). The public tenant carries the canonical G4L Program Knowledge Corpus and the canonical Member Agent system prompt; all other tenants inherit by default.</w:t>
      </w:r>
    </w:p>
    <w:p>
      <w:pPr>
        <w:pBdr>
          <w:bottom w:val="single" w:color="CCCCCC" w:sz="4"/>
        </w:pBdr>
        <w:spacing w:after="200"/>
      </w:pPr>
      <w:r>
        <w:t xml:space="preserve"/>
      </w:r>
    </w:p>
    <w:p>
      <w:pPr>
        <w:pStyle w:val="Heading1"/>
        <w:spacing w:before="320" w:after="160"/>
      </w:pPr>
      <w:r>
        <w:rPr>
          <w:b/>
          <w:bCs/>
          <w:color w:val="374F63"/>
          <w:sz w:val="30"/>
          <w:szCs w:val="30"/>
        </w:rPr>
        <w:t xml:space="preserve">6. Multi-Tenant Failure Modes (NEW v2.0)</w:t>
      </w:r>
    </w:p>
    <w:p>
      <w:pPr>
        <w:spacing w:after="120"/>
      </w:pPr>
      <w:r>
        <w:t xml:space="preserve">v1.1 §§3.x "Failure modes" subsections cover per-layer failure modes. This section adds the multi-tenant-specific failure modes that span the architecture.</w:t>
      </w:r>
    </w:p>
    <w:p>
      <w:pPr>
        <w:pStyle w:val="Heading2"/>
        <w:spacing w:before="240" w:after="120"/>
      </w:pPr>
      <w:r>
        <w:rPr>
          <w:b/>
          <w:bCs/>
          <w:color w:val="374F63"/>
          <w:sz w:val="24"/>
          <w:szCs w:val="24"/>
        </w:rPr>
        <w:t xml:space="preserve">6.1 Tenant isolation breach</w:t>
      </w:r>
    </w:p>
    <w:p>
      <w:pPr>
        <w:spacing w:after="120"/>
      </w:pPr>
      <w:r>
        <w:t xml:space="preserve">The most severe possible failure: a query in tenant A returns data from tenant B. Mitigation is defense-in-depth:</w:t>
      </w:r>
    </w:p>
    <w:p>
      <w:pPr>
        <w:pStyle w:val="ListParagraph"/>
        <w:numPr>
          <w:ilvl w:val="0"/>
          <w:numId w:val="2"/>
        </w:numPr>
        <w:spacing w:after="80"/>
      </w:pPr>
      <w:r>
        <w:t xml:space="preserve">Database layer: RLS policies on every member-scoped table enforce tenant_id isolation. Even if application code makes a programming error, the database returns zero rows for any tenant_id mismatch.</w:t>
      </w:r>
    </w:p>
    <w:p>
      <w:pPr>
        <w:pStyle w:val="ListParagraph"/>
        <w:numPr>
          <w:ilvl w:val="0"/>
          <w:numId w:val="2"/>
        </w:numPr>
        <w:spacing w:after="80"/>
      </w:pPr>
      <w:r>
        <w:t xml:space="preserve">Agent runtime layer: every session sets `app.current_tenant_id` at conversation start and does not change it during the session. The agent runtime cannot switch tenants mid-session.</w:t>
      </w:r>
    </w:p>
    <w:p>
      <w:pPr>
        <w:pStyle w:val="ListParagraph"/>
        <w:numPr>
          <w:ilvl w:val="0"/>
          <w:numId w:val="2"/>
        </w:numPr>
        <w:spacing w:after="80"/>
      </w:pPr>
      <w:r>
        <w:t xml:space="preserve">Application layer: tenant_id is part of every API request signature; the application layer validates the session's tenant_id matches the request's tenant context before any query executes.</w:t>
      </w:r>
    </w:p>
    <w:p>
      <w:pPr>
        <w:pStyle w:val="ListParagraph"/>
        <w:numPr>
          <w:ilvl w:val="0"/>
          <w:numId w:val="2"/>
        </w:numPr>
        <w:spacing w:after="80"/>
      </w:pPr>
      <w:r>
        <w:t xml:space="preserve">Regression test suite: a dedicated multi-tenant isolation test suite runs against every deployment, attempting cross-tenant queries with various injection patterns. Any failure blocks deployment.</w:t>
      </w:r>
    </w:p>
    <w:p>
      <w:pPr>
        <w:pStyle w:val="ListParagraph"/>
        <w:numPr>
          <w:ilvl w:val="0"/>
          <w:numId w:val="2"/>
        </w:numPr>
        <w:spacing w:after="80"/>
      </w:pPr>
      <w:r>
        <w:t xml:space="preserve">Audit log review: tenant_audit_log queries by tenant administrators surface any anomalous activity. Quarterly review by the Founder Agent admin team.</w:t>
      </w:r>
    </w:p>
    <w:p>
      <w:pPr>
        <w:pStyle w:val="Heading2"/>
        <w:spacing w:before="240" w:after="120"/>
      </w:pPr>
      <w:r>
        <w:rPr>
          <w:b/>
          <w:bCs/>
          <w:color w:val="374F63"/>
          <w:sz w:val="24"/>
          <w:szCs w:val="24"/>
        </w:rPr>
        <w:t xml:space="preserve">6.2 Tenant configuration drift</w:t>
      </w:r>
    </w:p>
    <w:p>
      <w:pPr>
        <w:spacing w:after="120"/>
      </w:pPr>
      <w:r>
        <w:t xml:space="preserve">A tenant_config update introduces a system_prompt_overlay or additional_prohibition that weakens a v1.1 non-negotiable. Mitigation: AI Governance Framework v2.0 validation runs at every tenant_config insert/update and at agent runtime load. Validation failures block the configuration from going live. The validation rule set is the same one that gates v1.1 system prompt changes; the multi-tenant addition is just that it runs per-tenant.</w:t>
      </w:r>
    </w:p>
    <w:p>
      <w:pPr>
        <w:pStyle w:val="Heading2"/>
        <w:spacing w:before="240" w:after="120"/>
      </w:pPr>
      <w:r>
        <w:rPr>
          <w:b/>
          <w:bCs/>
          <w:color w:val="374F63"/>
          <w:sz w:val="24"/>
          <w:szCs w:val="24"/>
        </w:rPr>
        <w:t xml:space="preserve">6.3 Cross-tenant data leakage in research feed</w:t>
      </w:r>
    </w:p>
    <w:p>
      <w:pPr>
        <w:spacing w:after="120"/>
      </w:pPr>
      <w:r>
        <w:t xml:space="preserve">The anonymized research feed (composed by the Founder Agent's cross-tenant aggregation layer) could theoretically leak corporate-tenant data into a published research output. Mitigation: the research feed aggregation runs with k-anonymity guarantees (no aggregate row reveals data from fewer than k distinct Members; default k = 10). Per-tenant consent is checked at aggregation time; tenants with research_feed_consent = false are excluded entirely. The IRB protocol requires aggregation transparency: published research includes the tenant population descriptor (e.g., "public tenant Members plus consented corporate tenants") without naming corporate clients.</w:t>
      </w:r>
    </w:p>
    <w:p>
      <w:pPr>
        <w:pStyle w:val="Heading2"/>
        <w:spacing w:before="240" w:after="120"/>
      </w:pPr>
      <w:r>
        <w:rPr>
          <w:b/>
          <w:bCs/>
          <w:color w:val="374F63"/>
          <w:sz w:val="24"/>
          <w:szCs w:val="24"/>
        </w:rPr>
        <w:t xml:space="preserve">6.4 Member transfer between tenants</w:t>
      </w:r>
    </w:p>
    <w:p>
      <w:pPr>
        <w:spacing w:after="120"/>
      </w:pPr>
      <w:r>
        <w:t xml:space="preserve">A Member changes employers and the new employer is also a corporate tenant. The Member's historical Layer 4 data does NOT move with them — it remains under the original tenant_id. The Member's new tenant_membership row is created under the new tenant_id; forward Layer 4 accrues to the new tenant. The Member's Layer 3 Member Profile is split: identity-stable fields (named Door, identity paragraph, intake chapters, identity noun) carry forward to a new member_profile row under the new tenant_id (created by the Founder Agent's transfer flow); tenant-scoped fields are not carried. This preserves the original employer's data isolation (their data does not flow to the new employer) and respects the Member's continuity (they don't lose their identity work).</w:t>
      </w:r>
    </w:p>
    <w:p>
      <w:pPr>
        <w:pStyle w:val="Heading2"/>
        <w:spacing w:before="240" w:after="120"/>
      </w:pPr>
      <w:r>
        <w:rPr>
          <w:b/>
          <w:bCs/>
          <w:color w:val="374F63"/>
          <w:sz w:val="24"/>
          <w:szCs w:val="24"/>
        </w:rPr>
        <w:t xml:space="preserve">6.5 Tenant termination</w:t>
      </w:r>
    </w:p>
    <w:p>
      <w:pPr>
        <w:spacing w:after="120"/>
      </w:pPr>
      <w:r>
        <w:t xml:space="preserve">A corporate contract ends. Tenant.contract_status = 'terminated', tenant.contract_end_at set. Member-facing behavior: existing Members of that tenant receive a member-facing communication (Founder Agent-drafted, Jay-reviewed) explaining the transition; their membership defaults to the public tenant unless they opt out. Data handling: per contract terms, either (a) the corporate tenant's data is exported to the corporate client and deleted, (b) the data is retained for the contract-specified retention period and then deleted, or (c) the Member-consented portion migrates to the public tenant under member-level consent. The transition is operationally complex and lives in the Founder Agent's tenant lifecycle management surfaces.</w:t>
      </w:r>
    </w:p>
    <w:p>
      <w:pPr>
        <w:pBdr>
          <w:bottom w:val="single" w:color="CCCCCC" w:sz="4"/>
        </w:pBdr>
        <w:spacing w:after="200"/>
      </w:pPr>
      <w:r>
        <w:t xml:space="preserve"/>
      </w:r>
    </w:p>
    <w:p>
      <w:pPr>
        <w:pStyle w:val="Heading1"/>
        <w:spacing w:before="320" w:after="160"/>
      </w:pPr>
      <w:r>
        <w:rPr>
          <w:b/>
          <w:bCs/>
          <w:color w:val="374F63"/>
          <w:sz w:val="30"/>
          <w:szCs w:val="30"/>
        </w:rPr>
        <w:t xml:space="preserve">7. Per-Tenant AI Governance Commitments (NEW v2.0)</w:t>
      </w:r>
    </w:p>
    <w:p>
      <w:pPr>
        <w:spacing w:after="120"/>
      </w:pPr>
      <w:r>
        <w:t xml:space="preserve">Cross-references AI Governance Framework v2.0 (in progress, multi-tenant). This section names the per-tenant commitments that the Member Agent enforces at runtime.</w:t>
      </w:r>
    </w:p>
    <w:p>
      <w:pPr>
        <w:pStyle w:val="ListParagraph"/>
        <w:numPr>
          <w:ilvl w:val="0"/>
          <w:numId w:val="2"/>
        </w:numPr>
        <w:spacing w:after="80"/>
      </w:pPr>
      <w:r>
        <w:rPr>
          <w:b/>
          <w:bCs/>
        </w:rPr>
        <w:t xml:space="preserve">SOC2-grade data isolation. </w:t>
      </w:r>
      <w:r>
        <w:t xml:space="preserve">Per-tenant data isolation enforced by RLS policies, tenant_id scoping at every query, and audit log review. No data flows between tenants without an explicit Founder Agent cross-tenant operation (and those operations are themselves audited).</w:t>
      </w:r>
    </w:p>
    <w:p>
      <w:pPr>
        <w:pStyle w:val="ListParagraph"/>
        <w:numPr>
          <w:ilvl w:val="0"/>
          <w:numId w:val="2"/>
        </w:numPr>
        <w:spacing w:after="80"/>
      </w:pPr>
      <w:r>
        <w:rPr>
          <w:b/>
          <w:bCs/>
        </w:rPr>
        <w:t xml:space="preserve">Locale-specific crisis routing. </w:t>
      </w:r>
      <w:r>
        <w:t xml:space="preserve">Tenant.crisis_routing_locale determines the appropriate crisis hotline number and phrasing substituted into Layer 1. US tenants route to 988; UK tenants to Samaritans; etc. The agent runtime composes the locale-specific routing into the system prompt at session start.</w:t>
      </w:r>
    </w:p>
    <w:p>
      <w:pPr>
        <w:pStyle w:val="ListParagraph"/>
        <w:numPr>
          <w:ilvl w:val="0"/>
          <w:numId w:val="2"/>
        </w:numPr>
        <w:spacing w:after="80"/>
      </w:pPr>
      <w:r>
        <w:rPr>
          <w:b/>
          <w:bCs/>
        </w:rPr>
        <w:t xml:space="preserve">Per-tenant voice register validation. </w:t>
      </w:r>
      <w:r>
        <w:t xml:space="preserve">Tenant.voice_register_overlay is bounded by Brand Standards v2.0 (in progress). The voice drift monitor (v1.1 §2.4) runs per-tenant: 90-day cadence comparing agent outputs against the tenant's composed voice register exemplars. Drift triggers tenant_config recalibration.</w:t>
      </w:r>
    </w:p>
    <w:p>
      <w:pPr>
        <w:pStyle w:val="ListParagraph"/>
        <w:numPr>
          <w:ilvl w:val="0"/>
          <w:numId w:val="2"/>
        </w:numPr>
        <w:spacing w:after="80"/>
      </w:pPr>
      <w:r>
        <w:rPr>
          <w:b/>
          <w:bCs/>
        </w:rPr>
        <w:t xml:space="preserve">Per-tenant cost ceiling. </w:t>
      </w:r>
      <w:r>
        <w:t xml:space="preserve">v1.1 §6.5 cost ceiling applies per-tenant: each tenant has its own monthly aggregate cap (default: scaled to tenant's seat_cap). A tenant exceeding its cap halts non-essential operations for that tenant only (not platform-wide).</w:t>
      </w:r>
    </w:p>
    <w:p>
      <w:pPr>
        <w:pStyle w:val="ListParagraph"/>
        <w:numPr>
          <w:ilvl w:val="0"/>
          <w:numId w:val="2"/>
        </w:numPr>
        <w:spacing w:after="80"/>
      </w:pPr>
      <w:r>
        <w:rPr>
          <w:b/>
          <w:bCs/>
        </w:rPr>
        <w:t xml:space="preserve">Per-tenant paper protocol. </w:t>
      </w:r>
      <w:r>
        <w:t xml:space="preserve">Independence Guarantee printable workflow for every gating asset, per v1.1 §1.4 / §3.1, applies to every tenant. The paper protocol forms can be branded with tenant.branding_display_name but the framework content is identical across tenants.</w:t>
      </w:r>
    </w:p>
    <w:p>
      <w:pPr>
        <w:pStyle w:val="ListParagraph"/>
        <w:numPr>
          <w:ilvl w:val="0"/>
          <w:numId w:val="2"/>
        </w:numPr>
        <w:spacing w:after="80"/>
      </w:pPr>
      <w:r>
        <w:rPr>
          <w:b/>
          <w:bCs/>
        </w:rPr>
        <w:t xml:space="preserve">Per-tenant additional prohibitions. </w:t>
      </w:r>
      <w:r>
        <w:t xml:space="preserve">Tenant_config.additional_prohibitions is enforced at the agent runtime via the composed system prompt and validated at every output via the same governance enforcement that gates v1.1 prohibitions.</w:t>
      </w:r>
    </w:p>
    <w:p>
      <w:pPr>
        <w:pStyle w:val="ListParagraph"/>
        <w:numPr>
          <w:ilvl w:val="0"/>
          <w:numId w:val="2"/>
        </w:numPr>
        <w:spacing w:after="80"/>
      </w:pPr>
      <w:r>
        <w:rPr>
          <w:b/>
          <w:bCs/>
        </w:rPr>
        <w:t xml:space="preserve">Per-tenant audit log access. </w:t>
      </w:r>
      <w:r>
        <w:t xml:space="preserve">Tenant administrators (via Founder Agent tenant admin surfaces) can query their tenant's tenant_audit_log. They cannot query any other tenant's audit log. This is the compliance review surface for corporate clients.</w:t>
      </w:r>
    </w:p>
    <w:p>
      <w:pPr>
        <w:pBdr>
          <w:bottom w:val="single" w:color="CCCCCC" w:sz="4"/>
        </w:pBdr>
        <w:spacing w:after="200"/>
      </w:pPr>
      <w:r>
        <w:t xml:space="preserve"/>
      </w:r>
    </w:p>
    <w:p>
      <w:pPr>
        <w:pStyle w:val="Heading1"/>
        <w:spacing w:before="320" w:after="160"/>
      </w:pPr>
      <w:r>
        <w:rPr>
          <w:b/>
          <w:bCs/>
          <w:color w:val="374F63"/>
          <w:sz w:val="30"/>
          <w:szCs w:val="30"/>
        </w:rPr>
        <w:t xml:space="preserve">8. Dependencies and Cross-References</w:t>
      </w:r>
    </w:p>
    <w:p>
      <w:pPr>
        <w:pStyle w:val="Heading2"/>
        <w:spacing w:before="240" w:after="120"/>
      </w:pPr>
      <w:r>
        <w:rPr>
          <w:b/>
          <w:bCs/>
          <w:color w:val="374F63"/>
          <w:sz w:val="24"/>
          <w:szCs w:val="24"/>
        </w:rPr>
        <w:t xml:space="preserve">8.1 v1.1 baseline dependencies (unchanged)</w:t>
      </w:r>
    </w:p>
    <w:p>
      <w:pPr>
        <w:spacing w:after="120"/>
      </w:pPr>
      <w:r>
        <w:t xml:space="preserve">All v1.1 dependencies remain in force. v2.0 does not modify the six-layer information model, the four operating moments, the voice and governance enforcement, or the data spine architecture. The Tom Miller Member Journey v4.x → Tech Spec v1.x mapping continues; the Tom v5.x → Tech Spec v2.x mapping is now triggered by v2.0 (multi-tenant changes the architectural ambition enough to count as the major change v1.1 §1.5 anticipated).</w:t>
      </w:r>
    </w:p>
    <w:p>
      <w:pPr>
        <w:pStyle w:val="Heading2"/>
        <w:spacing w:before="240" w:after="120"/>
      </w:pPr>
      <w:r>
        <w:rPr>
          <w:b/>
          <w:bCs/>
          <w:color w:val="374F63"/>
          <w:sz w:val="24"/>
          <w:szCs w:val="24"/>
        </w:rPr>
        <w:t xml:space="preserve">8.2 v2.0 new dependencies</w:t>
      </w:r>
    </w:p>
    <w:p>
      <w:pPr>
        <w:pStyle w:val="ListParagraph"/>
        <w:numPr>
          <w:ilvl w:val="0"/>
          <w:numId w:val="2"/>
        </w:numPr>
        <w:spacing w:after="80"/>
      </w:pPr>
      <w:r>
        <w:rPr>
          <w:b/>
          <w:bCs/>
        </w:rPr>
        <w:t xml:space="preserve">AI Governance Framework v2.0 (in progress, multi-tenant). </w:t>
      </w:r>
      <w:r>
        <w:t xml:space="preserve">Provides the per-tenant governance commitments (§7 above) and the validation rule set for tenant_config overlays.</w:t>
      </w:r>
    </w:p>
    <w:p>
      <w:pPr>
        <w:pStyle w:val="ListParagraph"/>
        <w:numPr>
          <w:ilvl w:val="0"/>
          <w:numId w:val="2"/>
        </w:numPr>
        <w:spacing w:after="80"/>
      </w:pPr>
      <w:r>
        <w:rPr>
          <w:b/>
          <w:bCs/>
        </w:rPr>
        <w:t xml:space="preserve">Founder Agent Tech Spec v2.0 (in progress, cross-tenant admin). </w:t>
      </w:r>
      <w:r>
        <w:t xml:space="preserve">Defines the tenant admin surfaces (tenant provisioning, tenant configuration management, tenant administrator management, member transfer workflow, cross-tenant aggregation for research feed). The Member Agent does not interact with these surfaces; the Founder Agent operates them.</w:t>
      </w:r>
    </w:p>
    <w:p>
      <w:pPr>
        <w:pStyle w:val="ListParagraph"/>
        <w:numPr>
          <w:ilvl w:val="0"/>
          <w:numId w:val="2"/>
        </w:numPr>
        <w:spacing w:after="80"/>
      </w:pPr>
      <w:r>
        <w:rPr>
          <w:b/>
          <w:bCs/>
        </w:rPr>
        <w:t xml:space="preserve">Brand Standards v2.0 (in progress). </w:t>
      </w:r>
      <w:r>
        <w:t xml:space="preserve">Bounds tenant_config.voice_register_overlay. Per-tenant register granularity is allowed within the brand voice's core constraints.</w:t>
      </w:r>
    </w:p>
    <w:p>
      <w:pPr>
        <w:pStyle w:val="ListParagraph"/>
        <w:numPr>
          <w:ilvl w:val="0"/>
          <w:numId w:val="2"/>
        </w:numPr>
        <w:spacing w:after="80"/>
      </w:pPr>
      <w:r>
        <w:rPr>
          <w:b/>
          <w:bCs/>
        </w:rPr>
        <w:t xml:space="preserve">Pro Forma v4.6. </w:t>
      </w:r>
      <w:r>
        <w:t xml:space="preserve">Establishes the multi-tenant activation timeline (Option B pull-forward to July 1, 2027; operational Q4 2027; scaling through Stage 3, January 2028 – December 2029).</w:t>
      </w:r>
    </w:p>
    <w:p>
      <w:pPr>
        <w:pStyle w:val="ListParagraph"/>
        <w:numPr>
          <w:ilvl w:val="0"/>
          <w:numId w:val="2"/>
        </w:numPr>
        <w:spacing w:after="80"/>
      </w:pPr>
      <w:r>
        <w:rPr>
          <w:b/>
          <w:bCs/>
        </w:rPr>
        <w:t xml:space="preserve">FMP v2.1. </w:t>
      </w:r>
      <w:r>
        <w:t xml:space="preserve">Establishes the Stage 3 corporate channel as the funding rationale for multi-tenant infrastructure. The Corporate Platform Raise ($1.2M, single-close target June 2028) funds the BD team, sales engineering, and corporate marketing that scale the corporate tenant footprint.</w:t>
      </w:r>
    </w:p>
    <w:p>
      <w:pPr>
        <w:pStyle w:val="ListParagraph"/>
        <w:numPr>
          <w:ilvl w:val="0"/>
          <w:numId w:val="2"/>
        </w:numPr>
        <w:spacing w:after="80"/>
      </w:pPr>
      <w:r>
        <w:rPr>
          <w:b/>
          <w:bCs/>
        </w:rPr>
        <w:t xml:space="preserve">Competitive Landscape Brief v1.2. </w:t>
      </w:r>
      <w:r>
        <w:t xml:space="preserve">Establishes multi-tenant architecture as the structural differentiator in §6 of that brief. No competitor — consumer AI wellness, corporate wellness platform, or midlife identity program — combines multi-tenant infrastructure with the midlife identity framework. The Member Agent Tech Spec v2.0 is the technical realization of that differentiation.</w:t>
      </w:r>
    </w:p>
    <w:p>
      <w:pPr>
        <w:pStyle w:val="Heading2"/>
        <w:spacing w:before="240" w:after="120"/>
      </w:pPr>
      <w:r>
        <w:rPr>
          <w:b/>
          <w:bCs/>
          <w:color w:val="374F63"/>
          <w:sz w:val="24"/>
          <w:szCs w:val="24"/>
        </w:rPr>
        <w:t xml:space="preserve">8.3 Cross-reference cheat-sheet</w:t>
      </w:r>
    </w:p>
    <w:p>
      <w:pPr>
        <w:pStyle w:val="ListParagraph"/>
        <w:numPr>
          <w:ilvl w:val="0"/>
          <w:numId w:val="2"/>
        </w:numPr>
        <w:spacing w:after="80"/>
      </w:pPr>
      <w:r>
        <w:t xml:space="preserve">v1.1 §1.3 (six-layer information model) → v2.0 §3 (layer-by-layer multi-tenant additions)</w:t>
      </w:r>
    </w:p>
    <w:p>
      <w:pPr>
        <w:pStyle w:val="ListParagraph"/>
        <w:numPr>
          <w:ilvl w:val="0"/>
          <w:numId w:val="2"/>
        </w:numPr>
        <w:spacing w:after="80"/>
      </w:pPr>
      <w:r>
        <w:t xml:space="preserve">v1.1 §1.4 (four operating moments) → v2.0 §4 (operating moments under multi-tenant)</w:t>
      </w:r>
    </w:p>
    <w:p>
      <w:pPr>
        <w:pStyle w:val="ListParagraph"/>
        <w:numPr>
          <w:ilvl w:val="0"/>
          <w:numId w:val="2"/>
        </w:numPr>
        <w:spacing w:after="80"/>
      </w:pPr>
      <w:r>
        <w:t xml:space="preserve">v1.1 §2 (reference architecture) → v2.0 §1 (why multi-tenant, why now) and §2 (tenant management schema)</w:t>
      </w:r>
    </w:p>
    <w:p>
      <w:pPr>
        <w:pStyle w:val="ListParagraph"/>
        <w:numPr>
          <w:ilvl w:val="0"/>
          <w:numId w:val="2"/>
        </w:numPr>
        <w:spacing w:after="80"/>
      </w:pPr>
      <w:r>
        <w:t xml:space="preserve">v1.1 §3.1 (Layer 1) → v2.0 §3.1 (per-tenant Layer 1 composition)</w:t>
      </w:r>
    </w:p>
    <w:p>
      <w:pPr>
        <w:pStyle w:val="ListParagraph"/>
        <w:numPr>
          <w:ilvl w:val="0"/>
          <w:numId w:val="2"/>
        </w:numPr>
        <w:spacing w:after="80"/>
      </w:pPr>
      <w:r>
        <w:t xml:space="preserve">v1.1 §3.2 (Layer 2) → v2.0 §3.2 (per-tenant Layer 2 corpus inheritance)</w:t>
      </w:r>
    </w:p>
    <w:p>
      <w:pPr>
        <w:pStyle w:val="ListParagraph"/>
        <w:numPr>
          <w:ilvl w:val="0"/>
          <w:numId w:val="2"/>
        </w:numPr>
        <w:spacing w:after="80"/>
      </w:pPr>
      <w:r>
        <w:t xml:space="preserve">v1.1 §3.3 (Layer 3) → v2.0 §3.3 (tenant-scoped Member Profile)</w:t>
      </w:r>
    </w:p>
    <w:p>
      <w:pPr>
        <w:pStyle w:val="ListParagraph"/>
        <w:numPr>
          <w:ilvl w:val="0"/>
          <w:numId w:val="2"/>
        </w:numPr>
        <w:spacing w:after="80"/>
      </w:pPr>
      <w:r>
        <w:t xml:space="preserve">v1.1 §3.4 (Layer 4) → v2.0 §3.4 (tenant-scoped Member History) and §6.3 (research feed under multi-tenant)</w:t>
      </w:r>
    </w:p>
    <w:p>
      <w:pPr>
        <w:pStyle w:val="ListParagraph"/>
        <w:numPr>
          <w:ilvl w:val="0"/>
          <w:numId w:val="2"/>
        </w:numPr>
        <w:spacing w:after="80"/>
      </w:pPr>
      <w:r>
        <w:t xml:space="preserve">v1.1 §3.5 (Layer 5) → v2.0 §3.5 (tenant context loading at session start)</w:t>
      </w:r>
    </w:p>
    <w:p>
      <w:pPr>
        <w:pStyle w:val="ListParagraph"/>
        <w:numPr>
          <w:ilvl w:val="0"/>
          <w:numId w:val="2"/>
        </w:numPr>
        <w:spacing w:after="80"/>
      </w:pPr>
      <w:r>
        <w:t xml:space="preserve">v1.1 §3.6 (Layer 6) → v2.0 §3.6 (tenant-aware output persistence and audit logging)</w:t>
      </w:r>
    </w:p>
    <w:p>
      <w:pPr>
        <w:pStyle w:val="ListParagraph"/>
        <w:numPr>
          <w:ilvl w:val="0"/>
          <w:numId w:val="2"/>
        </w:numPr>
        <w:spacing w:after="80"/>
      </w:pPr>
      <w:r>
        <w:t xml:space="preserve">v1.1 §6.x (Consistency and Reliability Commitments) → v2.0 §7 (per-tenant AI Governance commitments)</w:t>
      </w:r>
    </w:p>
    <w:p>
      <w:pPr>
        <w:pBdr>
          <w:bottom w:val="single" w:color="CCCCCC" w:sz="4"/>
        </w:pBdr>
        <w:spacing w:after="200"/>
      </w:pPr>
      <w:r>
        <w:t xml:space="preserve"/>
      </w:r>
    </w:p>
    <w:p>
      <w:pPr>
        <w:pStyle w:val="Heading1"/>
        <w:spacing w:before="320" w:after="160"/>
      </w:pPr>
      <w:r>
        <w:rPr>
          <w:b/>
          <w:bCs/>
          <w:color w:val="374F63"/>
          <w:sz w:val="30"/>
          <w:szCs w:val="30"/>
        </w:rPr>
        <w:t xml:space="preserve">9. Document Control</w:t>
      </w:r>
    </w:p>
    <w:p>
      <w:pPr>
        <w:spacing w:after="120"/>
      </w:pPr>
      <w:r>
        <w:t xml:space="preserve">Version: 2.0 (Multi-Tenant Additions; supplements v1.1 baseline; does not replace v1.1)</w:t>
      </w:r>
    </w:p>
    <w:p>
      <w:pPr>
        <w:spacing w:after="120"/>
      </w:pPr>
      <w:r>
        <w:t xml:space="preserve">Date: May 2026</w:t>
      </w:r>
    </w:p>
    <w:p>
      <w:pPr>
        <w:spacing w:after="120"/>
      </w:pPr>
      <w:r>
        <w:t xml:space="preserve">Author: Jay Crain</w:t>
      </w:r>
    </w:p>
    <w:p>
      <w:pPr>
        <w:spacing w:after="120"/>
      </w:pPr>
      <w:r>
        <w:t xml:space="preserve">Distribution: Senior developer hand-off (alongside v1.1); foundation pitch attachment for funders evaluating the technical architecture; team architectural reference; Stage 3 corporate procurement conversations (subset showing per-tenant data isolation commitments and SOC2-grade guarantees).</w:t>
      </w:r>
    </w:p>
    <w:p>
      <w:pPr>
        <w:pStyle w:val="Heading3"/>
        <w:spacing w:before="200" w:after="100"/>
      </w:pPr>
      <w:r>
        <w:rPr>
          <w:b/>
          <w:bCs/>
          <w:color w:val="374F63"/>
          <w:sz w:val="20"/>
          <w:szCs w:val="20"/>
        </w:rPr>
        <w:t xml:space="preserve">Companion documents</w:t>
      </w:r>
    </w:p>
    <w:p>
      <w:pPr>
        <w:pStyle w:val="ListParagraph"/>
        <w:numPr>
          <w:ilvl w:val="0"/>
          <w:numId w:val="2"/>
        </w:numPr>
        <w:spacing w:after="80"/>
      </w:pPr>
      <w:r>
        <w:rPr>
          <w:b/>
          <w:bCs/>
        </w:rPr>
        <w:t xml:space="preserve">Member Agent Tech Spec v1.1 </w:t>
      </w:r>
      <w:r>
        <w:t xml:space="preserve">(May 2026) — canonical baseline six-layer spec. v2.0 supplements v1.1; v2.0 does not replace v1.1.</w:t>
      </w:r>
    </w:p>
    <w:p>
      <w:pPr>
        <w:pStyle w:val="ListParagraph"/>
        <w:numPr>
          <w:ilvl w:val="0"/>
          <w:numId w:val="2"/>
        </w:numPr>
        <w:spacing w:after="80"/>
      </w:pPr>
      <w:r>
        <w:rPr>
          <w:b/>
          <w:bCs/>
        </w:rPr>
        <w:t xml:space="preserve">Founder Agent Tech Spec v2.0 (in progress, cross-tenant admin) </w:t>
      </w:r>
      <w:r>
        <w:t xml:space="preserve">— defines tenant provisioning, tenant configuration management, tenant administrator surfaces, member transfer workflow, cross-tenant aggregation for research feed. The Member Agent does not perform these operations; the Founder Agent does.</w:t>
      </w:r>
    </w:p>
    <w:p>
      <w:pPr>
        <w:pStyle w:val="ListParagraph"/>
        <w:numPr>
          <w:ilvl w:val="0"/>
          <w:numId w:val="2"/>
        </w:numPr>
        <w:spacing w:after="80"/>
      </w:pPr>
      <w:r>
        <w:rPr>
          <w:b/>
          <w:bCs/>
        </w:rPr>
        <w:t xml:space="preserve">AI Governance Framework v2.0 (in progress, multi-tenant) </w:t>
      </w:r>
      <w:r>
        <w:t xml:space="preserve">— per-tenant governance commitments; tenant_config validation rule set; locale-specific crisis routing table; per-tenant voice register validation cadence.</w:t>
      </w:r>
    </w:p>
    <w:p>
      <w:pPr>
        <w:pStyle w:val="ListParagraph"/>
        <w:numPr>
          <w:ilvl w:val="0"/>
          <w:numId w:val="2"/>
        </w:numPr>
        <w:spacing w:after="80"/>
      </w:pPr>
      <w:r>
        <w:rPr>
          <w:b/>
          <w:bCs/>
        </w:rPr>
        <w:t xml:space="preserve">G4L Pro Forma v4.6 </w:t>
      </w:r>
      <w:r>
        <w:t xml:space="preserve">— multi-tenant activation timeline (Option B pull-forward to July 1, 2027); Stage 3 corporate channel financial model.</w:t>
      </w:r>
    </w:p>
    <w:p>
      <w:pPr>
        <w:pStyle w:val="ListParagraph"/>
        <w:numPr>
          <w:ilvl w:val="0"/>
          <w:numId w:val="2"/>
        </w:numPr>
        <w:spacing w:after="80"/>
      </w:pPr>
      <w:r>
        <w:rPr>
          <w:b/>
          <w:bCs/>
        </w:rPr>
        <w:t xml:space="preserve">Fundraising Master Plan v2.1 </w:t>
      </w:r>
      <w:r>
        <w:t xml:space="preserve">— Stage 3 Corporate Platform Raise rationale for multi-tenant infrastructure.</w:t>
      </w:r>
    </w:p>
    <w:p>
      <w:pPr>
        <w:pStyle w:val="ListParagraph"/>
        <w:numPr>
          <w:ilvl w:val="0"/>
          <w:numId w:val="2"/>
        </w:numPr>
        <w:spacing w:after="80"/>
      </w:pPr>
      <w:r>
        <w:rPr>
          <w:b/>
          <w:bCs/>
        </w:rPr>
        <w:t xml:space="preserve">Three Stages — Development + Capital Plan v3.1 (SVG) </w:t>
      </w:r>
      <w:r>
        <w:t xml:space="preserve">— visual schematic showing multi-tenant architecture flowing from Stage 2 build into Stage 3 corporate motion.</w:t>
      </w:r>
    </w:p>
    <w:p>
      <w:pPr>
        <w:pStyle w:val="ListParagraph"/>
        <w:numPr>
          <w:ilvl w:val="0"/>
          <w:numId w:val="2"/>
        </w:numPr>
        <w:spacing w:after="80"/>
      </w:pPr>
      <w:r>
        <w:rPr>
          <w:b/>
          <w:bCs/>
        </w:rPr>
        <w:t xml:space="preserve">Competitive Landscape Brief v1.2 </w:t>
      </w:r>
      <w:r>
        <w:t xml:space="preserve">— §6 Multi-Tenant Architecture as Structural Differentiator; establishes the competitive context that justifies the architecture investment.</w:t>
      </w:r>
    </w:p>
    <w:p>
      <w:pPr>
        <w:pStyle w:val="ListParagraph"/>
        <w:numPr>
          <w:ilvl w:val="0"/>
          <w:numId w:val="2"/>
        </w:numPr>
        <w:spacing w:after="80"/>
      </w:pPr>
      <w:r>
        <w:rPr>
          <w:b/>
          <w:bCs/>
        </w:rPr>
        <w:t xml:space="preserve">Brand Standards v2.0 (in progress) </w:t>
      </w:r>
      <w:r>
        <w:t xml:space="preserve">— bounds tenant_config.voice_register_overlay; defines the brand voice's core constraints that per-tenant register customization must respect.</w:t>
      </w:r>
    </w:p>
    <w:p>
      <w:pPr>
        <w:pStyle w:val="ListParagraph"/>
        <w:numPr>
          <w:ilvl w:val="0"/>
          <w:numId w:val="2"/>
        </w:numPr>
        <w:spacing w:after="80"/>
      </w:pPr>
      <w:r>
        <w:rPr>
          <w:b/>
          <w:bCs/>
        </w:rPr>
        <w:t xml:space="preserve">Tom Miller Member Journey v5.0 (in progress) </w:t>
      </w:r>
      <w:r>
        <w:t xml:space="preserve">— the canonical Member experience under multi-tenant. v5.x maps to Tech Spec v2.x per the v1.1 §1.5 versioning convention.</w:t>
      </w:r>
    </w:p>
    <w:p>
      <w:pPr>
        <w:pStyle w:val="Heading3"/>
        <w:spacing w:before="200" w:after="100"/>
      </w:pPr>
      <w:r>
        <w:rPr>
          <w:b/>
          <w:bCs/>
          <w:color w:val="374F63"/>
          <w:sz w:val="20"/>
          <w:szCs w:val="20"/>
        </w:rPr>
        <w:t xml:space="preserve">Retired references</w:t>
      </w:r>
    </w:p>
    <w:p>
      <w:pPr>
        <w:pStyle w:val="ListParagraph"/>
        <w:numPr>
          <w:ilvl w:val="0"/>
          <w:numId w:val="2"/>
        </w:numPr>
        <w:spacing w:after="80"/>
      </w:pPr>
      <w:r>
        <w:rPr>
          <w:b/>
          <w:bCs/>
        </w:rPr>
        <w:t xml:space="preserve">Platform Development Plan v4.0 — RETIRED. </w:t>
      </w:r>
      <w:r>
        <w:t xml:space="preserve">Out of date. v2.0 and v1.1 together carry the canonical platform-build story for the Member Agent. The Founder Agent Tech Spec v2.0 (in progress) carries the canonical platform-build story for the Founder Agent.</w:t>
      </w:r>
    </w:p>
    <w:p>
      <w:pPr>
        <w:pStyle w:val="ListParagraph"/>
        <w:numPr>
          <w:ilvl w:val="0"/>
          <w:numId w:val="2"/>
        </w:numPr>
        <w:spacing w:after="80"/>
      </w:pPr>
      <w:r>
        <w:rPr>
          <w:b/>
          <w:bCs/>
        </w:rPr>
        <w:t xml:space="preserve">Appendix C v1.3 (BP Appendix on Platform Architecture) — pre-cascade, cascade pass pending. </w:t>
      </w:r>
      <w:r>
        <w:t xml:space="preserve">Will be updated to reflect Pro Forma v4.6 alignment in a future cascade. Until then, the reference architecture authoritative source is v1.1 §2 plus this v2.0 §1 and §2.</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2A2A2A"/>
        <w:sz w:val="16"/>
        <w:szCs w:val="16"/>
      </w:rPr>
      <w:t xml:space="preserve">Grinta for Life · Member Agent Tech Spec v2.0 (Multi-Tenant Additions) · </w:t>
    </w:r>
    <w:r>
      <w:rPr>
        <w:color w:val="2A2A2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w:cs="Barlow" w:eastAsia="Barlow" w:hAnsi="Barlow"/>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374F63"/>
      <w:sz w:val="32"/>
      <w:szCs w:val="32"/>
    </w:rPr>
  </w:style>
  <w:style w:type="paragraph" w:styleId="Heading2">
    <w:name w:val="Heading 2"/>
    <w:basedOn w:val="Normal"/>
    <w:next w:val="Normal"/>
    <w:qFormat/>
    <w:rPr>
      <w:color w:val="374F63"/>
      <w:sz w:val="26"/>
      <w:szCs w:val="26"/>
    </w:rPr>
  </w:style>
  <w:style w:type="paragraph" w:styleId="Heading3">
    <w:name w:val="Heading 3"/>
    <w:basedOn w:val="Normal"/>
    <w:next w:val="Normal"/>
    <w:qFormat/>
    <w:rPr>
      <w:color w:val="374F63"/>
      <w:sz w:val="24"/>
      <w:szCs w:val="24"/>
    </w:rPr>
  </w:style>
  <w:style w:type="paragraph" w:styleId="Heading4">
    <w:name w:val="Heading 4"/>
    <w:basedOn w:val="Normal"/>
    <w:next w:val="Normal"/>
    <w:qFormat/>
    <w:rPr>
      <w:i/>
      <w:iCs/>
      <w:color w:val="374F63"/>
    </w:rPr>
  </w:style>
  <w:style w:type="paragraph" w:styleId="Heading5">
    <w:name w:val="Heading 5"/>
    <w:basedOn w:val="Normal"/>
    <w:next w:val="Normal"/>
    <w:qFormat/>
    <w:rPr>
      <w:color w:val="374F63"/>
    </w:rPr>
  </w:style>
  <w:style w:type="paragraph" w:styleId="Heading6">
    <w:name w:val="Heading 6"/>
    <w:basedOn w:val="Normal"/>
    <w:next w:val="Normal"/>
    <w:qFormat/>
    <w:rPr>
      <w:color w:val="374F63"/>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374F63"/>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Barlow" w:cs="Barlow" w:eastAsia="Barlow" w:hAnsi="Barlow"/>
      <w:b/>
      <w:bCs/>
      <w:color w:val="374F63"/>
      <w:sz w:val="30"/>
      <w:szCs w:val="30"/>
    </w:rPr>
  </w:style>
  <w:style w:type="paragraph" w:styleId="Heading2">
    <w:name w:val="Heading 2"/>
    <w:basedOn w:val="Normal"/>
    <w:next w:val="Normal"/>
    <w:qFormat/>
    <w:pPr>
      <w:spacing w:before="240" w:after="120"/>
      <w:outlineLvl w:val="1"/>
    </w:pPr>
    <w:rPr>
      <w:rFonts w:ascii="Barlow" w:cs="Barlow" w:eastAsia="Barlow" w:hAnsi="Barlow"/>
      <w:b/>
      <w:bCs/>
      <w:color w:val="374F63"/>
      <w:sz w:val="24"/>
      <w:szCs w:val="24"/>
    </w:rPr>
  </w:style>
  <w:style w:type="paragraph" w:styleId="Heading3">
    <w:name w:val="Heading 3"/>
    <w:basedOn w:val="Normal"/>
    <w:next w:val="Normal"/>
    <w:qFormat/>
    <w:pPr>
      <w:spacing w:before="200" w:after="100"/>
      <w:outlineLvl w:val="2"/>
    </w:pPr>
    <w:rPr>
      <w:rFonts w:ascii="Barlow" w:cs="Barlow" w:eastAsia="Barlow" w:hAnsi="Barlow"/>
      <w:b/>
      <w:bCs/>
      <w:color w:val="374F6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2026-05-29T17:38:18.778Z</dcterms:created>
  <dcterms:modified xsi:type="dcterms:W3CDTF">2026-05-29T17:38:18.781Z</dcterms:modified>
</cp:coreProperties>
</file>

<file path=docProps/custom.xml><?xml version="1.0" encoding="utf-8"?>
<Properties xmlns="http://schemas.openxmlformats.org/officeDocument/2006/custom-properties" xmlns:vt="http://schemas.openxmlformats.org/officeDocument/2006/docPropsVTypes"/>
</file>