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60"/>
      </w:tblGrid>
      <w:tr>
        <w:tc>
          <w:tcPr>
            <w:tcW w:type="dxa" w:w="9760"/>
            <w:shd w:fill="3B949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FFFFFF"/>
                <w:sz w:val="32"/>
                <w:szCs w:val="32"/>
              </w:rPr>
              <w:t xml:space="preserve">G4L Platform Backlog</w:t>
            </w:r>
          </w:p>
          <w:p>
            <w:pPr>
              <w:spacing w:before="40"/>
            </w:pPr>
            <w:r>
              <w:rPr>
                <w:rFonts w:ascii="Barlow" w:cs="Barlow" w:eastAsia="Barlow" w:hAnsi="Barlow"/>
                <w:color w:val="FFFFFF"/>
                <w:sz w:val="17"/>
                <w:szCs w:val="17"/>
              </w:rPr>
              <w:t xml:space="preserve">The build queue · v1.1 — re-prioritized around the Jan 1 launch · living document</w:t>
            </w:r>
          </w:p>
        </w:tc>
      </w:tr>
    </w:tbl>
    <w:p>
      <w:pPr>
        <w:spacing w:after="30"/>
      </w:pPr>
      <w:r>
        <w:rPr>
          <w:rFonts w:ascii="Barlow" w:cs="Barlow" w:eastAsia="Barlow" w:hAnsi="Barlow"/>
        </w:rPr>
        <w:t xml:space="preserve"/>
      </w:r>
    </w:p>
    <w:p>
      <w:pPr>
        <w:spacing w:after="60"/>
      </w:pPr>
      <w:r>
        <w:rPr>
          <w:rFonts w:ascii="Barlow" w:cs="Barlow" w:eastAsia="Barlow" w:hAnsi="Barlow"/>
          <w:color w:val="2A2A2A"/>
          <w:sz w:val="19"/>
          <w:szCs w:val="19"/>
        </w:rPr>
        <w:t xml:space="preserve">P1 = charter MVP (Oct '26): the 12 gated assets live across all four Rs. P2 = paid launch (Jan 1 '27). P3 = post-launch. Sources: Authoring Brief v1.3, Tech Specs v2.0, AI Governance v2.0, Decision Log v1.2.</w:t>
      </w:r>
    </w:p>
    <w:tbl>
      <w:tblPr>
        <w:tblW w:type="dxa" w:w="9760"/>
        <w:tblBorders>
          <w:top w:val="single" w:color="E8E6E6" w:sz="2"/>
          <w:left w:val="single" w:color="E8E6E6" w:sz="2"/>
          <w:bottom w:val="single" w:color="E8E6E6" w:sz="2"/>
          <w:right w:val="single" w:color="E8E6E6" w:sz="2"/>
          <w:insideH w:val="single" w:color="E8E6E6" w:sz="2"/>
          <w:insideV w:val="single" w:color="E8E6E6" w:sz="2"/>
        </w:tblBorders>
      </w:tblPr>
      <w:tblGrid>
        <w:gridCol w:w="2750"/>
        <w:gridCol w:w="1250"/>
        <w:gridCol w:w="1050"/>
        <w:gridCol w:w="4710"/>
      </w:tblGrid>
      <w:tr>
        <w:trPr>
          <w:tblHeader/>
        </w:trPr>
        <w:tc>
          <w:tcPr>
            <w:tcW w:type="dxa" w:w="2750"/>
            <w:shd w:fill="3B949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1250"/>
            <w:shd w:fill="3B949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FFFFFF"/>
                <w:sz w:val="16"/>
                <w:szCs w:val="16"/>
              </w:rPr>
              <w:t xml:space="preserve">Needed by</w:t>
            </w:r>
          </w:p>
        </w:tc>
        <w:tc>
          <w:tcPr>
            <w:tcW w:type="dxa" w:w="1050"/>
            <w:shd w:fill="3B949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4710"/>
            <w:shd w:fill="3B949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FFFFFF"/>
                <w:sz w:val="16"/>
                <w:szCs w:val="16"/>
              </w:rPr>
              <w:t xml:space="preserve">Notes / source</w:t>
            </w:r>
          </w:p>
        </w:tc>
      </w:tr>
      <w:tr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Gateway: onboarding + IDQ + ID Score</w:t>
            </w:r>
          </w:p>
        </w:tc>
        <w:tc>
          <w:tcPr>
            <w:tcW w:type="dxa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Charter MVP</w:t>
            </w:r>
          </w:p>
        </w:tc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P1</w:t>
            </w:r>
          </w:p>
        </w:tc>
        <w:tc>
          <w:tcPr>
            <w:tcW w:type="dxa" w:w="47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Conversational per spec; Typeform fallback acceptable for Oct. Outputs: ID Score, Door, Reclaim List (frozen contract).</w:t>
            </w:r>
          </w:p>
        </w:tc>
      </w:tr>
      <w:tr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Asset engine — 12 gated assets as versioned content</w:t>
            </w:r>
          </w:p>
        </w:tc>
        <w:tc>
          <w:tcPr>
            <w:tcW w:type="dxa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Charter MVP</w:t>
            </w:r>
          </w:p>
        </w:tc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P1</w:t>
            </w:r>
          </w:p>
        </w:tc>
        <w:tc>
          <w:tcPr>
            <w:tcW w:type="dxa" w:w="47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Gating rules as config (Greg's), variant support (Reconnect A/B), per-asset telemetry. Decision Log Jun 4 + Jun 9.</w:t>
            </w:r>
          </w:p>
        </w:tc>
      </w:tr>
      <w:tr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Dosing v1 — Rewire/Rebuild mix from IDQ subscores</w:t>
            </w:r>
          </w:p>
        </w:tc>
        <w:tc>
          <w:tcPr>
            <w:tcW w:type="dxa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Charter MVP</w:t>
            </w:r>
          </w:p>
        </w:tc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P1</w:t>
            </w:r>
          </w:p>
        </w:tc>
        <w:tc>
          <w:tcPr>
            <w:tcW w:type="dxa" w:w="47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Rules-based to start; the agent applies it. Corrected program topology, Decision Log Jun 9.</w:t>
            </w:r>
          </w:p>
        </w:tc>
      </w:tr>
      <w:tr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Member Agent v1 — onboarding + check-in + science retrieval</w:t>
            </w:r>
          </w:p>
        </w:tc>
        <w:tc>
          <w:tcPr>
            <w:tcW w:type="dxa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Charter MVP</w:t>
            </w:r>
          </w:p>
        </w:tc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P1</w:t>
            </w:r>
          </w:p>
        </w:tc>
        <w:tc>
          <w:tcPr>
            <w:tcW w:type="dxa" w:w="47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Retrieves Concept Map entries + Science Checks per gated asset (Authoring Brief pipeline).</w:t>
            </w:r>
          </w:p>
        </w:tc>
      </w:tr>
      <w:tr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Corpus pipeline — six-section template ingestion</w:t>
            </w:r>
          </w:p>
        </w:tc>
        <w:tc>
          <w:tcPr>
            <w:tcW w:type="dxa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Charter MVP</w:t>
            </w:r>
          </w:p>
        </w:tc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P1</w:t>
            </w:r>
          </w:p>
        </w:tc>
        <w:tc>
          <w:tcPr>
            <w:tcW w:type="dxa" w:w="47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Greg's freeform → structured corpus entries → sign-off loop. Authoring Brief v1.3.</w:t>
            </w:r>
          </w:p>
        </w:tc>
      </w:tr>
      <w:tr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Dashboard-lite — ID Score, current focus, Reclaim List, chat, Circle, 988</w:t>
            </w:r>
          </w:p>
        </w:tc>
        <w:tc>
          <w:tcPr>
            <w:tcW w:type="dxa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Charter MVP</w:t>
            </w:r>
          </w:p>
        </w:tc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P1</w:t>
            </w:r>
          </w:p>
        </w:tc>
        <w:tc>
          <w:tcPr>
            <w:tcW w:type="dxa" w:w="47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'Current focus' replaces 'phase.' Crisis routing always-on per governance.</w:t>
            </w:r>
          </w:p>
        </w:tc>
      </w:tr>
      <w:tr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Telemetry — started/completed/time/drop-off per asset</w:t>
            </w:r>
          </w:p>
        </w:tc>
        <w:tc>
          <w:tcPr>
            <w:tcW w:type="dxa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Charter MVP</w:t>
            </w:r>
          </w:p>
        </w:tc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P1</w:t>
            </w:r>
          </w:p>
        </w:tc>
        <w:tc>
          <w:tcPr>
            <w:tcW w:type="dxa" w:w="47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Greg's implementation outcomes; internal QI (no IRB dependency).</w:t>
            </w:r>
          </w:p>
        </w:tc>
      </w:tr>
      <w:tr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Billing — free charter flag, paid signup, founders-rate conversion</w:t>
            </w:r>
          </w:p>
        </w:tc>
        <w:tc>
          <w:tcPr>
            <w:tcW w:type="dxa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Paid launch</w:t>
            </w:r>
          </w:p>
        </w:tc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P2</w:t>
            </w:r>
          </w:p>
        </w:tc>
        <w:tc>
          <w:tcPr>
            <w:tcW w:type="dxa" w:w="47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Live by Dec '26 for Jan 1. Resolution-campaign signup flow.</w:t>
            </w:r>
          </w:p>
        </w:tc>
      </w:tr>
      <w:tr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Science Check Zones — Greg-signed callouts in asset views</w:t>
            </w:r>
          </w:p>
        </w:tc>
        <w:tc>
          <w:tcPr>
            <w:tcW w:type="dxa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Paid launch</w:t>
            </w:r>
          </w:p>
        </w:tc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P2</w:t>
            </w:r>
          </w:p>
        </w:tc>
        <w:tc>
          <w:tcPr>
            <w:tcW w:type="dxa" w:w="47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Member-facing Greg voice, one per gated asset.</w:t>
            </w:r>
          </w:p>
        </w:tc>
      </w:tr>
      <w:tr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Agent-guided Visualization (W-3) delivery</w:t>
            </w:r>
          </w:p>
        </w:tc>
        <w:tc>
          <w:tcPr>
            <w:tcW w:type="dxa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Paid launch</w:t>
            </w:r>
          </w:p>
        </w:tc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P2</w:t>
            </w:r>
          </w:p>
        </w:tc>
        <w:tc>
          <w:tcPr>
            <w:tcW w:type="dxa" w:w="47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Conversational guidance personalized with Reclaim List/Door; audio optional later.</w:t>
            </w:r>
          </w:p>
        </w:tc>
      </w:tr>
      <w:tr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Survey / interview intake integration</w:t>
            </w:r>
          </w:p>
        </w:tc>
        <w:tc>
          <w:tcPr>
            <w:tcW w:type="dxa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Paid launch</w:t>
            </w:r>
          </w:p>
        </w:tc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P2</w:t>
            </w:r>
          </w:p>
        </w:tc>
        <w:tc>
          <w:tcPr>
            <w:tcW w:type="dxa" w:w="47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Greg's onboarding survey; secure video/audio storage; consent gates per research track.</w:t>
            </w:r>
          </w:p>
        </w:tc>
      </w:tr>
      <w:tr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16 companion assets via the asset engine</w:t>
            </w:r>
          </w:p>
        </w:tc>
        <w:tc>
          <w:tcPr>
            <w:tcW w:type="dxa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Post-launch</w:t>
            </w:r>
          </w:p>
        </w:tc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P3</w:t>
            </w:r>
          </w:p>
        </w:tc>
        <w:tc>
          <w:tcPr>
            <w:tcW w:type="dxa" w:w="47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Depth tier; extends as Greg's scope allows (Authoring Brief).</w:t>
            </w:r>
          </w:p>
        </w:tc>
      </w:tr>
      <w:tr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First 1,000 Miles tracking subsystem</w:t>
            </w:r>
          </w:p>
        </w:tc>
        <w:tc>
          <w:tcPr>
            <w:tcW w:type="dxa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Post-launch</w:t>
            </w:r>
          </w:p>
        </w:tc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P3</w:t>
            </w:r>
          </w:p>
        </w:tc>
        <w:tc>
          <w:tcPr>
            <w:tcW w:type="dxa" w:w="47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Optional Rebuild-track tool — not universal, not a progress gate. Decision Log Jun 9.</w:t>
            </w:r>
          </w:p>
        </w:tc>
      </w:tr>
      <w:tr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Founder Agent v1 — drafts + review gate</w:t>
            </w:r>
          </w:p>
        </w:tc>
        <w:tc>
          <w:tcPr>
            <w:tcW w:type="dxa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Post-launch</w:t>
            </w:r>
          </w:p>
        </w:tc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P3</w:t>
            </w:r>
          </w:p>
        </w:tc>
        <w:tc>
          <w:tcPr>
            <w:tcW w:type="dxa" w:w="47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No auto-send. Founder Agent Tech Spec v2.0.</w:t>
            </w:r>
          </w:p>
        </w:tc>
      </w:tr>
      <w:tr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Research data feed — anonymized at write</w:t>
            </w:r>
          </w:p>
        </w:tc>
        <w:tc>
          <w:tcPr>
            <w:tcW w:type="dxa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Post-launch</w:t>
            </w:r>
          </w:p>
        </w:tc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P3</w:t>
            </w:r>
          </w:p>
        </w:tc>
        <w:tc>
          <w:tcPr>
            <w:tcW w:type="dxa" w:w="47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Activates at IRB approval; per governance research ethics.</w:t>
            </w:r>
          </w:p>
        </w:tc>
      </w:tr>
      <w:tr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Tenant-capable foundation (RLS) — dormant</w:t>
            </w:r>
          </w:p>
        </w:tc>
        <w:tc>
          <w:tcPr>
            <w:tcW w:type="dxa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Post-launch</w:t>
            </w:r>
          </w:p>
        </w:tc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P3</w:t>
            </w:r>
          </w:p>
        </w:tc>
        <w:tc>
          <w:tcPr>
            <w:tcW w:type="dxa" w:w="47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Activated only when a customer funds it.</w:t>
            </w:r>
          </w:p>
        </w:tc>
      </w:tr>
    </w:tbl>
    <w:p>
      <w:pPr>
        <w:spacing w:after="80"/>
      </w:pPr>
      <w:r>
        <w:rPr>
          <w:rFonts w:ascii="Barlow" w:cs="Barlow" w:eastAsia="Barlow" w:hAnsi="Barlow"/>
          <w:i/>
          <w:iCs/>
          <w:color w:val="2A2A2A"/>
          <w:sz w:val="16"/>
          <w:szCs w:val="16"/>
        </w:rPr>
        <w:t xml:space="preserve">Owner: Jay (priorities) · fractional senior + builder (estimates, sequencing). Promote a row by writing its Feature Brief.</w:t>
      </w:r>
    </w:p>
    <w:sectPr>
      <w:footerReference w:type="default" r:id="rId7"/>
      <w:pgSz w:w="12240" w:h="15840" w:orient="portrait"/>
      <w:pgMar w:top="1000" w:right="1240" w:bottom="100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arlow" w:cs="Barlow" w:eastAsia="Barlow" w:hAnsi="Barlow"/>
        <w:color w:val="374F63"/>
        <w:sz w:val="15"/>
        <w:szCs w:val="15"/>
      </w:rPr>
      <w:t xml:space="preserve">Grinta for Life · Platform Backlog v1.1 · </w:t>
    </w:r>
    <w:r>
      <w:rPr>
        <w:rFonts w:ascii="Barlow" w:cs="Barlow" w:eastAsia="Barlow" w:hAnsi="Barlow"/>
        <w:color w:val="374F63"/>
        <w:sz w:val="15"/>
        <w:szCs w:val="15"/>
      </w:rPr>
      <w:t xml:space="preserve">Page </w:t>
    </w:r>
    <w:r>
      <w:rPr>
        <w:rFonts w:ascii="Barlow" w:cs="Barlow" w:eastAsia="Barlow" w:hAnsi="Barlow"/>
        <w:color w:val="374F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color w:val="2A2A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2026-06-05T20:44:25.194Z</dcterms:created>
  <dcterms:modified xsi:type="dcterms:W3CDTF">2026-06-05T20:44:25.194Z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