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Times New Roman" w:cs="Times New Roman" w:hAnsi="Times New Roman" w:eastAsia="Times New Roman"/>
          <w:sz w:val="28"/>
          <w:szCs w:val="28"/>
        </w:rPr>
      </w:pPr>
      <w:r>
        <w:rPr>
          <w:rFonts w:ascii="Times New Roman" w:hAnsi="Times New Roman"/>
          <w:b w:val="1"/>
          <w:bCs w:val="1"/>
          <w:sz w:val="28"/>
          <w:szCs w:val="28"/>
          <w:rtl w:val="0"/>
          <w:lang w:val="en-US"/>
        </w:rPr>
        <w:t>Project Title:</w:t>
      </w:r>
      <w:r>
        <w:rPr>
          <w:rFonts w:ascii="Times New Roman" w:hAnsi="Times New Roman"/>
          <w:sz w:val="28"/>
          <w:szCs w:val="28"/>
          <w:rtl w:val="0"/>
          <w:lang w:val="en-US"/>
        </w:rPr>
        <w:t xml:space="preserve"> High-Performance Multimodal Transformer Inference on Commodity GPUs</w:t>
      </w:r>
    </w:p>
    <w:p>
      <w:pPr>
        <w:pStyle w:val="Normal.0"/>
        <w:rPr>
          <w:rFonts w:ascii="Times New Roman" w:cs="Times New Roman" w:hAnsi="Times New Roman" w:eastAsia="Times New Roman"/>
          <w:sz w:val="28"/>
          <w:szCs w:val="28"/>
        </w:rPr>
      </w:pPr>
      <w:r>
        <w:rPr>
          <w:rFonts w:ascii="Times New Roman" w:hAnsi="Times New Roman"/>
          <w:b w:val="1"/>
          <w:bCs w:val="1"/>
          <w:sz w:val="28"/>
          <w:szCs w:val="28"/>
          <w:rtl w:val="0"/>
          <w:lang w:val="en-US"/>
        </w:rPr>
        <w:t xml:space="preserve">Project Member(s): </w:t>
      </w:r>
      <w:r>
        <w:rPr>
          <w:rFonts w:ascii="Times New Roman" w:hAnsi="Times New Roman"/>
          <w:sz w:val="28"/>
          <w:szCs w:val="28"/>
          <w:rtl w:val="0"/>
          <w:lang w:val="en-US"/>
        </w:rPr>
        <w:t>Jay Darji (018180851) and Karma Patel (018223517)</w:t>
      </w:r>
    </w:p>
    <w:p>
      <w:pPr>
        <w:pStyle w:val="Normal.0"/>
        <w:rPr>
          <w:rFonts w:ascii="Times New Roman" w:cs="Times New Roman" w:hAnsi="Times New Roman" w:eastAsia="Times New Roman"/>
        </w:rPr>
      </w:pPr>
      <w:r>
        <w:rPr>
          <w:rFonts w:ascii="Times New Roman" w:hAnsi="Times New Roman"/>
          <w:b w:val="1"/>
          <w:bCs w:val="1"/>
          <w:rtl w:val="0"/>
          <w:lang w:val="en-US"/>
        </w:rPr>
        <w:t xml:space="preserve">Abstracts: </w:t>
      </w:r>
      <w:r>
        <w:rPr>
          <w:rFonts w:ascii="Times New Roman" w:hAnsi="Times New Roman"/>
          <w:i w:val="1"/>
          <w:iCs w:val="1"/>
          <w:rtl w:val="0"/>
          <w:lang w:val="en-US"/>
        </w:rPr>
        <w:t>Why (Importance):</w:t>
      </w:r>
      <w:r>
        <w:rPr>
          <w:rFonts w:ascii="Times New Roman" w:hAnsi="Times New Roman"/>
          <w:rtl w:val="0"/>
          <w:lang w:val="en-US"/>
        </w:rPr>
        <w:t xml:space="preserve"> Modern transformer models deliver strong language and vision performance, but most published inference results assume server-class GPUs with large VRAM. In a typical student setting, laptops with about 4 GB VRAM, for example an RTX 3050 Ti, struggle with longer context windows because attention is memory-bandwidth heavy and the key-value cache grows with sequence length. This causes high latency, small feasible batch sizes, and out-of-memory failures that make the model impractical for real use. This project is important because it turns recent inference-efficiency research into a measured and reproducible engineering case study on commodity student hardware. The outcome will be practical guidance on what actually works under strict VRAM limits, backed by clear evidence from profiling and benchmarks.</w:t>
      </w:r>
    </w:p>
    <w:p>
      <w:pPr>
        <w:pStyle w:val="Normal.0"/>
        <w:rPr>
          <w:rFonts w:ascii="Times New Roman" w:cs="Times New Roman" w:hAnsi="Times New Roman" w:eastAsia="Times New Roman"/>
        </w:rPr>
      </w:pPr>
      <w:r>
        <w:rPr>
          <w:rFonts w:ascii="Times New Roman" w:hAnsi="Times New Roman"/>
          <w:i w:val="1"/>
          <w:iCs w:val="1"/>
          <w:rtl w:val="0"/>
          <w:lang w:val="en-US"/>
        </w:rPr>
        <w:t>What (Objective):</w:t>
      </w:r>
      <w:r>
        <w:rPr>
          <w:rFonts w:ascii="Times New Roman" w:hAnsi="Times New Roman"/>
          <w:rtl w:val="0"/>
          <w:lang w:val="en-US"/>
        </w:rPr>
        <w:t xml:space="preserve"> We will build a stable baseline inference setup for one compact open-source transformer model that reliably operates on a 4 GB VRAM laptop GPU, then quantify p50 and p95 latency, tokens/s throughput, peak VRAM, CPU RAM, and a small controlled quality score. We will evaluate attention-optimized kernels using PyTorch scaled dot-product attention backends and, when supported by the GPU and software stack, FlashAttention. We will evaluate KV-cache quantization using an existing supported implementation first, and only attempt deeper framework modification if time and stability allow. If both techniques are stable on the target platform, we will attempt a combined configuration. We will deliver a reproducible prototype, benchmark tables and plots, and configuration guidelines. The core scope is text-only transformer inference; a small multimodal sanity benchmark is an explicit optional extension and will not block the core milestones.</w:t>
      </w:r>
    </w:p>
    <w:p>
      <w:pPr>
        <w:pStyle w:val="Normal.0"/>
        <w:rPr>
          <w:rFonts w:ascii="Times New Roman" w:cs="Times New Roman" w:hAnsi="Times New Roman" w:eastAsia="Times New Roman"/>
        </w:rPr>
      </w:pPr>
      <w:r>
        <w:rPr>
          <w:rFonts w:ascii="Times New Roman" w:hAnsi="Times New Roman"/>
          <w:i w:val="1"/>
          <w:iCs w:val="1"/>
          <w:rtl w:val="0"/>
          <w:lang w:val="en-US"/>
        </w:rPr>
        <w:t xml:space="preserve">How (Architecture, Algorithms, Tools, Design Flow): </w:t>
      </w:r>
      <w:r>
        <w:rPr>
          <w:rFonts w:ascii="Times New Roman" w:hAnsi="Times New Roman"/>
          <w:rtl w:val="0"/>
          <w:lang w:val="en-US"/>
        </w:rPr>
        <w:t>Architecture and workflow: (1) Select a compact open-source model in the 2B to 4B range to reduce schedule risk under 4 GB VRAM, and load it with 4-bit weight quantization. We will enforce a VRAM budget so that weights alone stay below about 3.2 GB, leaving headroom for runtime buffers and the KV cache. (2) Build measurement harnesses for p50 and p95 latency, tokens/s throughput, peak VRAM and CPU RAM, and out-of-memory thresholds as a function of sequence length, using PyTorch Profiler, nvidia-smi logging, and scripted prompt workloads. We will fix benchmark settings across configurations and report them in the appendix, including prompt lengths (128, 512, 1024 tokens), output limit (128 tokens), batch sizes (1 and 4), and decoding settings (greedy, temperature 0) for all measurements. (3) Enable attention-optimized kernels through PyTorch SDPA and, if available on the GPU and software stack, FlashAttention. We will log which backend actually ran and provide profiler evidence, with a fallback to memory-efficient SDPA or xFormers if flash kernels are not supported. (4) Evaluate KV-cache quantization using an existing supported path first, such as llama.cpp KV-cache quantization or framework-supported KV quantization if available, and only attempt deeper framework modification if time and stability allow. (5) Define correctness as deterministic greedy decoding on fixed prompts plus a numerical check on next-token logits, reported as top-1 token agreement rate and maximum absolute logit difference for a fixed number of steps. This verifies the optimizations do not change the next-token decision beyond a small numerical tolerance. (6) Define quality evaluation as a fixed 0-shot subset of lightweight tasks, for example 200 examples each from ARC-Easy, PIQA, and HellaSwag, reporting accuracy and relative quality retention compared to baseline, with a runtime limit per configuration. (7) Benchmark baseline versus optimized configurations under realistic laptop workloads, single-turn generation, short multi-turn chat, and a longer context stress test, then package the scripts, configs, logs, and report so another student can reproduce the results.</w:t>
      </w:r>
    </w:p>
    <w:p>
      <w:pPr>
        <w:pStyle w:val="Normal.0"/>
        <w:rPr>
          <w:rFonts w:ascii="Times New Roman" w:cs="Times New Roman" w:hAnsi="Times New Roman" w:eastAsia="Times New Roman"/>
        </w:rPr>
      </w:pPr>
      <w:r>
        <w:rPr>
          <w:rFonts w:ascii="Times New Roman" w:hAnsi="Times New Roman"/>
          <w:i w:val="1"/>
          <w:iCs w:val="1"/>
          <w:rtl w:val="0"/>
          <w:lang w:val="en-US"/>
        </w:rPr>
        <w:t>Expected Results:</w:t>
      </w:r>
      <w:r>
        <w:rPr>
          <w:rFonts w:ascii="Times New Roman" w:hAnsi="Times New Roman"/>
          <w:rtl w:val="0"/>
          <w:lang w:val="en-US"/>
        </w:rPr>
        <w:t xml:space="preserve"> We expect a verified baseline that runs reliably on a 4 GB VRAM laptop GPU with documented out-of-memory thresholds, quantified gains from attention optimization and KV-cache quantization in terms of lower latency and/or longer feasible context length, and a clear tradeoff curve between memory savings and quality retention. Our success target is to achieve at least one of the following while holding decoding and workload settings fixed: a 20 percent reduction in p95 latency at a fixed context length, or a 1.5x increase in maximum context length before out-of-memory, while keeping quality retention within a small drop relative to baseline on the fixed evaluation subset. We will deliver a consolidated benchmark table, plots, and configuration guidelines, plus a clean reproducible prototype package with scripts, configs, version locking, and troubleshooting notes. If time permits, we will also report a small optional vision-language sanity benchmark that measures the added memory and latency cost of multimodal inputs.</w:t>
      </w: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p>
    <w:p>
      <w:pPr>
        <w:pStyle w:val="Normal.0"/>
        <w:rPr>
          <w:rFonts w:ascii="Times New Roman" w:cs="Times New Roman" w:hAnsi="Times New Roman" w:eastAsia="Times New Roman"/>
        </w:rPr>
      </w:pPr>
    </w:p>
    <w:p>
      <w:pPr>
        <w:pStyle w:val="Normal.0"/>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Schedule</w:t>
      </w:r>
    </w:p>
    <w:tbl>
      <w:tblPr>
        <w:tblW w:w="935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168"/>
        <w:gridCol w:w="5234"/>
        <w:gridCol w:w="2957"/>
      </w:tblGrid>
      <w:tr>
        <w:tblPrEx>
          <w:shd w:val="clear" w:color="auto" w:fill="cad1d7"/>
        </w:tblPrEx>
        <w:trPr>
          <w:trHeight w:val="3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b w:val="1"/>
                <w:bCs w:val="1"/>
                <w:rtl w:val="0"/>
                <w:lang w:val="en-US"/>
              </w:rPr>
              <w:t>Week of</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Regular" w:cs="Times New Roman Regular" w:hAnsi="Times New Roman Regular" w:eastAsia="Times New Roman Regular"/>
                <w:b w:val="1"/>
                <w:bCs w:val="1"/>
                <w:rtl w:val="0"/>
                <w:lang w:val="en-US"/>
              </w:rPr>
              <w:t>Weekly Tasks</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jc w:val="center"/>
            </w:pPr>
            <w:r>
              <w:rPr>
                <w:rFonts w:ascii="Times New Roman Regular" w:cs="Times New Roman Regular" w:hAnsi="Times New Roman Regular" w:eastAsia="Times New Roman Regular"/>
                <w:b w:val="1"/>
                <w:bCs w:val="1"/>
                <w:rtl w:val="0"/>
                <w:lang w:val="en-US"/>
              </w:rPr>
              <w:t>Weekly Deliverables</w:t>
            </w:r>
          </w:p>
        </w:tc>
      </w:tr>
      <w:tr>
        <w:tblPrEx>
          <w:shd w:val="clear" w:color="auto" w:fill="cad1d7"/>
        </w:tblPrEx>
        <w:trPr>
          <w:trHeight w:val="39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2/2</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Confirm scope, grading expectations, and success metrics. Shortlist 2 to 3 realistic model candidates in the 2B to 4B range and verify the VRAM budget assumption: weights must stay below about 3.2 GB to keep headroom for runtime buffers and the KV cache. Define fixed benchmark settings that will be held constant across all experiments (prompt lengths 128, 512, 1024 tokens; output limit 128 tokens; batch sizes 1 and 4; greedy decoding with temperature 0). Define workloads: single-turn, short multi-turn chat, and long-context stress. Define correctness and quality protocols and create a fixed prompt set.</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Model shortlist and selection criteria documented. VRAM budget worksheet with headroom target. Fixed benchmark settings document. Fixed prompt set v1 and evaluation protocol document, including correctness definition and quality subset plan.</w:t>
            </w:r>
          </w:p>
        </w:tc>
      </w:tr>
      <w:tr>
        <w:tblPrEx>
          <w:shd w:val="clear" w:color="auto" w:fill="cad1d7"/>
        </w:tblPrEx>
        <w:trPr>
          <w:trHeight w:val="33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2/9</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Build a reproducible environment on the laptop, validate CUDA and PyTorch, and install the inference stack. Make the primary execution path explicit (vLLM or Hugging Face Transformers) and stand up a fallback path for KV-cache quantization experiments using llama.cpp if needed. Implement logging for nvidia-smi, CPU RAM, runtime metadata, and attention backend selection.</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Environment setup notes with exact versions and install commands. Primary baseline run script executes end to end. Automated logging produces timestamped VRAM and CPU RAM traces plus backend logs. Fallback path installed and verified with a simple run.</w:t>
            </w:r>
          </w:p>
        </w:tc>
      </w:tr>
      <w:tr>
        <w:tblPrEx>
          <w:shd w:val="clear" w:color="auto" w:fill="cad1d7"/>
        </w:tblPrEx>
        <w:trPr>
          <w:trHeight w:val="30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2/16</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Establish the baseline measurement harness: warmup policy, p50 and p95 latency capture, tokens/s, peak VRAM and CPU RAM, and out-of-memory threshold search over context length. Implement deterministic correctness harness using greedy decoding and fixed seeds, plus next-token logit comparison over a fixed number of steps.</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Baseline results dataset in CSV or JSON, including latency, throughput, memory, and out-of-memory thresholds. Correctness harness code with stored baseline logits or token traces. Baseline plots showing scaling with sequence length.</w:t>
            </w:r>
          </w:p>
        </w:tc>
      </w:tr>
      <w:tr>
        <w:tblPrEx>
          <w:shd w:val="clear" w:color="auto" w:fill="cad1d7"/>
        </w:tblPrEx>
        <w:trPr>
          <w:trHeight w:val="21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2/23</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Profile baseline with PyTorch Profiler and identify the top time and memory contributors. Select the attention backend plan and confirm what is feasible on the GPU and software stack. Add instrumentation to log which SDPA backend actually ran and capture profiler evidence for attention kernels.</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Bottleneck summary with top kernels and layers. Attention backend plan with a clear primary and fallback path. Proof logging in place: backend selection logs and profiler traces captured.</w:t>
            </w:r>
          </w:p>
        </w:tc>
      </w:tr>
      <w:tr>
        <w:tblPrEx>
          <w:shd w:val="clear" w:color="auto" w:fill="cad1d7"/>
        </w:tblPrEx>
        <w:trPr>
          <w:trHeight w:val="21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3/2</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Integrate attention optimization using PyTorch SDPA settings and, if supported, FlashAttention. Validate correctness against baseline using the deterministic harness and report top-1 agreement rate and max absolute logit difference. Begin performance sweeps across the fixed benchmark settings.</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Attention-optimized configuration scripts and flags. Correctness report with numerical metrics. Initial attention benchmark results with backend evidence logs.</w:t>
            </w:r>
          </w:p>
        </w:tc>
      </w:tr>
      <w:tr>
        <w:tblPrEx>
          <w:shd w:val="clear" w:color="auto" w:fill="cad1d7"/>
        </w:tblPrEx>
        <w:trPr>
          <w:trHeight w:val="24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3/9</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Stabilization buffer for attention phase. Resolve kernel fallback issues, datatype constraints, and any out-of-memory instability. Complete attention benchmarking and document failure modes such as thermal throttling and small-batch behavior. Draft the report subsection for baseline and attention results.</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Final attention results table and plots: latency versus length, VRAM versus length, tokens/s. Stability notes and limitations section. Report draft subsection text with figures placeholders.</w:t>
            </w:r>
          </w:p>
        </w:tc>
      </w:tr>
      <w:tr>
        <w:tblPrEx>
          <w:shd w:val="clear" w:color="auto" w:fill="cad1d7"/>
        </w:tblPrEx>
        <w:trPr>
          <w:trHeight w:val="30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3/16</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KV-cache quantization phase using an existing supported implementation first. Prefer a toolchain that provides KV-cache quantization without deep framework rewrites. Validate correctness using the deterministic harness and measure KV memory growth per token. Decide whether a deeper integration attempt is justified.</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KV-cache quantization prototype running end to end. Correctness metrics reported, including agreement rate and logit difference. Memory per token measurement and a documented decision on whether deeper integration is pursued.</w:t>
            </w:r>
          </w:p>
        </w:tc>
      </w:tr>
      <w:tr>
        <w:tblPrEx>
          <w:shd w:val="clear" w:color="auto" w:fill="cad1d7"/>
        </w:tblPrEx>
        <w:trPr>
          <w:trHeight w:val="27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3/23</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KV-cache experiments. Measure VRAM savings, latency impact, and quality retention on the fixed 0-shot subset, for example 200 examples each from ARC-Easy, PIQA, and HellaSwag, with a runtime limit per configuration. Summarize tradeoffs and pick the final KV settings to carry into the benchmark suite.</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KV tradeoff curves and tables: memory saved versus latency and quality retention. Quality subset results reported as accuracy with sample size and runtime stated. Final KV setting selection and justification.</w:t>
            </w:r>
          </w:p>
        </w:tc>
      </w:tr>
      <w:tr>
        <w:tblPrEx>
          <w:shd w:val="clear" w:color="auto" w:fill="cad1d7"/>
        </w:tblPrEx>
        <w:trPr>
          <w:trHeight w:val="21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3/30</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Attempt combined configuration only if both attention optimization and KV-cache quantization are stable. If the combination is unstable or incompatible, lock the plan to report separate gains with a clear technical explanation and evidence. Define the final benchmark matrix and runbook and freeze configuration IDs.</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Combined configuration results if stable; otherwise a documented incompatibility report with evidence. Final benchmark runbook, fixed configs, and scripts ready.</w:t>
            </w:r>
          </w:p>
        </w:tc>
      </w:tr>
      <w:tr>
        <w:tblPrEx>
          <w:shd w:val="clear" w:color="auto" w:fill="cad1d7"/>
        </w:tblPrEx>
        <w:trPr>
          <w:trHeight w:val="21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4/6</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Run the full benchmark suite across all final configurations. Record p50 and p95 latency, tokens/s, peak VRAM and CPU RAM, and out-of-memory thresholds. Generate final plots and begin the analysis and recommendations section, focusing on practical guidelines for 4 GB VRAM laptops.</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Final benchmark dataset and consolidated summary table. Final plots ready for report. Draft configuration guideline section with concrete recommendations and limits.</w:t>
            </w:r>
          </w:p>
        </w:tc>
      </w:tr>
      <w:tr>
        <w:tblPrEx>
          <w:shd w:val="clear" w:color="auto" w:fill="cad1d7"/>
        </w:tblPrEx>
        <w:trPr>
          <w:trHeight w:val="27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4/13</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Reproducibility and packaging. Clean scripts, lock versions, add README and troubleshooting, and ensure one command runs per configuration. Prepare appendix material with hardware details and the exact benchmarking protocol so results can be audited.</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Prototype package organized with scripts and configs. Reproducible README and troubleshooting section. Appendix draft with hardware specs, software versions, and benchmark protocol.</w:t>
            </w:r>
          </w:p>
        </w:tc>
      </w:tr>
      <w:tr>
        <w:tblPrEx>
          <w:shd w:val="clear" w:color="auto" w:fill="cad1d7"/>
        </w:tblPrEx>
        <w:trPr>
          <w:trHeight w:val="15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4/20</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Write the complete report draft with methodology, experimental setup, correctness and quality definitions, results, and recommendations. Tighten figures, tables, and citations. Incorporate advisor feedback if available.</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Complete report draft v1, all sections present. Finalized figures and tables inserted. List of remaining issues with owners and actions.</w:t>
            </w:r>
          </w:p>
        </w:tc>
      </w:tr>
      <w:tr>
        <w:tblPrEx>
          <w:shd w:val="clear" w:color="auto" w:fill="cad1d7"/>
        </w:tblPrEx>
        <w:trPr>
          <w:trHeight w:val="21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4/27</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Buffer and polish week. Re-run any failed experiments, verify reproducibility, and finalize guidelines. Prepare slides and demo scripts. Optional extension if time permits: run a compact vision-language sanity benchmark on a small image prompt set to measure multimodal overhead, and clearly label it as extension.</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Near-final report v2. Slides draft and demo checklist. Optional extension results, if completed, with a small VLM overhead table and a clear scope statement.</w:t>
            </w:r>
          </w:p>
        </w:tc>
      </w:tr>
      <w:tr>
        <w:tblPrEx>
          <w:shd w:val="clear" w:color="auto" w:fill="cad1d7"/>
        </w:tblPrEx>
        <w:trPr>
          <w:trHeight w:val="1800" w:hRule="atLeast"/>
        </w:trPr>
        <w:tc>
          <w:tcPr>
            <w:tcW w:type="dxa" w:w="1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pPr>
            <w:r>
              <w:rPr>
                <w:rFonts w:ascii="Times New Roman Regular" w:cs="Times New Roman Regular" w:hAnsi="Times New Roman Regular" w:eastAsia="Times New Roman Regular"/>
                <w:rtl w:val="0"/>
                <w:lang w:val="en-US"/>
              </w:rPr>
              <w:t>5/4</w:t>
            </w:r>
          </w:p>
        </w:tc>
        <w:tc>
          <w:tcPr>
            <w:tcW w:type="dxa" w:w="5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Final submission and presentation readiness. Finalize report formatting, freeze repository release tag, ensure results are reproducible, rehearse the final presentation and Q&amp;A.</w:t>
            </w:r>
          </w:p>
        </w:tc>
        <w:tc>
          <w:tcPr>
            <w:tcW w:type="dxa" w:w="29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240" w:lineRule="auto"/>
            </w:pPr>
            <w:r>
              <w:rPr>
                <w:rFonts w:ascii="Times New Roman Regular" w:cs="Times New Roman Regular" w:hAnsi="Times New Roman Regular" w:eastAsia="Times New Roman Regular"/>
                <w:rtl w:val="0"/>
                <w:lang w:val="en-US"/>
              </w:rPr>
              <w:t>Final report submitted. Final slides submitted. Reproducible repository tag with configs, results, instructions, and a ready demo script.</w:t>
            </w:r>
          </w:p>
        </w:tc>
      </w:tr>
    </w:tbl>
    <w:p>
      <w:pPr>
        <w:pStyle w:val="Normal.0"/>
      </w:pP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Times New Roman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