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329339"/>
        <w:docPartObj>
          <w:docPartGallery w:val="Cover Pages"/>
          <w:docPartUnique/>
        </w:docPartObj>
      </w:sdtPr>
      <w:sdtContent>
        <w:p w14:paraId="1149E44C" w14:textId="6F355C3D" w:rsidR="00BB424F" w:rsidRDefault="00BB424F">
          <w:r>
            <w:rPr>
              <w:noProof/>
            </w:rPr>
            <mc:AlternateContent>
              <mc:Choice Requires="wpg">
                <w:drawing>
                  <wp:anchor distT="0" distB="0" distL="114300" distR="114300" simplePos="0" relativeHeight="251662336" behindDoc="0" locked="0" layoutInCell="1" allowOverlap="1" wp14:anchorId="5AC8017D" wp14:editId="45EDF5F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7D1E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030C74" wp14:editId="7101AF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755C4C" w14:textId="69A63302" w:rsidR="00BB424F" w:rsidRDefault="00BB424F">
                                    <w:pPr>
                                      <w:pStyle w:val="NoSpacing"/>
                                      <w:jc w:val="right"/>
                                      <w:rPr>
                                        <w:color w:val="595959" w:themeColor="text1" w:themeTint="A6"/>
                                        <w:sz w:val="28"/>
                                        <w:szCs w:val="28"/>
                                      </w:rPr>
                                    </w:pPr>
                                    <w:r>
                                      <w:rPr>
                                        <w:color w:val="595959" w:themeColor="text1" w:themeTint="A6"/>
                                        <w:sz w:val="28"/>
                                        <w:szCs w:val="28"/>
                                      </w:rPr>
                                      <w:t xml:space="preserve">Jayden </w:t>
                                    </w:r>
                                    <w:proofErr w:type="spellStart"/>
                                    <w:r>
                                      <w:rPr>
                                        <w:color w:val="595959" w:themeColor="text1" w:themeTint="A6"/>
                                        <w:sz w:val="28"/>
                                        <w:szCs w:val="28"/>
                                      </w:rPr>
                                      <w:t>Dzierbicki</w:t>
                                    </w:r>
                                    <w:proofErr w:type="spellEnd"/>
                                  </w:p>
                                </w:sdtContent>
                              </w:sdt>
                              <w:p w14:paraId="73628734" w14:textId="77777777" w:rsidR="00BB424F" w:rsidRDefault="00BB424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030C7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755C4C" w14:textId="69A63302" w:rsidR="00BB424F" w:rsidRDefault="00BB424F">
                              <w:pPr>
                                <w:pStyle w:val="NoSpacing"/>
                                <w:jc w:val="right"/>
                                <w:rPr>
                                  <w:color w:val="595959" w:themeColor="text1" w:themeTint="A6"/>
                                  <w:sz w:val="28"/>
                                  <w:szCs w:val="28"/>
                                </w:rPr>
                              </w:pPr>
                              <w:r>
                                <w:rPr>
                                  <w:color w:val="595959" w:themeColor="text1" w:themeTint="A6"/>
                                  <w:sz w:val="28"/>
                                  <w:szCs w:val="28"/>
                                </w:rPr>
                                <w:t xml:space="preserve">Jayden </w:t>
                              </w:r>
                              <w:proofErr w:type="spellStart"/>
                              <w:r>
                                <w:rPr>
                                  <w:color w:val="595959" w:themeColor="text1" w:themeTint="A6"/>
                                  <w:sz w:val="28"/>
                                  <w:szCs w:val="28"/>
                                </w:rPr>
                                <w:t>Dzierbicki</w:t>
                              </w:r>
                              <w:proofErr w:type="spellEnd"/>
                            </w:p>
                          </w:sdtContent>
                        </w:sdt>
                        <w:p w14:paraId="73628734" w14:textId="77777777" w:rsidR="00BB424F" w:rsidRDefault="00BB424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BCA0FC" wp14:editId="2778E58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F7736" w14:textId="77777777" w:rsidR="00BB424F" w:rsidRDefault="00BB424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0D160D" w14:textId="336F46F1" w:rsidR="00BB424F" w:rsidRDefault="00BB424F">
                                    <w:pPr>
                                      <w:pStyle w:val="NoSpacing"/>
                                      <w:jc w:val="right"/>
                                      <w:rPr>
                                        <w:color w:val="595959" w:themeColor="text1" w:themeTint="A6"/>
                                        <w:sz w:val="20"/>
                                        <w:szCs w:val="20"/>
                                      </w:rPr>
                                    </w:pPr>
                                    <w:r w:rsidRPr="00BB424F">
                                      <w:rPr>
                                        <w:color w:val="595959" w:themeColor="text1" w:themeTint="A6"/>
                                        <w:sz w:val="20"/>
                                        <w:szCs w:val="20"/>
                                      </w:rPr>
                                      <w:t>Can Machine Learning Models Effectively Predict the Annual Number of Disasters in Local Government Areas (LGAs) Based on Historical Event Data, and What Factors Contribute Significantly to the Occurrence of Disasters?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BCA0F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57F7736" w14:textId="77777777" w:rsidR="00BB424F" w:rsidRDefault="00BB424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0D160D" w14:textId="336F46F1" w:rsidR="00BB424F" w:rsidRDefault="00BB424F">
                              <w:pPr>
                                <w:pStyle w:val="NoSpacing"/>
                                <w:jc w:val="right"/>
                                <w:rPr>
                                  <w:color w:val="595959" w:themeColor="text1" w:themeTint="A6"/>
                                  <w:sz w:val="20"/>
                                  <w:szCs w:val="20"/>
                                </w:rPr>
                              </w:pPr>
                              <w:r w:rsidRPr="00BB424F">
                                <w:rPr>
                                  <w:color w:val="595959" w:themeColor="text1" w:themeTint="A6"/>
                                  <w:sz w:val="20"/>
                                  <w:szCs w:val="20"/>
                                </w:rPr>
                                <w:t>Can Machine Learning Models Effectively Predict the Annual Number of Disasters in Local Government Areas (LGAs) Based on Historical Event Data, and What Factors Contribute Significantly to the Occurrence of Disasters?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0B0B51" wp14:editId="16BE0C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C286E" w14:textId="58459D7E" w:rsidR="00BB424F" w:rsidRDefault="00BB424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424F">
                                      <w:rPr>
                                        <w:caps/>
                                        <w:color w:val="4472C4" w:themeColor="accent1"/>
                                        <w:sz w:val="64"/>
                                        <w:szCs w:val="64"/>
                                      </w:rPr>
                                      <w:t>Predictive Modeling of Annual Disasters in LGAs: Insights from Historical Event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577D543" w14:textId="77777777" w:rsidR="00BB424F" w:rsidRDefault="00BB424F">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0B0B5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80C286E" w14:textId="58459D7E" w:rsidR="00BB424F" w:rsidRDefault="00BB424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424F">
                                <w:rPr>
                                  <w:caps/>
                                  <w:color w:val="4472C4" w:themeColor="accent1"/>
                                  <w:sz w:val="64"/>
                                  <w:szCs w:val="64"/>
                                </w:rPr>
                                <w:t>Predictive Modeling of Annual Disasters in LGAs: Insights from Historical Event Data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577D543" w14:textId="77777777" w:rsidR="00BB424F" w:rsidRDefault="00BB424F">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1931AE1F" w14:textId="13DF3338" w:rsidR="00BB424F" w:rsidRDefault="00BB424F">
          <w:r>
            <w:br w:type="page"/>
          </w:r>
        </w:p>
      </w:sdtContent>
    </w:sdt>
    <w:p w14:paraId="7EC0B890" w14:textId="77777777" w:rsidR="00910D0E" w:rsidRDefault="00910D0E"/>
    <w:sectPr w:rsidR="00910D0E" w:rsidSect="00BB42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4F"/>
    <w:rsid w:val="00910D0E"/>
    <w:rsid w:val="00BB4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5E23"/>
  <w15:chartTrackingRefBased/>
  <w15:docId w15:val="{CD4CD964-EB03-4959-95B1-AD8DC598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24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B424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 Machine Learning Models Effectively Predict the Annual Number of Disasters in Local Government Areas (LGAs) Based on Historical Event Data, and What Factors Contribute Significantly to the Occurrence of Disasters?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of Annual Disasters in LGAs: Insights from Historical Event Data</dc:title>
  <dc:subject/>
  <dc:creator>Jayden Dzierbicki</dc:creator>
  <cp:keywords/>
  <dc:description/>
  <cp:lastModifiedBy>Jayden Dzierbicki</cp:lastModifiedBy>
  <cp:revision>1</cp:revision>
  <dcterms:created xsi:type="dcterms:W3CDTF">2023-10-13T10:20:00Z</dcterms:created>
  <dcterms:modified xsi:type="dcterms:W3CDTF">2023-10-13T10:22:00Z</dcterms:modified>
</cp:coreProperties>
</file>