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98285" w14:textId="77777777" w:rsidR="00A20B73" w:rsidRPr="00A20B73" w:rsidRDefault="00A20B73" w:rsidP="00B16199">
      <w:pPr>
        <w:spacing w:line="240" w:lineRule="auto"/>
        <w:rPr>
          <w:rFonts w:cs="Times New Roman"/>
          <w:sz w:val="28"/>
          <w:szCs w:val="28"/>
        </w:rPr>
      </w:pPr>
    </w:p>
    <w:p w14:paraId="42611D48" w14:textId="77777777" w:rsidR="007D55DF" w:rsidRPr="0055682A" w:rsidRDefault="007D55DF" w:rsidP="00B16199">
      <w:pPr>
        <w:spacing w:line="240" w:lineRule="auto"/>
        <w:rPr>
          <w:rFonts w:cs="Times New Roman"/>
          <w:b/>
          <w:sz w:val="28"/>
          <w:szCs w:val="28"/>
        </w:rPr>
      </w:pPr>
      <w:r w:rsidRPr="0055682A">
        <w:rPr>
          <w:rFonts w:cs="Times New Roman"/>
          <w:b/>
          <w:sz w:val="28"/>
          <w:szCs w:val="28"/>
        </w:rPr>
        <w:t>Parkinson’s disease subtypes identified from cluster analysis of motor and non-motor symptoms</w:t>
      </w:r>
    </w:p>
    <w:p w14:paraId="22AD1B77" w14:textId="77777777" w:rsidR="00744ED6" w:rsidRPr="00A20B73" w:rsidRDefault="00744ED6" w:rsidP="00B16199">
      <w:pPr>
        <w:spacing w:line="240" w:lineRule="auto"/>
        <w:rPr>
          <w:rFonts w:cs="Times New Roman"/>
          <w:sz w:val="28"/>
          <w:szCs w:val="28"/>
        </w:rPr>
      </w:pPr>
    </w:p>
    <w:p w14:paraId="66036292" w14:textId="77777777" w:rsidR="00113B39" w:rsidRPr="00AB483C" w:rsidRDefault="005E3D0D" w:rsidP="00B16199">
      <w:pPr>
        <w:spacing w:line="240" w:lineRule="auto"/>
        <w:rPr>
          <w:rFonts w:cs="Times New Roman"/>
          <w:sz w:val="28"/>
          <w:szCs w:val="28"/>
          <w:vertAlign w:val="superscript"/>
          <w:lang w:val="es-ES"/>
        </w:rPr>
      </w:pPr>
      <w:r w:rsidRPr="00AB483C">
        <w:rPr>
          <w:rFonts w:cs="Times New Roman"/>
          <w:sz w:val="28"/>
          <w:szCs w:val="28"/>
          <w:lang w:val="es-ES"/>
        </w:rPr>
        <w:t>Jesse Mu</w:t>
      </w:r>
      <w:r w:rsidR="00AB483C">
        <w:rPr>
          <w:rFonts w:cs="Times New Roman"/>
          <w:sz w:val="28"/>
          <w:szCs w:val="28"/>
          <w:vertAlign w:val="superscript"/>
          <w:lang w:val="es-ES"/>
        </w:rPr>
        <w:t>1</w:t>
      </w:r>
      <w:r w:rsidR="00AB483C" w:rsidRPr="00AB483C">
        <w:rPr>
          <w:rFonts w:cs="Times New Roman"/>
          <w:sz w:val="28"/>
          <w:szCs w:val="28"/>
          <w:lang w:val="es-ES"/>
        </w:rPr>
        <w:t xml:space="preserve">; </w:t>
      </w:r>
      <w:r w:rsidR="00BC52CF" w:rsidRPr="00AB483C">
        <w:rPr>
          <w:rFonts w:cs="Times New Roman"/>
          <w:sz w:val="28"/>
          <w:szCs w:val="28"/>
          <w:lang w:val="es-ES"/>
        </w:rPr>
        <w:t>Kallol Ray Chaudhuri</w:t>
      </w:r>
      <w:r w:rsidR="00AB483C">
        <w:rPr>
          <w:rFonts w:cs="Times New Roman"/>
          <w:sz w:val="28"/>
          <w:szCs w:val="28"/>
          <w:lang w:val="es-ES"/>
        </w:rPr>
        <w:t>, MD</w:t>
      </w:r>
      <w:r w:rsidR="00AB483C" w:rsidRPr="00AB483C">
        <w:rPr>
          <w:rFonts w:cs="Times New Roman"/>
          <w:sz w:val="28"/>
          <w:szCs w:val="28"/>
          <w:vertAlign w:val="superscript"/>
          <w:lang w:val="es-ES"/>
        </w:rPr>
        <w:t>2</w:t>
      </w:r>
      <w:r w:rsidR="00AB483C" w:rsidRPr="00AB483C">
        <w:rPr>
          <w:rFonts w:cs="Times New Roman"/>
          <w:sz w:val="28"/>
          <w:szCs w:val="28"/>
          <w:lang w:val="es-ES"/>
        </w:rPr>
        <w:t xml:space="preserve">;  </w:t>
      </w:r>
      <w:r w:rsidRPr="005E3D0D">
        <w:rPr>
          <w:rFonts w:cs="Times New Roman"/>
          <w:sz w:val="28"/>
          <w:szCs w:val="28"/>
          <w:lang w:val="es-ES"/>
        </w:rPr>
        <w:t>Concha Bielza</w:t>
      </w:r>
      <w:r w:rsidR="00AB483C">
        <w:rPr>
          <w:rFonts w:cs="Times New Roman"/>
          <w:sz w:val="28"/>
          <w:szCs w:val="28"/>
          <w:lang w:val="es-ES"/>
        </w:rPr>
        <w:t>, PhD</w:t>
      </w:r>
      <w:r w:rsidR="00AB483C">
        <w:rPr>
          <w:rFonts w:cs="Times New Roman"/>
          <w:sz w:val="28"/>
          <w:szCs w:val="28"/>
          <w:vertAlign w:val="superscript"/>
          <w:lang w:val="es-ES"/>
        </w:rPr>
        <w:t>3</w:t>
      </w:r>
      <w:r w:rsidR="00AB483C">
        <w:rPr>
          <w:rFonts w:cs="Times New Roman"/>
          <w:sz w:val="28"/>
          <w:szCs w:val="28"/>
          <w:lang w:val="es-ES"/>
        </w:rPr>
        <w:t xml:space="preserve">; </w:t>
      </w:r>
      <w:r w:rsidR="00BC52CF" w:rsidRPr="00A20B73">
        <w:rPr>
          <w:rFonts w:cs="Times New Roman"/>
          <w:sz w:val="28"/>
          <w:szCs w:val="28"/>
          <w:lang w:val="es-ES"/>
        </w:rPr>
        <w:t>Jesus de Pedro</w:t>
      </w:r>
      <w:r w:rsidR="009E02DB">
        <w:rPr>
          <w:rFonts w:cs="Times New Roman"/>
          <w:sz w:val="28"/>
          <w:szCs w:val="28"/>
          <w:lang w:val="es-ES"/>
        </w:rPr>
        <w:t>-</w:t>
      </w:r>
      <w:r w:rsidR="00BC52CF" w:rsidRPr="00A20B73">
        <w:rPr>
          <w:rFonts w:cs="Times New Roman"/>
          <w:sz w:val="28"/>
          <w:szCs w:val="28"/>
          <w:lang w:val="es-ES"/>
        </w:rPr>
        <w:t>Cuesta</w:t>
      </w:r>
      <w:r w:rsidR="00AB483C">
        <w:rPr>
          <w:rFonts w:cs="Times New Roman"/>
          <w:sz w:val="28"/>
          <w:szCs w:val="28"/>
          <w:lang w:val="es-ES"/>
        </w:rPr>
        <w:t>, MD, PhD</w:t>
      </w:r>
      <w:r w:rsidR="00AB483C" w:rsidRPr="00AB483C">
        <w:rPr>
          <w:rFonts w:cs="Times New Roman"/>
          <w:sz w:val="28"/>
          <w:szCs w:val="28"/>
          <w:vertAlign w:val="superscript"/>
          <w:lang w:val="es-ES"/>
        </w:rPr>
        <w:t>4</w:t>
      </w:r>
      <w:r w:rsidR="00AB483C">
        <w:rPr>
          <w:rFonts w:cs="Times New Roman"/>
          <w:sz w:val="28"/>
          <w:szCs w:val="28"/>
          <w:lang w:val="es-ES"/>
        </w:rPr>
        <w:t xml:space="preserve">; </w:t>
      </w:r>
      <w:r w:rsidR="00BE0C66" w:rsidRPr="00AB483C">
        <w:rPr>
          <w:rFonts w:cs="Times New Roman"/>
          <w:sz w:val="28"/>
          <w:szCs w:val="28"/>
          <w:lang w:val="es-ES"/>
        </w:rPr>
        <w:t>Pedro Larrañaga</w:t>
      </w:r>
      <w:r w:rsidR="00AB483C">
        <w:rPr>
          <w:rFonts w:cs="Times New Roman"/>
          <w:sz w:val="28"/>
          <w:szCs w:val="28"/>
          <w:lang w:val="es-ES"/>
        </w:rPr>
        <w:t>, PhD</w:t>
      </w:r>
      <w:r w:rsidR="00AB483C" w:rsidRPr="00AB483C">
        <w:rPr>
          <w:rFonts w:cs="Times New Roman"/>
          <w:sz w:val="28"/>
          <w:szCs w:val="28"/>
          <w:vertAlign w:val="superscript"/>
          <w:lang w:val="es-ES"/>
        </w:rPr>
        <w:t>3</w:t>
      </w:r>
      <w:r w:rsidR="00AB483C" w:rsidRPr="00AB483C">
        <w:rPr>
          <w:rFonts w:cs="Times New Roman"/>
          <w:sz w:val="28"/>
          <w:szCs w:val="28"/>
          <w:lang w:val="es-ES"/>
        </w:rPr>
        <w:t xml:space="preserve">; </w:t>
      </w:r>
      <w:r w:rsidRPr="00AB483C">
        <w:rPr>
          <w:rFonts w:cs="Times New Roman"/>
          <w:sz w:val="28"/>
          <w:szCs w:val="28"/>
          <w:lang w:val="es-ES"/>
        </w:rPr>
        <w:t>Pablo Martinez-Martin</w:t>
      </w:r>
      <w:r w:rsidR="00AB483C">
        <w:rPr>
          <w:rFonts w:cs="Times New Roman"/>
          <w:sz w:val="28"/>
          <w:szCs w:val="28"/>
          <w:lang w:val="es-ES"/>
        </w:rPr>
        <w:t>, MD, PhD</w:t>
      </w:r>
      <w:r w:rsidR="00AB483C">
        <w:rPr>
          <w:rFonts w:cs="Times New Roman"/>
          <w:sz w:val="28"/>
          <w:szCs w:val="28"/>
          <w:vertAlign w:val="superscript"/>
          <w:lang w:val="es-ES"/>
        </w:rPr>
        <w:t>4</w:t>
      </w:r>
    </w:p>
    <w:p w14:paraId="2AE959AD" w14:textId="77777777" w:rsidR="00113B39" w:rsidRPr="00AB483C" w:rsidRDefault="00113B39" w:rsidP="00B16199">
      <w:pPr>
        <w:spacing w:line="240" w:lineRule="auto"/>
        <w:rPr>
          <w:rFonts w:cs="Times New Roman"/>
          <w:sz w:val="28"/>
          <w:szCs w:val="28"/>
          <w:lang w:val="es-ES"/>
        </w:rPr>
      </w:pPr>
    </w:p>
    <w:p w14:paraId="55220522" w14:textId="77777777" w:rsidR="00113B39" w:rsidRPr="00AB483C" w:rsidRDefault="00113B39" w:rsidP="00B16199">
      <w:pPr>
        <w:spacing w:line="240" w:lineRule="auto"/>
        <w:rPr>
          <w:rFonts w:cs="Times New Roman"/>
          <w:sz w:val="28"/>
          <w:szCs w:val="28"/>
          <w:lang w:val="es-ES"/>
        </w:rPr>
      </w:pPr>
    </w:p>
    <w:p w14:paraId="152BC78A" w14:textId="4F1A3223" w:rsidR="00B23911" w:rsidRDefault="00AB483C" w:rsidP="00B16199">
      <w:pPr>
        <w:spacing w:line="240" w:lineRule="auto"/>
        <w:rPr>
          <w:rFonts w:cs="Times New Roman"/>
          <w:sz w:val="28"/>
          <w:szCs w:val="28"/>
        </w:rPr>
      </w:pPr>
      <w:r w:rsidRPr="00AB483C">
        <w:rPr>
          <w:rFonts w:cs="Times New Roman"/>
          <w:sz w:val="28"/>
          <w:szCs w:val="28"/>
          <w:vertAlign w:val="superscript"/>
        </w:rPr>
        <w:t>1</w:t>
      </w:r>
      <w:r w:rsidR="005E3D0D" w:rsidRPr="005E3D0D">
        <w:rPr>
          <w:rFonts w:cs="Times New Roman"/>
          <w:sz w:val="28"/>
          <w:szCs w:val="28"/>
        </w:rPr>
        <w:t>Department of Computer Science, Boston College, Chestnut Hill,</w:t>
      </w:r>
      <w:r w:rsidR="00373F9E">
        <w:rPr>
          <w:rFonts w:cs="Times New Roman"/>
          <w:sz w:val="28"/>
          <w:szCs w:val="28"/>
        </w:rPr>
        <w:t xml:space="preserve"> </w:t>
      </w:r>
      <w:r w:rsidR="005E3D0D" w:rsidRPr="005E3D0D">
        <w:rPr>
          <w:rFonts w:cs="Times New Roman"/>
          <w:sz w:val="28"/>
          <w:szCs w:val="28"/>
        </w:rPr>
        <w:t>Massachusetts, USA</w:t>
      </w:r>
    </w:p>
    <w:p w14:paraId="4B92B8F9" w14:textId="56389D47" w:rsidR="00AB483C" w:rsidRPr="00AB483C" w:rsidRDefault="00AB483C" w:rsidP="00B16199">
      <w:pPr>
        <w:spacing w:line="240" w:lineRule="auto"/>
        <w:rPr>
          <w:rFonts w:cs="Times New Roman"/>
          <w:sz w:val="28"/>
          <w:szCs w:val="28"/>
          <w:vertAlign w:val="superscript"/>
        </w:rPr>
      </w:pPr>
      <w:r>
        <w:rPr>
          <w:rFonts w:cs="Times New Roman"/>
          <w:sz w:val="28"/>
          <w:szCs w:val="28"/>
          <w:vertAlign w:val="superscript"/>
        </w:rPr>
        <w:t>2</w:t>
      </w:r>
      <w:r w:rsidRPr="00A20B73">
        <w:rPr>
          <w:rFonts w:cs="Times New Roman"/>
          <w:sz w:val="28"/>
          <w:szCs w:val="28"/>
        </w:rPr>
        <w:t>National Parkinson Foundation International Centre of Exce</w:t>
      </w:r>
      <w:r w:rsidR="009940E2">
        <w:rPr>
          <w:rFonts w:cs="Times New Roman"/>
          <w:sz w:val="28"/>
          <w:szCs w:val="28"/>
        </w:rPr>
        <w:t>llence, King’s College Hospital</w:t>
      </w:r>
      <w:r w:rsidRPr="00A20B73">
        <w:rPr>
          <w:rFonts w:cs="Times New Roman"/>
          <w:sz w:val="28"/>
          <w:szCs w:val="28"/>
        </w:rPr>
        <w:t xml:space="preserve"> and King’s College; NIHR Maudsley Biomedical Research Centre (BRC), London</w:t>
      </w:r>
      <w:r>
        <w:rPr>
          <w:rFonts w:cs="Times New Roman"/>
          <w:sz w:val="28"/>
          <w:szCs w:val="28"/>
        </w:rPr>
        <w:t>, UK</w:t>
      </w:r>
    </w:p>
    <w:p w14:paraId="56CEF901" w14:textId="22427952" w:rsidR="00B23911" w:rsidRPr="00A20B73" w:rsidRDefault="00AB483C" w:rsidP="00B16199">
      <w:pPr>
        <w:spacing w:line="240" w:lineRule="auto"/>
        <w:rPr>
          <w:rFonts w:cs="Times New Roman"/>
          <w:sz w:val="28"/>
          <w:szCs w:val="28"/>
        </w:rPr>
      </w:pPr>
      <w:r>
        <w:rPr>
          <w:rFonts w:cs="Times New Roman"/>
          <w:sz w:val="28"/>
          <w:szCs w:val="28"/>
          <w:vertAlign w:val="superscript"/>
        </w:rPr>
        <w:t>3</w:t>
      </w:r>
      <w:r w:rsidR="00B23911" w:rsidRPr="00A20B73">
        <w:rPr>
          <w:rFonts w:cs="Times New Roman"/>
          <w:sz w:val="28"/>
          <w:szCs w:val="28"/>
        </w:rPr>
        <w:t>Department of Artificial Intelligence, Technical University of Madrid, Madrid, Spain</w:t>
      </w:r>
    </w:p>
    <w:p w14:paraId="5D337F51" w14:textId="77777777" w:rsidR="00A20B73" w:rsidRPr="00A20B73" w:rsidRDefault="00AB483C" w:rsidP="00B16199">
      <w:pPr>
        <w:spacing w:line="240" w:lineRule="auto"/>
        <w:rPr>
          <w:rFonts w:cs="Times New Roman"/>
          <w:sz w:val="28"/>
          <w:szCs w:val="28"/>
        </w:rPr>
      </w:pPr>
      <w:r>
        <w:rPr>
          <w:rFonts w:cs="Times New Roman"/>
          <w:sz w:val="28"/>
          <w:szCs w:val="28"/>
          <w:vertAlign w:val="superscript"/>
        </w:rPr>
        <w:t>4</w:t>
      </w:r>
      <w:r w:rsidR="00113B39" w:rsidRPr="00A20B73">
        <w:rPr>
          <w:rFonts w:cs="Times New Roman"/>
          <w:sz w:val="28"/>
          <w:szCs w:val="28"/>
        </w:rPr>
        <w:t>National Center of Epidemiology and CIBERNED, Carlos III Institute of Health, Madrid, Spain</w:t>
      </w:r>
    </w:p>
    <w:p w14:paraId="1BA82C1B" w14:textId="77777777" w:rsidR="00A20B73" w:rsidRPr="00A20B73" w:rsidRDefault="00A20B73" w:rsidP="00B16199">
      <w:pPr>
        <w:spacing w:line="240" w:lineRule="auto"/>
        <w:rPr>
          <w:rFonts w:cs="Times New Roman"/>
          <w:sz w:val="28"/>
          <w:szCs w:val="28"/>
        </w:rPr>
      </w:pPr>
    </w:p>
    <w:p w14:paraId="1DB0CDF2" w14:textId="77777777" w:rsidR="00E91344" w:rsidRPr="00A20B73" w:rsidRDefault="00E91344" w:rsidP="00B16199">
      <w:pPr>
        <w:spacing w:line="240" w:lineRule="auto"/>
        <w:rPr>
          <w:rFonts w:cs="Times New Roman"/>
          <w:sz w:val="28"/>
          <w:szCs w:val="28"/>
        </w:rPr>
      </w:pPr>
    </w:p>
    <w:p w14:paraId="22D970FE" w14:textId="77777777" w:rsidR="00E91344" w:rsidRPr="00A20B73" w:rsidRDefault="00E91344" w:rsidP="00B16199">
      <w:pPr>
        <w:spacing w:line="240" w:lineRule="auto"/>
        <w:rPr>
          <w:rFonts w:cs="Times New Roman"/>
          <w:sz w:val="28"/>
          <w:szCs w:val="28"/>
        </w:rPr>
      </w:pPr>
    </w:p>
    <w:p w14:paraId="0AD07CF8" w14:textId="77777777" w:rsidR="00A20B73" w:rsidRDefault="005E3D0D" w:rsidP="00B16199">
      <w:pPr>
        <w:spacing w:line="240" w:lineRule="auto"/>
        <w:rPr>
          <w:rFonts w:cs="Times New Roman"/>
          <w:b/>
          <w:sz w:val="28"/>
          <w:szCs w:val="28"/>
        </w:rPr>
      </w:pPr>
      <w:r w:rsidRPr="005E3D0D">
        <w:rPr>
          <w:rFonts w:cs="Times New Roman"/>
          <w:b/>
          <w:sz w:val="28"/>
          <w:szCs w:val="28"/>
        </w:rPr>
        <w:t>Corresponding author</w:t>
      </w:r>
    </w:p>
    <w:p w14:paraId="7B56EE83" w14:textId="77777777" w:rsidR="00BC52CF" w:rsidRDefault="00BC52CF" w:rsidP="00B16199">
      <w:pPr>
        <w:spacing w:line="240" w:lineRule="auto"/>
        <w:rPr>
          <w:rFonts w:cs="Times New Roman"/>
          <w:b/>
          <w:sz w:val="28"/>
          <w:szCs w:val="28"/>
        </w:rPr>
      </w:pPr>
      <w:r>
        <w:rPr>
          <w:rFonts w:cs="Times New Roman"/>
          <w:b/>
          <w:sz w:val="28"/>
          <w:szCs w:val="28"/>
        </w:rPr>
        <w:t>K Ray Chaudhuri</w:t>
      </w:r>
    </w:p>
    <w:p w14:paraId="51090F2D" w14:textId="77777777" w:rsidR="00BC52CF" w:rsidRPr="00AB483C" w:rsidRDefault="00BC52CF" w:rsidP="00B16199">
      <w:pPr>
        <w:spacing w:line="240" w:lineRule="auto"/>
        <w:rPr>
          <w:rFonts w:cs="Times New Roman"/>
          <w:sz w:val="28"/>
          <w:szCs w:val="28"/>
        </w:rPr>
      </w:pPr>
      <w:r w:rsidRPr="00AB483C">
        <w:rPr>
          <w:rFonts w:cs="Times New Roman"/>
          <w:sz w:val="28"/>
          <w:szCs w:val="28"/>
        </w:rPr>
        <w:t>The Maurice Wohl Clinical Neuroscience Institute</w:t>
      </w:r>
      <w:r w:rsidRPr="00AB483C">
        <w:rPr>
          <w:rFonts w:cs="Times New Roman"/>
          <w:sz w:val="28"/>
          <w:szCs w:val="28"/>
        </w:rPr>
        <w:br/>
        <w:t>King's College London</w:t>
      </w:r>
      <w:r w:rsidRPr="00AB483C">
        <w:rPr>
          <w:rFonts w:cs="Times New Roman"/>
          <w:sz w:val="28"/>
          <w:szCs w:val="28"/>
        </w:rPr>
        <w:br/>
        <w:t>Cutcombe Road</w:t>
      </w:r>
      <w:r w:rsidRPr="00AB483C">
        <w:rPr>
          <w:rFonts w:cs="Times New Roman"/>
          <w:sz w:val="28"/>
          <w:szCs w:val="28"/>
        </w:rPr>
        <w:br/>
        <w:t>London </w:t>
      </w:r>
      <w:r w:rsidRPr="00AB483C">
        <w:rPr>
          <w:rFonts w:cs="Times New Roman"/>
          <w:sz w:val="28"/>
          <w:szCs w:val="28"/>
        </w:rPr>
        <w:br/>
        <w:t>SE5 9RT</w:t>
      </w:r>
      <w:r w:rsidRPr="00AB483C">
        <w:rPr>
          <w:rFonts w:cs="Times New Roman"/>
          <w:sz w:val="28"/>
          <w:szCs w:val="28"/>
        </w:rPr>
        <w:br/>
      </w:r>
      <w:r w:rsidR="00AB483C">
        <w:rPr>
          <w:rFonts w:cs="Times New Roman"/>
          <w:sz w:val="28"/>
          <w:szCs w:val="28"/>
        </w:rPr>
        <w:t xml:space="preserve">E-mail: </w:t>
      </w:r>
      <w:hyperlink r:id="rId8" w:history="1">
        <w:r w:rsidRPr="00AB483C">
          <w:rPr>
            <w:rFonts w:cs="Times New Roman"/>
            <w:sz w:val="28"/>
            <w:szCs w:val="28"/>
          </w:rPr>
          <w:t>ray.chaudhuri@nhs.net</w:t>
        </w:r>
      </w:hyperlink>
    </w:p>
    <w:p w14:paraId="6398074A" w14:textId="77777777" w:rsidR="00BC52CF" w:rsidRPr="00AB483C" w:rsidRDefault="00AB483C" w:rsidP="00B16199">
      <w:pPr>
        <w:spacing w:line="240" w:lineRule="auto"/>
        <w:rPr>
          <w:rFonts w:cs="Times New Roman"/>
          <w:sz w:val="28"/>
          <w:szCs w:val="28"/>
        </w:rPr>
      </w:pPr>
      <w:r>
        <w:rPr>
          <w:rFonts w:cs="Times New Roman"/>
          <w:sz w:val="28"/>
          <w:szCs w:val="28"/>
        </w:rPr>
        <w:t xml:space="preserve">Phone: + 44 </w:t>
      </w:r>
      <w:r w:rsidR="00BC52CF" w:rsidRPr="00AB483C">
        <w:rPr>
          <w:rFonts w:cs="Times New Roman"/>
          <w:sz w:val="28"/>
          <w:szCs w:val="28"/>
        </w:rPr>
        <w:t>0203 299 7153/7154</w:t>
      </w:r>
    </w:p>
    <w:p w14:paraId="5A5C88D5" w14:textId="77777777" w:rsidR="0055682A" w:rsidRDefault="0055682A" w:rsidP="00B16199">
      <w:pPr>
        <w:spacing w:line="240" w:lineRule="auto"/>
        <w:rPr>
          <w:rFonts w:cs="Times New Roman"/>
          <w:sz w:val="28"/>
          <w:szCs w:val="28"/>
        </w:rPr>
      </w:pPr>
    </w:p>
    <w:p w14:paraId="2AFA4340" w14:textId="77777777" w:rsidR="0055682A" w:rsidRDefault="0055682A" w:rsidP="00B16199">
      <w:pPr>
        <w:spacing w:line="240" w:lineRule="auto"/>
        <w:rPr>
          <w:rFonts w:cs="Times New Roman"/>
          <w:sz w:val="28"/>
          <w:szCs w:val="28"/>
        </w:rPr>
      </w:pPr>
    </w:p>
    <w:p w14:paraId="5DF2A8FE" w14:textId="77777777" w:rsidR="0055682A" w:rsidRDefault="0055682A" w:rsidP="00B16199">
      <w:pPr>
        <w:spacing w:line="240" w:lineRule="auto"/>
        <w:rPr>
          <w:rFonts w:cs="Times New Roman"/>
          <w:sz w:val="28"/>
          <w:szCs w:val="28"/>
        </w:rPr>
      </w:pPr>
    </w:p>
    <w:p w14:paraId="414A01B3" w14:textId="77777777" w:rsidR="00A20B73" w:rsidRDefault="00A20B73" w:rsidP="00B16199">
      <w:pPr>
        <w:spacing w:line="240" w:lineRule="auto"/>
        <w:rPr>
          <w:rFonts w:cs="Times New Roman"/>
          <w:sz w:val="28"/>
          <w:szCs w:val="28"/>
        </w:rPr>
      </w:pPr>
    </w:p>
    <w:p w14:paraId="4F2FF94E" w14:textId="77777777" w:rsidR="00A20B73" w:rsidRPr="00A20B73" w:rsidRDefault="00A20B73" w:rsidP="00B16199">
      <w:pPr>
        <w:spacing w:line="240" w:lineRule="auto"/>
        <w:rPr>
          <w:rFonts w:cs="Times New Roman"/>
          <w:sz w:val="28"/>
          <w:szCs w:val="28"/>
        </w:rPr>
      </w:pPr>
    </w:p>
    <w:p w14:paraId="7E7C17E6" w14:textId="77777777" w:rsidR="00A20B73" w:rsidRPr="00A20B73" w:rsidRDefault="005E3D0D" w:rsidP="00B16199">
      <w:pPr>
        <w:spacing w:line="240" w:lineRule="auto"/>
        <w:rPr>
          <w:rFonts w:cs="Times New Roman"/>
          <w:sz w:val="28"/>
          <w:szCs w:val="28"/>
        </w:rPr>
      </w:pPr>
      <w:r w:rsidRPr="005E3D0D">
        <w:rPr>
          <w:rFonts w:cs="Times New Roman"/>
          <w:b/>
          <w:sz w:val="28"/>
          <w:szCs w:val="28"/>
        </w:rPr>
        <w:t>Running title</w:t>
      </w:r>
      <w:r w:rsidR="00A20B73" w:rsidRPr="00A20B73">
        <w:rPr>
          <w:rFonts w:cs="Times New Roman"/>
          <w:sz w:val="28"/>
          <w:szCs w:val="28"/>
        </w:rPr>
        <w:t>: P</w:t>
      </w:r>
      <w:r w:rsidR="00155944" w:rsidRPr="00A20B73">
        <w:rPr>
          <w:rFonts w:cs="Times New Roman"/>
          <w:sz w:val="28"/>
          <w:szCs w:val="28"/>
        </w:rPr>
        <w:t>arkinson</w:t>
      </w:r>
      <w:r w:rsidR="00A20B73" w:rsidRPr="00A20B73">
        <w:rPr>
          <w:rFonts w:cs="Times New Roman"/>
          <w:sz w:val="28"/>
          <w:szCs w:val="28"/>
        </w:rPr>
        <w:t>’</w:t>
      </w:r>
      <w:r w:rsidR="00155944" w:rsidRPr="00A20B73">
        <w:rPr>
          <w:rFonts w:cs="Times New Roman"/>
          <w:sz w:val="28"/>
          <w:szCs w:val="28"/>
        </w:rPr>
        <w:t>s</w:t>
      </w:r>
      <w:r w:rsidR="00BF2F10">
        <w:rPr>
          <w:rFonts w:cs="Times New Roman"/>
          <w:sz w:val="28"/>
          <w:szCs w:val="28"/>
        </w:rPr>
        <w:t xml:space="preserve"> </w:t>
      </w:r>
      <w:r w:rsidR="00155944" w:rsidRPr="00A20B73">
        <w:rPr>
          <w:rFonts w:cs="Times New Roman"/>
          <w:sz w:val="28"/>
          <w:szCs w:val="28"/>
        </w:rPr>
        <w:t>disease cluster analysis</w:t>
      </w:r>
    </w:p>
    <w:p w14:paraId="79ADC857" w14:textId="77777777" w:rsidR="00A20B73" w:rsidRPr="00A20B73" w:rsidRDefault="00A20B73" w:rsidP="00B16199">
      <w:pPr>
        <w:spacing w:line="240" w:lineRule="auto"/>
        <w:rPr>
          <w:rFonts w:cs="Times New Roman"/>
          <w:sz w:val="28"/>
          <w:szCs w:val="28"/>
        </w:rPr>
      </w:pPr>
    </w:p>
    <w:p w14:paraId="1AEBA021" w14:textId="77777777" w:rsidR="00157552" w:rsidRDefault="00157552" w:rsidP="00B16199">
      <w:pPr>
        <w:spacing w:line="240" w:lineRule="auto"/>
        <w:rPr>
          <w:rFonts w:cs="Times New Roman"/>
        </w:rPr>
      </w:pPr>
      <w:r>
        <w:rPr>
          <w:rFonts w:cs="Times New Roman"/>
        </w:rPr>
        <w:br w:type="page"/>
      </w:r>
    </w:p>
    <w:p w14:paraId="5C6AC277" w14:textId="77777777" w:rsidR="00216A80" w:rsidRPr="008614C4" w:rsidRDefault="005B2325" w:rsidP="00B16199">
      <w:pPr>
        <w:pStyle w:val="Heading1"/>
        <w:jc w:val="both"/>
        <w:rPr>
          <w:rFonts w:cs="Times New Roman"/>
        </w:rPr>
      </w:pPr>
      <w:r>
        <w:rPr>
          <w:rFonts w:cs="Times New Roman"/>
        </w:rPr>
        <w:lastRenderedPageBreak/>
        <w:t>Abstract</w:t>
      </w:r>
    </w:p>
    <w:p w14:paraId="06B33D14" w14:textId="24060332" w:rsidR="00A60384" w:rsidRDefault="00113B39" w:rsidP="00B16199">
      <w:pPr>
        <w:ind w:firstLine="720"/>
      </w:pPr>
      <w:r>
        <w:t>Parkinson’s disease</w:t>
      </w:r>
      <w:r w:rsidR="00373F9E">
        <w:t xml:space="preserve"> </w:t>
      </w:r>
      <w:r>
        <w:t>is now considered a complex</w:t>
      </w:r>
      <w:r w:rsidR="005A2DA5">
        <w:t>,</w:t>
      </w:r>
      <w:r>
        <w:t xml:space="preserve"> multi-peptide, central and peripheral nervous system disorder with considera</w:t>
      </w:r>
      <w:r w:rsidR="005B2325">
        <w:t>ble clinical heterogeneity. Non-</w:t>
      </w:r>
      <w:r>
        <w:t xml:space="preserve">motor symptoms play a key role in the trajectory of </w:t>
      </w:r>
      <w:r w:rsidR="005A2DA5">
        <w:t>Parkinson’s disease</w:t>
      </w:r>
      <w:r>
        <w:t xml:space="preserve">, from prodromal premotor </w:t>
      </w:r>
      <w:r w:rsidR="005B2325">
        <w:t>to end stages</w:t>
      </w:r>
      <w:r>
        <w:t xml:space="preserve">. </w:t>
      </w:r>
      <w:r w:rsidR="00A60384">
        <w:t xml:space="preserve">To </w:t>
      </w:r>
      <w:r w:rsidR="005A2DA5">
        <w:t>understand</w:t>
      </w:r>
      <w:r w:rsidR="00373F9E">
        <w:t xml:space="preserve"> </w:t>
      </w:r>
      <w:r w:rsidR="005A2DA5">
        <w:t xml:space="preserve">the </w:t>
      </w:r>
      <w:r w:rsidR="00A60384">
        <w:t xml:space="preserve">clinical heterogeneity of </w:t>
      </w:r>
      <w:r w:rsidR="005A2DA5">
        <w:t>Parkinson’s disease</w:t>
      </w:r>
      <w:r w:rsidR="00A60384">
        <w:t xml:space="preserve">, this study used cluster analysis to </w:t>
      </w:r>
      <w:r>
        <w:rPr>
          <w:rFonts w:cs="Times New Roman"/>
        </w:rPr>
        <w:t>search for</w:t>
      </w:r>
      <w:r w:rsidRPr="008614C4">
        <w:rPr>
          <w:rFonts w:cs="Times New Roman"/>
        </w:rPr>
        <w:t xml:space="preserve"> subtypes</w:t>
      </w:r>
      <w:r>
        <w:rPr>
          <w:rFonts w:cs="Times New Roman"/>
        </w:rPr>
        <w:t xml:space="preserve"> from a large, multi-centre, international, and well-characterized cohort </w:t>
      </w:r>
      <w:r w:rsidRPr="008614C4">
        <w:rPr>
          <w:rFonts w:cs="Times New Roman"/>
        </w:rPr>
        <w:t xml:space="preserve">of </w:t>
      </w:r>
      <w:r w:rsidR="005A2DA5">
        <w:rPr>
          <w:rFonts w:cs="Times New Roman"/>
        </w:rPr>
        <w:t>Parkinson’s disease</w:t>
      </w:r>
      <w:r w:rsidRPr="008614C4">
        <w:rPr>
          <w:rFonts w:cs="Times New Roman"/>
        </w:rPr>
        <w:t xml:space="preserve"> patients</w:t>
      </w:r>
      <w:r>
        <w:rPr>
          <w:rFonts w:cs="Times New Roman"/>
        </w:rPr>
        <w:t xml:space="preserve"> across all motor stages,</w:t>
      </w:r>
      <w:r w:rsidRPr="008614C4">
        <w:rPr>
          <w:rFonts w:cs="Times New Roman"/>
        </w:rPr>
        <w:t xml:space="preserve"> using </w:t>
      </w:r>
      <w:r>
        <w:rPr>
          <w:rFonts w:cs="Times New Roman"/>
        </w:rPr>
        <w:t>a</w:t>
      </w:r>
      <w:r w:rsidRPr="008614C4">
        <w:rPr>
          <w:rFonts w:cs="Times New Roman"/>
        </w:rPr>
        <w:t xml:space="preserve"> combination of cardinal </w:t>
      </w:r>
      <w:r>
        <w:rPr>
          <w:rFonts w:cs="Times New Roman"/>
        </w:rPr>
        <w:t xml:space="preserve">motor </w:t>
      </w:r>
      <w:r w:rsidRPr="008614C4">
        <w:rPr>
          <w:rFonts w:cs="Times New Roman"/>
        </w:rPr>
        <w:t xml:space="preserve">features (bradykinesia, rigidity, tremor, axial signs) </w:t>
      </w:r>
      <w:r w:rsidR="004231C9">
        <w:rPr>
          <w:rFonts w:cs="Times New Roman"/>
        </w:rPr>
        <w:t>and</w:t>
      </w:r>
      <w:r>
        <w:rPr>
          <w:rFonts w:cs="Times New Roman"/>
        </w:rPr>
        <w:t xml:space="preserve">, for the first time, specific validated rater-based </w:t>
      </w:r>
      <w:r w:rsidR="005A2DA5">
        <w:rPr>
          <w:rFonts w:cs="Times New Roman"/>
        </w:rPr>
        <w:t>non-motor symptom</w:t>
      </w:r>
      <w:r>
        <w:rPr>
          <w:rFonts w:cs="Times New Roman"/>
        </w:rPr>
        <w:t xml:space="preserve"> scales.</w:t>
      </w:r>
      <w:r w:rsidR="00BF2F10">
        <w:rPr>
          <w:rFonts w:cs="Times New Roman"/>
        </w:rPr>
        <w:t xml:space="preserve"> </w:t>
      </w:r>
      <w:r w:rsidR="00A60384">
        <w:rPr>
          <w:rFonts w:cs="Times New Roman"/>
        </w:rPr>
        <w:t>T</w:t>
      </w:r>
      <w:r>
        <w:rPr>
          <w:rFonts w:cs="Times New Roman"/>
        </w:rPr>
        <w:t>wo independent international cohort studies</w:t>
      </w:r>
      <w:r w:rsidR="00A60384">
        <w:rPr>
          <w:rFonts w:cs="Times New Roman"/>
        </w:rPr>
        <w:t xml:space="preserve"> were used</w:t>
      </w:r>
      <w:r w:rsidR="005B2325">
        <w:rPr>
          <w:rFonts w:cs="Times New Roman"/>
        </w:rPr>
        <w:t>:</w:t>
      </w:r>
      <w:r>
        <w:rPr>
          <w:rFonts w:cs="Times New Roman"/>
        </w:rPr>
        <w:t xml:space="preserve"> (a) t</w:t>
      </w:r>
      <w:r w:rsidRPr="008614C4">
        <w:rPr>
          <w:rFonts w:cs="Times New Roman"/>
        </w:rPr>
        <w:t xml:space="preserve">he validation study of the </w:t>
      </w:r>
      <w:r w:rsidR="005A2DA5">
        <w:rPr>
          <w:rFonts w:cs="Times New Roman"/>
        </w:rPr>
        <w:t xml:space="preserve">Non-Motor Symptoms Scale </w:t>
      </w:r>
      <w:r w:rsidRPr="008614C4">
        <w:rPr>
          <w:rFonts w:cs="Times New Roman"/>
        </w:rPr>
        <w:t>(</w:t>
      </w:r>
      <m:oMath>
        <m:r>
          <w:rPr>
            <w:rFonts w:ascii="Cambria Math" w:hAnsi="Cambria Math" w:cs="Times New Roman"/>
          </w:rPr>
          <m:t>n=411</m:t>
        </m:r>
      </m:oMath>
      <w:r w:rsidRPr="008614C4">
        <w:rPr>
          <w:rFonts w:cs="Times New Roman"/>
        </w:rPr>
        <w:t xml:space="preserve">) (Martinez-Martin </w:t>
      </w:r>
      <w:r w:rsidRPr="007E303F">
        <w:rPr>
          <w:rFonts w:cs="Times New Roman"/>
          <w:i/>
        </w:rPr>
        <w:t>et al</w:t>
      </w:r>
      <w:r w:rsidRPr="008614C4">
        <w:rPr>
          <w:rFonts w:cs="Times New Roman"/>
        </w:rPr>
        <w:t xml:space="preserve">., 2009a) and </w:t>
      </w:r>
      <w:r>
        <w:rPr>
          <w:rFonts w:cs="Times New Roman"/>
        </w:rPr>
        <w:t xml:space="preserve">(b) </w:t>
      </w:r>
      <w:r w:rsidRPr="008614C4">
        <w:rPr>
          <w:rFonts w:cs="Times New Roman"/>
        </w:rPr>
        <w:t>baseline data fr</w:t>
      </w:r>
      <w:r>
        <w:rPr>
          <w:rFonts w:cs="Times New Roman"/>
        </w:rPr>
        <w:t>om the global Non-</w:t>
      </w:r>
      <w:r w:rsidR="001966C5">
        <w:rPr>
          <w:rFonts w:cs="Times New Roman"/>
        </w:rPr>
        <w:t>Motor</w:t>
      </w:r>
      <w:r w:rsidRPr="008614C4">
        <w:rPr>
          <w:rFonts w:cs="Times New Roman"/>
        </w:rPr>
        <w:t xml:space="preserve"> International Longitudinal Study (</w:t>
      </w:r>
      <m:oMath>
        <m:r>
          <w:rPr>
            <w:rFonts w:ascii="Cambria Math" w:hAnsi="Cambria Math" w:cs="Times New Roman"/>
          </w:rPr>
          <m:t>n=540</m:t>
        </m:r>
      </m:oMath>
      <w:r w:rsidRPr="008614C4">
        <w:rPr>
          <w:rFonts w:cs="Times New Roman"/>
        </w:rPr>
        <w:t xml:space="preserve">) (Ray Chaudhuri </w:t>
      </w:r>
      <w:r w:rsidRPr="007E303F">
        <w:rPr>
          <w:rFonts w:cs="Times New Roman"/>
          <w:i/>
        </w:rPr>
        <w:t>et al</w:t>
      </w:r>
      <w:r w:rsidRPr="008614C4">
        <w:rPr>
          <w:rFonts w:cs="Times New Roman"/>
        </w:rPr>
        <w:t>., 2013).</w:t>
      </w:r>
      <w:r w:rsidR="005A2779">
        <w:rPr>
          <w:rFonts w:cs="Times New Roman"/>
        </w:rPr>
        <w:t xml:space="preserve"> </w:t>
      </w:r>
      <w:r w:rsidR="005B2325">
        <w:rPr>
          <w:rFonts w:cs="Times New Roman"/>
          <w:i/>
        </w:rPr>
        <w:t>k</w:t>
      </w:r>
      <w:r w:rsidR="005B2325">
        <w:rPr>
          <w:rFonts w:cs="Times New Roman"/>
        </w:rPr>
        <w:t>-means cluster analyses were performed on the non-motor and motor domains (domains clustering) and the 30 individual non-motor symptoms</w:t>
      </w:r>
      <w:r w:rsidR="005A2DA5">
        <w:rPr>
          <w:rFonts w:cs="Times New Roman"/>
        </w:rPr>
        <w:t xml:space="preserve"> alone</w:t>
      </w:r>
      <w:r w:rsidR="005B2325">
        <w:rPr>
          <w:rFonts w:cs="Times New Roman"/>
        </w:rPr>
        <w:t xml:space="preserve"> (symptoms clustering), and average-linkage hierarchical agglomerative clustering was performed to group symptoms together.</w:t>
      </w:r>
      <w:r w:rsidR="005A2779">
        <w:rPr>
          <w:rFonts w:cs="Times New Roman"/>
        </w:rPr>
        <w:t xml:space="preserve"> </w:t>
      </w:r>
      <w:r w:rsidR="005A2DA5">
        <w:t xml:space="preserve">Four </w:t>
      </w:r>
      <w:r w:rsidR="005A2DA5">
        <w:rPr>
          <w:rFonts w:cs="Times New Roman"/>
        </w:rPr>
        <w:t>clusters are identified from the domains clustering supporting previous studies: mild, non-motor dominant, motor-dominant, and severe. In addition, six new smaller clusters are identified from the symptoms clustering, e</w:t>
      </w:r>
      <w:r w:rsidR="000F2AB4">
        <w:rPr>
          <w:rFonts w:cs="Times New Roman"/>
        </w:rPr>
        <w:t>ach characterized by clinically-</w:t>
      </w:r>
      <w:r w:rsidR="005A2DA5">
        <w:rPr>
          <w:rFonts w:cs="Times New Roman"/>
        </w:rPr>
        <w:t>relevant non-motor symptoms.</w:t>
      </w:r>
      <w:r w:rsidR="001253EA">
        <w:rPr>
          <w:rFonts w:cs="Times New Roman"/>
        </w:rPr>
        <w:t xml:space="preserve"> </w:t>
      </w:r>
      <w:r w:rsidR="00EB0744">
        <w:rPr>
          <w:rFonts w:cs="Times New Roman"/>
        </w:rPr>
        <w:t>The clusters identified in this study</w:t>
      </w:r>
      <w:r w:rsidR="005A2779">
        <w:rPr>
          <w:rFonts w:cs="Times New Roman"/>
        </w:rPr>
        <w:t xml:space="preserve"> </w:t>
      </w:r>
      <w:r w:rsidR="00EB0744">
        <w:rPr>
          <w:rFonts w:cs="Times New Roman"/>
        </w:rPr>
        <w:t>present</w:t>
      </w:r>
      <w:r w:rsidR="009E69BC">
        <w:rPr>
          <w:rFonts w:cs="Times New Roman"/>
        </w:rPr>
        <w:t xml:space="preserve"> statistical confirmation of the </w:t>
      </w:r>
      <w:r w:rsidR="003E2E73">
        <w:rPr>
          <w:rFonts w:cs="Times New Roman"/>
        </w:rPr>
        <w:t>increasingly important role</w:t>
      </w:r>
      <w:r w:rsidR="009E69BC">
        <w:rPr>
          <w:rFonts w:cs="Times New Roman"/>
        </w:rPr>
        <w:t xml:space="preserve"> of non-motor symptoms</w:t>
      </w:r>
      <w:r w:rsidR="00EB0744">
        <w:rPr>
          <w:rFonts w:cs="Times New Roman"/>
        </w:rPr>
        <w:t xml:space="preserve"> in Pa</w:t>
      </w:r>
      <w:r w:rsidR="003E2E73">
        <w:rPr>
          <w:rFonts w:cs="Times New Roman"/>
        </w:rPr>
        <w:t>rkinson’s disease heterogeneity.</w:t>
      </w:r>
    </w:p>
    <w:p w14:paraId="253AE6AF" w14:textId="77777777" w:rsidR="00EB0744" w:rsidRDefault="00EB0744" w:rsidP="00B16199">
      <w:pPr>
        <w:rPr>
          <w:rFonts w:cs="Times New Roman"/>
        </w:rPr>
      </w:pPr>
    </w:p>
    <w:p w14:paraId="5FB086D0" w14:textId="77777777" w:rsidR="00A60384" w:rsidRDefault="003A3758" w:rsidP="00B16199">
      <w:pPr>
        <w:rPr>
          <w:rFonts w:cs="Times New Roman"/>
        </w:rPr>
      </w:pPr>
      <w:r>
        <w:rPr>
          <w:rFonts w:cs="Times New Roman"/>
          <w:i/>
        </w:rPr>
        <w:t xml:space="preserve">Keywords: </w:t>
      </w:r>
      <w:r w:rsidR="00113B39">
        <w:rPr>
          <w:rFonts w:cs="Times New Roman"/>
        </w:rPr>
        <w:t>Parki</w:t>
      </w:r>
      <w:r w:rsidR="00113B39" w:rsidRPr="00113B39">
        <w:rPr>
          <w:rFonts w:cs="Times New Roman"/>
        </w:rPr>
        <w:t>n</w:t>
      </w:r>
      <w:r w:rsidR="00113B39">
        <w:rPr>
          <w:rFonts w:cs="Times New Roman"/>
        </w:rPr>
        <w:t>s</w:t>
      </w:r>
      <w:r w:rsidR="0046395F">
        <w:rPr>
          <w:rFonts w:cs="Times New Roman"/>
        </w:rPr>
        <w:t xml:space="preserve">on’s disease, </w:t>
      </w:r>
      <w:r w:rsidR="00692683">
        <w:rPr>
          <w:rFonts w:cs="Times New Roman"/>
        </w:rPr>
        <w:t xml:space="preserve">subtypes, </w:t>
      </w:r>
      <w:r w:rsidR="0046395F">
        <w:rPr>
          <w:rFonts w:cs="Times New Roman"/>
        </w:rPr>
        <w:t>non-</w:t>
      </w:r>
      <w:r w:rsidR="00113B39" w:rsidRPr="00113B39">
        <w:rPr>
          <w:rFonts w:cs="Times New Roman"/>
        </w:rPr>
        <w:t xml:space="preserve">motor </w:t>
      </w:r>
      <w:r w:rsidR="00290A8B">
        <w:rPr>
          <w:rFonts w:cs="Times New Roman"/>
        </w:rPr>
        <w:t>symptoms</w:t>
      </w:r>
      <w:r w:rsidR="00113B39" w:rsidRPr="00113B39">
        <w:rPr>
          <w:rFonts w:cs="Times New Roman"/>
        </w:rPr>
        <w:t xml:space="preserve">, </w:t>
      </w:r>
      <w:r w:rsidR="00362100">
        <w:rPr>
          <w:rFonts w:cs="Times New Roman"/>
        </w:rPr>
        <w:t>cluster analysis</w:t>
      </w:r>
    </w:p>
    <w:p w14:paraId="70ECA6D9" w14:textId="77777777" w:rsidR="00137374" w:rsidRDefault="00137374" w:rsidP="00B16199">
      <w:pPr>
        <w:rPr>
          <w:rFonts w:cs="Times New Roman"/>
        </w:rPr>
      </w:pPr>
    </w:p>
    <w:p w14:paraId="41C9B956" w14:textId="5E780371" w:rsidR="00137374" w:rsidRPr="00ED6404" w:rsidRDefault="00137374" w:rsidP="00B16199">
      <w:pPr>
        <w:rPr>
          <w:rFonts w:cs="Times New Roman"/>
          <w:i/>
        </w:rPr>
      </w:pPr>
      <w:r w:rsidRPr="00ED6404">
        <w:rPr>
          <w:rFonts w:cs="Times New Roman"/>
          <w:i/>
        </w:rPr>
        <w:t>Abbreviations used</w:t>
      </w:r>
    </w:p>
    <w:p w14:paraId="552BB5B0" w14:textId="08E5F47C" w:rsidR="00ED6404" w:rsidRDefault="00ED6404" w:rsidP="00B16199">
      <w:pPr>
        <w:rPr>
          <w:rFonts w:cs="Times New Roman"/>
        </w:rPr>
      </w:pPr>
      <w:r>
        <w:rPr>
          <w:rFonts w:cs="Times New Roman"/>
        </w:rPr>
        <w:t>ARI: Adjusted rand index</w:t>
      </w:r>
    </w:p>
    <w:p w14:paraId="72D7DE4C" w14:textId="2D04C6E3" w:rsidR="00137374" w:rsidRDefault="00137374" w:rsidP="00B16199">
      <w:pPr>
        <w:rPr>
          <w:rFonts w:cs="Times New Roman"/>
        </w:rPr>
      </w:pPr>
      <w:r>
        <w:rPr>
          <w:rFonts w:cs="Times New Roman"/>
        </w:rPr>
        <w:t xml:space="preserve">CISI-PD: </w:t>
      </w:r>
      <w:r w:rsidRPr="008614C4">
        <w:rPr>
          <w:rFonts w:cs="Times New Roman"/>
        </w:rPr>
        <w:t xml:space="preserve">Clinical Impression of Severity Index for </w:t>
      </w:r>
      <w:r>
        <w:rPr>
          <w:rFonts w:cs="Times New Roman"/>
        </w:rPr>
        <w:t>Parkinson’s disease</w:t>
      </w:r>
    </w:p>
    <w:p w14:paraId="484B5BEE" w14:textId="51CE08DB" w:rsidR="008F4917" w:rsidRDefault="008F4917" w:rsidP="00B16199">
      <w:pPr>
        <w:rPr>
          <w:rFonts w:cs="Times New Roman"/>
        </w:rPr>
      </w:pPr>
      <w:r>
        <w:rPr>
          <w:rFonts w:cs="Times New Roman"/>
        </w:rPr>
        <w:t>HY: Hoehn and Yahr scale</w:t>
      </w:r>
    </w:p>
    <w:p w14:paraId="462063EE" w14:textId="0508C852" w:rsidR="00137374" w:rsidRDefault="00137374" w:rsidP="00B16199">
      <w:pPr>
        <w:rPr>
          <w:rFonts w:cs="Times New Roman"/>
        </w:rPr>
      </w:pPr>
      <w:r>
        <w:rPr>
          <w:rFonts w:cs="Times New Roman"/>
        </w:rPr>
        <w:t>NILS: Non-Motor</w:t>
      </w:r>
      <w:r w:rsidRPr="008614C4">
        <w:rPr>
          <w:rFonts w:cs="Times New Roman"/>
        </w:rPr>
        <w:t xml:space="preserve"> International Longitudinal Study</w:t>
      </w:r>
    </w:p>
    <w:p w14:paraId="12E870E0" w14:textId="7FA73150" w:rsidR="00137374" w:rsidRDefault="00137374" w:rsidP="00B16199">
      <w:pPr>
        <w:rPr>
          <w:rFonts w:cs="Times New Roman"/>
        </w:rPr>
      </w:pPr>
      <w:r>
        <w:rPr>
          <w:rFonts w:cs="Times New Roman"/>
        </w:rPr>
        <w:t>NMS: Non-motor symptoms</w:t>
      </w:r>
    </w:p>
    <w:p w14:paraId="5C24824A" w14:textId="4C1BC17F" w:rsidR="00137374" w:rsidRDefault="00137374" w:rsidP="00B16199">
      <w:pPr>
        <w:rPr>
          <w:rFonts w:cs="Times New Roman"/>
        </w:rPr>
      </w:pPr>
      <w:r>
        <w:rPr>
          <w:rFonts w:cs="Times New Roman"/>
        </w:rPr>
        <w:t>NMSS: Non-motor symptoms scale</w:t>
      </w:r>
    </w:p>
    <w:p w14:paraId="1F914888" w14:textId="256C98DB" w:rsidR="00ED6404" w:rsidRDefault="00ED6404" w:rsidP="00B16199">
      <w:pPr>
        <w:rPr>
          <w:rFonts w:cs="Times New Roman"/>
        </w:rPr>
      </w:pPr>
      <w:r>
        <w:rPr>
          <w:rFonts w:cs="Times New Roman"/>
        </w:rPr>
        <w:t>RLS: Restless legs syndrome</w:t>
      </w:r>
    </w:p>
    <w:p w14:paraId="1230BF18" w14:textId="5230E2CC" w:rsidR="00A60384" w:rsidRDefault="006266BE" w:rsidP="00B16199">
      <w:pPr>
        <w:rPr>
          <w:rFonts w:cs="Times New Roman"/>
        </w:rPr>
      </w:pPr>
      <w:r>
        <w:rPr>
          <w:rFonts w:cs="Times New Roman"/>
        </w:rPr>
        <w:t xml:space="preserve">SCOPA-Motor: </w:t>
      </w:r>
      <w:r w:rsidRPr="008614C4">
        <w:rPr>
          <w:rFonts w:cs="Times New Roman"/>
        </w:rPr>
        <w:t>Scales for Outcomes in Parkinson’s Disease-Motor</w:t>
      </w:r>
      <w:r w:rsidR="00A60384">
        <w:rPr>
          <w:rFonts w:cs="Times New Roman"/>
        </w:rPr>
        <w:br w:type="page"/>
      </w:r>
    </w:p>
    <w:p w14:paraId="731FB3EA" w14:textId="77777777" w:rsidR="008679F9" w:rsidRPr="008614C4" w:rsidRDefault="008679F9" w:rsidP="00B16199">
      <w:pPr>
        <w:pStyle w:val="Heading1"/>
        <w:jc w:val="both"/>
        <w:rPr>
          <w:rFonts w:cs="Times New Roman"/>
        </w:rPr>
      </w:pPr>
      <w:r w:rsidRPr="008614C4">
        <w:rPr>
          <w:rFonts w:cs="Times New Roman"/>
        </w:rPr>
        <w:lastRenderedPageBreak/>
        <w:t>Introduction</w:t>
      </w:r>
    </w:p>
    <w:p w14:paraId="2245FAB1" w14:textId="39144625" w:rsidR="00DC39C7" w:rsidRDefault="008679F9" w:rsidP="00B16199">
      <w:pPr>
        <w:ind w:firstLine="720"/>
        <w:rPr>
          <w:rFonts w:cs="Times New Roman"/>
        </w:rPr>
      </w:pPr>
      <w:r w:rsidRPr="008614C4">
        <w:rPr>
          <w:rFonts w:cs="Times New Roman"/>
        </w:rPr>
        <w:t>Parkinson’s disease</w:t>
      </w:r>
      <w:r w:rsidR="00C6339A">
        <w:rPr>
          <w:rFonts w:cs="Times New Roman"/>
        </w:rPr>
        <w:t xml:space="preserve"> </w:t>
      </w:r>
      <w:r w:rsidR="00810C11">
        <w:rPr>
          <w:rFonts w:cs="Times New Roman"/>
        </w:rPr>
        <w:t>is</w:t>
      </w:r>
      <w:r w:rsidRPr="008614C4">
        <w:rPr>
          <w:rFonts w:cs="Times New Roman"/>
        </w:rPr>
        <w:t xml:space="preserve"> classically considered a motor disorder</w:t>
      </w:r>
      <w:r w:rsidR="00591748">
        <w:rPr>
          <w:rFonts w:cs="Times New Roman"/>
        </w:rPr>
        <w:t>,</w:t>
      </w:r>
      <w:r w:rsidRPr="008614C4">
        <w:rPr>
          <w:rFonts w:cs="Times New Roman"/>
        </w:rPr>
        <w:t xml:space="preserve"> with rest</w:t>
      </w:r>
      <w:r w:rsidR="00571C87">
        <w:rPr>
          <w:rFonts w:cs="Times New Roman"/>
        </w:rPr>
        <w:t>ing tremor</w:t>
      </w:r>
      <w:r w:rsidRPr="008614C4">
        <w:rPr>
          <w:rFonts w:cs="Times New Roman"/>
        </w:rPr>
        <w:t>, rigi</w:t>
      </w:r>
      <w:r w:rsidR="00591748">
        <w:rPr>
          <w:rFonts w:cs="Times New Roman"/>
        </w:rPr>
        <w:t>dity</w:t>
      </w:r>
      <w:r w:rsidR="004531AF">
        <w:rPr>
          <w:rFonts w:cs="Times New Roman"/>
        </w:rPr>
        <w:t>,</w:t>
      </w:r>
      <w:r w:rsidR="00591748">
        <w:rPr>
          <w:rFonts w:cs="Times New Roman"/>
        </w:rPr>
        <w:t xml:space="preserve"> and bradykinesia as its </w:t>
      </w:r>
      <w:r w:rsidRPr="008614C4">
        <w:rPr>
          <w:rFonts w:cs="Times New Roman"/>
        </w:rPr>
        <w:t xml:space="preserve">core </w:t>
      </w:r>
      <w:r w:rsidR="00591748">
        <w:rPr>
          <w:rFonts w:cs="Times New Roman"/>
        </w:rPr>
        <w:t>features</w:t>
      </w:r>
      <w:r w:rsidRPr="008614C4">
        <w:rPr>
          <w:rFonts w:cs="Times New Roman"/>
        </w:rPr>
        <w:t>. However, the concept of Parkinson’s disease has changed considerably in the last few years</w:t>
      </w:r>
      <w:r w:rsidR="00591748">
        <w:rPr>
          <w:rFonts w:cs="Times New Roman"/>
        </w:rPr>
        <w:t>,</w:t>
      </w:r>
      <w:r w:rsidRPr="008614C4">
        <w:rPr>
          <w:rFonts w:cs="Times New Roman"/>
        </w:rPr>
        <w:t xml:space="preserve"> now prompting a revision of </w:t>
      </w:r>
      <w:r w:rsidR="00591748">
        <w:rPr>
          <w:rFonts w:cs="Times New Roman"/>
        </w:rPr>
        <w:t>its</w:t>
      </w:r>
      <w:r w:rsidRPr="008614C4">
        <w:rPr>
          <w:rFonts w:cs="Times New Roman"/>
        </w:rPr>
        <w:t xml:space="preserve"> diagnostic crit</w:t>
      </w:r>
      <w:r w:rsidR="00571C87">
        <w:rPr>
          <w:rFonts w:cs="Times New Roman"/>
        </w:rPr>
        <w:t>eria to include non-</w:t>
      </w:r>
      <w:r w:rsidRPr="008614C4">
        <w:rPr>
          <w:rFonts w:cs="Times New Roman"/>
        </w:rPr>
        <w:t>motor s</w:t>
      </w:r>
      <w:r w:rsidR="00571C87">
        <w:rPr>
          <w:rFonts w:cs="Times New Roman"/>
        </w:rPr>
        <w:t xml:space="preserve">ymptoms </w:t>
      </w:r>
      <w:r w:rsidR="00591748">
        <w:rPr>
          <w:rFonts w:cs="Times New Roman"/>
        </w:rPr>
        <w:t xml:space="preserve">(NMS) </w:t>
      </w:r>
      <w:r w:rsidR="00571C87">
        <w:rPr>
          <w:rFonts w:cs="Times New Roman"/>
        </w:rPr>
        <w:t xml:space="preserve">in the core parameters </w:t>
      </w:r>
      <w:r w:rsidRPr="008614C4">
        <w:rPr>
          <w:rFonts w:cs="Times New Roman"/>
        </w:rPr>
        <w:t>(Marras an</w:t>
      </w:r>
      <w:r w:rsidR="00571C87">
        <w:rPr>
          <w:rFonts w:cs="Times New Roman"/>
        </w:rPr>
        <w:t>d Chaudhuri 2016</w:t>
      </w:r>
      <w:r w:rsidR="00F96651">
        <w:rPr>
          <w:rFonts w:cs="Times New Roman"/>
        </w:rPr>
        <w:t>; Postuma</w:t>
      </w:r>
      <w:r w:rsidR="00F55E95">
        <w:rPr>
          <w:rFonts w:cs="Times New Roman"/>
        </w:rPr>
        <w:t xml:space="preserve"> </w:t>
      </w:r>
      <w:r w:rsidR="00F96651" w:rsidRPr="007E303F">
        <w:rPr>
          <w:rFonts w:cs="Times New Roman"/>
          <w:i/>
        </w:rPr>
        <w:t>et al</w:t>
      </w:r>
      <w:r w:rsidR="007E303F">
        <w:rPr>
          <w:rFonts w:cs="Times New Roman"/>
          <w:i/>
        </w:rPr>
        <w:t>.</w:t>
      </w:r>
      <w:r w:rsidR="00F96651">
        <w:rPr>
          <w:rFonts w:cs="Times New Roman"/>
        </w:rPr>
        <w:t xml:space="preserve"> 2015). </w:t>
      </w:r>
      <w:r w:rsidR="00F569EC" w:rsidRPr="00F569EC">
        <w:rPr>
          <w:rFonts w:cs="Times New Roman"/>
        </w:rPr>
        <w:t xml:space="preserve">There has been growing recognition that NMS in </w:t>
      </w:r>
      <w:r w:rsidR="00137374">
        <w:rPr>
          <w:rFonts w:cs="Times New Roman"/>
        </w:rPr>
        <w:t>Parkinson’s</w:t>
      </w:r>
      <w:r w:rsidR="00F569EC" w:rsidRPr="00F569EC">
        <w:rPr>
          <w:rFonts w:cs="Times New Roman"/>
        </w:rPr>
        <w:t xml:space="preserve"> are caused by multi neurotransmitter pathway dysfunction</w:t>
      </w:r>
      <w:r w:rsidR="00B62142">
        <w:rPr>
          <w:rFonts w:cs="Times New Roman"/>
        </w:rPr>
        <w:t>,</w:t>
      </w:r>
      <w:r w:rsidR="00F569EC" w:rsidRPr="00F569EC">
        <w:rPr>
          <w:rFonts w:cs="Times New Roman"/>
        </w:rPr>
        <w:t xml:space="preserve"> which involves not just the central but also the peripheral nervous system</w:t>
      </w:r>
      <w:r w:rsidR="004531AF">
        <w:rPr>
          <w:rFonts w:cs="Times New Roman"/>
        </w:rPr>
        <w:t xml:space="preserve"> </w:t>
      </w:r>
      <w:r w:rsidRPr="008614C4">
        <w:rPr>
          <w:rFonts w:cs="Times New Roman"/>
        </w:rPr>
        <w:t>(</w:t>
      </w:r>
      <w:r w:rsidRPr="008733FC">
        <w:rPr>
          <w:rFonts w:cs="Times New Roman"/>
        </w:rPr>
        <w:t>Jellinger 2012</w:t>
      </w:r>
      <w:r w:rsidR="00DD4913">
        <w:rPr>
          <w:rFonts w:cs="Times New Roman"/>
        </w:rPr>
        <w:t xml:space="preserve">; </w:t>
      </w:r>
      <w:r w:rsidR="003F6EF2" w:rsidRPr="003F6EF2">
        <w:rPr>
          <w:rFonts w:cs="Times New Roman"/>
        </w:rPr>
        <w:t>Gjerløff</w:t>
      </w:r>
      <w:r w:rsidR="008667C0">
        <w:rPr>
          <w:rFonts w:cs="Times New Roman"/>
        </w:rPr>
        <w:t xml:space="preserve"> </w:t>
      </w:r>
      <w:r w:rsidR="00DD4913" w:rsidRPr="003F6EF2">
        <w:rPr>
          <w:rFonts w:cs="Times New Roman"/>
          <w:i/>
        </w:rPr>
        <w:t>et al</w:t>
      </w:r>
      <w:r w:rsidR="00DD4913" w:rsidRPr="003F6EF2">
        <w:rPr>
          <w:rFonts w:cs="Times New Roman"/>
        </w:rPr>
        <w:t>. 2015</w:t>
      </w:r>
      <w:r w:rsidRPr="008614C4">
        <w:rPr>
          <w:rFonts w:cs="Times New Roman"/>
        </w:rPr>
        <w:t>)</w:t>
      </w:r>
      <w:r w:rsidR="003766D7">
        <w:rPr>
          <w:rFonts w:cs="Times New Roman"/>
        </w:rPr>
        <w:t>.</w:t>
      </w:r>
    </w:p>
    <w:p w14:paraId="71AF1451" w14:textId="00B6C3E8" w:rsidR="008679F9" w:rsidRPr="00A60384" w:rsidRDefault="00C234C1" w:rsidP="00B16199">
      <w:pPr>
        <w:ind w:firstLine="720"/>
        <w:rPr>
          <w:rFonts w:cs="Times New Roman"/>
        </w:rPr>
      </w:pPr>
      <w:r>
        <w:rPr>
          <w:rFonts w:cs="Times New Roman"/>
        </w:rPr>
        <w:t>Previous</w:t>
      </w:r>
      <w:r w:rsidR="00DD4913">
        <w:rPr>
          <w:rFonts w:cs="Times New Roman"/>
        </w:rPr>
        <w:t xml:space="preserve"> c</w:t>
      </w:r>
      <w:r w:rsidR="008679F9" w:rsidRPr="008614C4">
        <w:rPr>
          <w:rFonts w:cs="Times New Roman"/>
        </w:rPr>
        <w:t xml:space="preserve">luster </w:t>
      </w:r>
      <w:r>
        <w:rPr>
          <w:rFonts w:cs="Times New Roman"/>
        </w:rPr>
        <w:t>analyses</w:t>
      </w:r>
      <w:r w:rsidR="00982008">
        <w:rPr>
          <w:rFonts w:cs="Times New Roman"/>
        </w:rPr>
        <w:t xml:space="preserve"> </w:t>
      </w:r>
      <w:r>
        <w:rPr>
          <w:rFonts w:cs="Times New Roman"/>
        </w:rPr>
        <w:t>have</w:t>
      </w:r>
      <w:r w:rsidR="00982008">
        <w:rPr>
          <w:rFonts w:cs="Times New Roman"/>
        </w:rPr>
        <w:t xml:space="preserve"> </w:t>
      </w:r>
      <w:r w:rsidR="00D971B4">
        <w:rPr>
          <w:rFonts w:cs="Times New Roman"/>
        </w:rPr>
        <w:t xml:space="preserve">already identified several </w:t>
      </w:r>
      <w:r w:rsidR="00571C87">
        <w:rPr>
          <w:rFonts w:cs="Times New Roman"/>
        </w:rPr>
        <w:t>non-</w:t>
      </w:r>
      <w:r w:rsidR="00D971B4">
        <w:rPr>
          <w:rFonts w:cs="Times New Roman"/>
        </w:rPr>
        <w:t xml:space="preserve">motor </w:t>
      </w:r>
      <w:r w:rsidR="008679F9" w:rsidRPr="008614C4">
        <w:rPr>
          <w:rFonts w:cs="Times New Roman"/>
        </w:rPr>
        <w:t xml:space="preserve">clusters in </w:t>
      </w:r>
      <w:r w:rsidR="00137374">
        <w:rPr>
          <w:rFonts w:cs="Times New Roman"/>
        </w:rPr>
        <w:t>Parkinson’s disease</w:t>
      </w:r>
      <w:r w:rsidR="00D971B4">
        <w:rPr>
          <w:rFonts w:cs="Times New Roman"/>
        </w:rPr>
        <w:t xml:space="preserve"> patients</w:t>
      </w:r>
      <w:r w:rsidR="008679F9" w:rsidRPr="008614C4">
        <w:rPr>
          <w:rFonts w:cs="Times New Roman"/>
        </w:rPr>
        <w:t xml:space="preserve"> (</w:t>
      </w:r>
      <w:r w:rsidR="004E1EEF">
        <w:rPr>
          <w:rFonts w:cs="Times New Roman"/>
        </w:rPr>
        <w:t xml:space="preserve">e.g. </w:t>
      </w:r>
      <w:r w:rsidR="008679F9" w:rsidRPr="008614C4">
        <w:rPr>
          <w:rFonts w:cs="Times New Roman"/>
        </w:rPr>
        <w:t xml:space="preserve">Erro </w:t>
      </w:r>
      <w:r w:rsidR="008679F9" w:rsidRPr="007E303F">
        <w:rPr>
          <w:rFonts w:cs="Times New Roman"/>
          <w:i/>
        </w:rPr>
        <w:t>et al</w:t>
      </w:r>
      <w:r w:rsidR="007E303F">
        <w:rPr>
          <w:rFonts w:cs="Times New Roman"/>
          <w:i/>
        </w:rPr>
        <w:t>.</w:t>
      </w:r>
      <w:r w:rsidR="004531AF">
        <w:rPr>
          <w:rFonts w:cs="Times New Roman"/>
          <w:i/>
        </w:rPr>
        <w:t xml:space="preserve">, </w:t>
      </w:r>
      <w:r w:rsidR="00651886">
        <w:rPr>
          <w:rFonts w:cs="Times New Roman"/>
        </w:rPr>
        <w:t>2013;</w:t>
      </w:r>
      <w:r w:rsidR="00651886" w:rsidRPr="008733FC">
        <w:rPr>
          <w:rFonts w:cs="Times New Roman"/>
        </w:rPr>
        <w:t xml:space="preserve"> Pont</w:t>
      </w:r>
      <w:r w:rsidR="008C2D30" w:rsidRPr="008733FC">
        <w:rPr>
          <w:rFonts w:cs="Times New Roman"/>
        </w:rPr>
        <w:t>-Sunyer</w:t>
      </w:r>
      <w:r w:rsidR="00982008">
        <w:rPr>
          <w:rFonts w:cs="Times New Roman"/>
        </w:rPr>
        <w:t xml:space="preserve"> </w:t>
      </w:r>
      <w:r w:rsidR="008C2D30" w:rsidRPr="003F6EF2">
        <w:rPr>
          <w:rFonts w:cs="Times New Roman"/>
          <w:i/>
        </w:rPr>
        <w:t>et al</w:t>
      </w:r>
      <w:r w:rsidR="008C2D30" w:rsidRPr="008733FC">
        <w:rPr>
          <w:rFonts w:cs="Times New Roman"/>
        </w:rPr>
        <w:t xml:space="preserve">., </w:t>
      </w:r>
      <w:r w:rsidR="008679F9" w:rsidRPr="008733FC">
        <w:rPr>
          <w:rFonts w:cs="Times New Roman"/>
        </w:rPr>
        <w:t>2015</w:t>
      </w:r>
      <w:r w:rsidR="008679F9" w:rsidRPr="008614C4">
        <w:rPr>
          <w:rFonts w:cs="Times New Roman"/>
        </w:rPr>
        <w:t>)</w:t>
      </w:r>
      <w:r w:rsidR="00D971B4">
        <w:rPr>
          <w:rFonts w:cs="Times New Roman"/>
        </w:rPr>
        <w:t>,</w:t>
      </w:r>
      <w:r w:rsidR="008679F9" w:rsidRPr="008614C4">
        <w:rPr>
          <w:rFonts w:cs="Times New Roman"/>
        </w:rPr>
        <w:t xml:space="preserve"> while clinical observational studies </w:t>
      </w:r>
      <w:r w:rsidR="00D971B4">
        <w:rPr>
          <w:rFonts w:cs="Times New Roman"/>
        </w:rPr>
        <w:t xml:space="preserve">also </w:t>
      </w:r>
      <w:r w:rsidR="008679F9" w:rsidRPr="008614C4">
        <w:rPr>
          <w:rFonts w:cs="Times New Roman"/>
        </w:rPr>
        <w:t>suggest</w:t>
      </w:r>
      <w:r w:rsidR="00D971B4">
        <w:rPr>
          <w:rFonts w:cs="Times New Roman"/>
        </w:rPr>
        <w:t xml:space="preserve"> the</w:t>
      </w:r>
      <w:r w:rsidR="008679F9" w:rsidRPr="008614C4">
        <w:rPr>
          <w:rFonts w:cs="Times New Roman"/>
        </w:rPr>
        <w:t xml:space="preserve"> existence of specific </w:t>
      </w:r>
      <w:r w:rsidR="00571C87">
        <w:rPr>
          <w:rFonts w:cs="Times New Roman"/>
        </w:rPr>
        <w:t>non-motor</w:t>
      </w:r>
      <w:r w:rsidR="00982008">
        <w:rPr>
          <w:rFonts w:cs="Times New Roman"/>
        </w:rPr>
        <w:t xml:space="preserve"> </w:t>
      </w:r>
      <w:r w:rsidR="00F96651">
        <w:rPr>
          <w:rFonts w:cs="Times New Roman"/>
        </w:rPr>
        <w:t>subtypes (</w:t>
      </w:r>
      <w:r w:rsidR="00F96651" w:rsidRPr="008733FC">
        <w:rPr>
          <w:rFonts w:cs="Times New Roman"/>
        </w:rPr>
        <w:t>Sauerbier</w:t>
      </w:r>
      <w:r w:rsidR="00982008">
        <w:rPr>
          <w:rFonts w:cs="Times New Roman"/>
        </w:rPr>
        <w:t xml:space="preserve"> </w:t>
      </w:r>
      <w:r w:rsidR="00F96651" w:rsidRPr="008733FC">
        <w:rPr>
          <w:rFonts w:cs="Times New Roman"/>
          <w:i/>
        </w:rPr>
        <w:t>et al</w:t>
      </w:r>
      <w:r w:rsidR="007E303F" w:rsidRPr="008733FC">
        <w:rPr>
          <w:rFonts w:cs="Times New Roman"/>
          <w:i/>
        </w:rPr>
        <w:t>.</w:t>
      </w:r>
      <w:r w:rsidR="003A6E54">
        <w:rPr>
          <w:rFonts w:cs="Times New Roman"/>
          <w:i/>
        </w:rPr>
        <w:t xml:space="preserve">, </w:t>
      </w:r>
      <w:r w:rsidR="008733FC" w:rsidRPr="008733FC">
        <w:rPr>
          <w:rFonts w:cs="Times New Roman"/>
        </w:rPr>
        <w:t>2016</w:t>
      </w:r>
      <w:r w:rsidR="00F96651">
        <w:rPr>
          <w:rFonts w:cs="Times New Roman"/>
        </w:rPr>
        <w:t>; Marras and Chaudhuri 2016).</w:t>
      </w:r>
    </w:p>
    <w:p w14:paraId="64AB5438" w14:textId="217A1929" w:rsidR="008679F9" w:rsidRPr="008614C4" w:rsidRDefault="00984411" w:rsidP="00B16199">
      <w:pPr>
        <w:ind w:firstLine="720"/>
        <w:rPr>
          <w:rFonts w:cs="Times New Roman"/>
        </w:rPr>
      </w:pPr>
      <w:r>
        <w:rPr>
          <w:rFonts w:cs="Times New Roman"/>
        </w:rPr>
        <w:t>I</w:t>
      </w:r>
      <w:r w:rsidR="003D1AA7">
        <w:rPr>
          <w:rFonts w:cs="Times New Roman"/>
        </w:rPr>
        <w:t xml:space="preserve">t has been </w:t>
      </w:r>
      <w:r w:rsidR="0032536B">
        <w:rPr>
          <w:rFonts w:cs="Times New Roman"/>
        </w:rPr>
        <w:t>argued</w:t>
      </w:r>
      <w:r w:rsidR="003D1AA7">
        <w:rPr>
          <w:rFonts w:cs="Times New Roman"/>
        </w:rPr>
        <w:t xml:space="preserve"> that the recent concept of </w:t>
      </w:r>
      <w:r w:rsidR="005E661E">
        <w:rPr>
          <w:rFonts w:cs="Times New Roman"/>
        </w:rPr>
        <w:t>non-motor</w:t>
      </w:r>
      <w:r w:rsidR="00982008">
        <w:rPr>
          <w:rFonts w:cs="Times New Roman"/>
        </w:rPr>
        <w:t xml:space="preserve"> </w:t>
      </w:r>
      <w:r w:rsidR="003D1AA7">
        <w:rPr>
          <w:rFonts w:cs="Times New Roman"/>
        </w:rPr>
        <w:t xml:space="preserve">endophenotypes of </w:t>
      </w:r>
      <w:r w:rsidR="00137374">
        <w:rPr>
          <w:rFonts w:cs="Times New Roman"/>
        </w:rPr>
        <w:t>Parkinson’s disease</w:t>
      </w:r>
      <w:r w:rsidR="003D1AA7">
        <w:rPr>
          <w:rFonts w:cs="Times New Roman"/>
        </w:rPr>
        <w:t xml:space="preserve"> provide</w:t>
      </w:r>
      <w:r w:rsidR="0049072B">
        <w:rPr>
          <w:rFonts w:cs="Times New Roman"/>
        </w:rPr>
        <w:t>s</w:t>
      </w:r>
      <w:r w:rsidR="003D1AA7">
        <w:rPr>
          <w:rFonts w:cs="Times New Roman"/>
        </w:rPr>
        <w:t xml:space="preserve"> a stronger basis for subtyping</w:t>
      </w:r>
      <w:r w:rsidR="009C702A">
        <w:rPr>
          <w:rFonts w:cs="Times New Roman"/>
        </w:rPr>
        <w:t>,</w:t>
      </w:r>
      <w:r w:rsidR="00982008">
        <w:rPr>
          <w:rFonts w:cs="Times New Roman"/>
        </w:rPr>
        <w:t xml:space="preserve"> </w:t>
      </w:r>
      <w:r w:rsidR="009C702A">
        <w:rPr>
          <w:rFonts w:cs="Times New Roman"/>
        </w:rPr>
        <w:t>since</w:t>
      </w:r>
      <w:r w:rsidR="003D1AA7">
        <w:rPr>
          <w:rFonts w:cs="Times New Roman"/>
        </w:rPr>
        <w:t xml:space="preserve"> these relate to</w:t>
      </w:r>
      <w:r w:rsidR="009C702A">
        <w:rPr>
          <w:rFonts w:cs="Times New Roman"/>
        </w:rPr>
        <w:t xml:space="preserve"> the</w:t>
      </w:r>
      <w:r w:rsidR="003D1AA7">
        <w:rPr>
          <w:rFonts w:cs="Times New Roman"/>
        </w:rPr>
        <w:t xml:space="preserve"> central pathophysiology of specific neurotransmitter systems and are</w:t>
      </w:r>
      <w:r w:rsidR="00982008">
        <w:rPr>
          <w:rFonts w:cs="Times New Roman"/>
        </w:rPr>
        <w:t xml:space="preserve"> </w:t>
      </w:r>
      <w:r w:rsidR="00036A28">
        <w:rPr>
          <w:rFonts w:cs="Times New Roman"/>
        </w:rPr>
        <w:t xml:space="preserve">therefore </w:t>
      </w:r>
      <w:r w:rsidR="003D1AA7">
        <w:rPr>
          <w:rFonts w:cs="Times New Roman"/>
        </w:rPr>
        <w:t>likely to remain stable over time (Marras and Chaudhuri 2016). As such</w:t>
      </w:r>
      <w:r w:rsidR="00036A28">
        <w:rPr>
          <w:rFonts w:cs="Times New Roman"/>
        </w:rPr>
        <w:t>,</w:t>
      </w:r>
      <w:r w:rsidR="00982008">
        <w:rPr>
          <w:rFonts w:cs="Times New Roman"/>
        </w:rPr>
        <w:t xml:space="preserve"> </w:t>
      </w:r>
      <w:r w:rsidR="008679F9" w:rsidRPr="008614C4">
        <w:rPr>
          <w:rFonts w:cs="Times New Roman"/>
        </w:rPr>
        <w:t xml:space="preserve">several studies have explored </w:t>
      </w:r>
      <w:r w:rsidR="00137374">
        <w:rPr>
          <w:rFonts w:cs="Times New Roman"/>
        </w:rPr>
        <w:t>Parkinson’s</w:t>
      </w:r>
      <w:r w:rsidR="008679F9" w:rsidRPr="008614C4">
        <w:rPr>
          <w:rFonts w:cs="Times New Roman"/>
        </w:rPr>
        <w:t xml:space="preserve"> subtypes</w:t>
      </w:r>
      <w:r w:rsidR="00D07391">
        <w:rPr>
          <w:rFonts w:cs="Times New Roman"/>
        </w:rPr>
        <w:t xml:space="preserve"> while</w:t>
      </w:r>
      <w:r w:rsidR="008679F9" w:rsidRPr="008614C4">
        <w:rPr>
          <w:rFonts w:cs="Times New Roman"/>
        </w:rPr>
        <w:t xml:space="preserve"> considering motor subtypes and their association with non-motor facets of the disease such as psychopathology and cognition (Graham and Sagar, 1999; Reijnders</w:t>
      </w:r>
      <w:r w:rsidR="00982008">
        <w:rPr>
          <w:rFonts w:cs="Times New Roman"/>
        </w:rPr>
        <w:t xml:space="preserve"> </w:t>
      </w:r>
      <w:r w:rsidR="008679F9" w:rsidRPr="007E303F">
        <w:rPr>
          <w:rFonts w:cs="Times New Roman"/>
          <w:i/>
        </w:rPr>
        <w:t>et al</w:t>
      </w:r>
      <w:r w:rsidR="008679F9" w:rsidRPr="008614C4">
        <w:rPr>
          <w:rFonts w:cs="Times New Roman"/>
        </w:rPr>
        <w:t>., 2009; Selikhova</w:t>
      </w:r>
      <w:r w:rsidR="00982008">
        <w:rPr>
          <w:rFonts w:cs="Times New Roman"/>
        </w:rPr>
        <w:t xml:space="preserve"> </w:t>
      </w:r>
      <w:r w:rsidR="008679F9" w:rsidRPr="007E303F">
        <w:rPr>
          <w:rFonts w:cs="Times New Roman"/>
          <w:i/>
        </w:rPr>
        <w:t>et al</w:t>
      </w:r>
      <w:r w:rsidR="008679F9" w:rsidRPr="008614C4">
        <w:rPr>
          <w:rFonts w:cs="Times New Roman"/>
        </w:rPr>
        <w:t xml:space="preserve">., 2009; Burn </w:t>
      </w:r>
      <w:r w:rsidR="008679F9" w:rsidRPr="007E303F">
        <w:rPr>
          <w:rFonts w:cs="Times New Roman"/>
          <w:i/>
        </w:rPr>
        <w:t>et al</w:t>
      </w:r>
      <w:r w:rsidR="008679F9" w:rsidRPr="008614C4">
        <w:rPr>
          <w:rFonts w:cs="Times New Roman"/>
        </w:rPr>
        <w:t xml:space="preserve">., 2012; </w:t>
      </w:r>
      <w:r w:rsidR="005A2D6A" w:rsidRPr="008614C4">
        <w:t>Flensborg</w:t>
      </w:r>
      <w:r w:rsidR="00982008">
        <w:t xml:space="preserve"> </w:t>
      </w:r>
      <w:r w:rsidR="008679F9" w:rsidRPr="008614C4">
        <w:rPr>
          <w:rFonts w:cs="Times New Roman"/>
        </w:rPr>
        <w:t>Damholdt</w:t>
      </w:r>
      <w:r w:rsidR="00982008">
        <w:rPr>
          <w:rFonts w:cs="Times New Roman"/>
        </w:rPr>
        <w:t xml:space="preserve"> </w:t>
      </w:r>
      <w:r w:rsidR="008679F9" w:rsidRPr="007E303F">
        <w:rPr>
          <w:rFonts w:cs="Times New Roman"/>
          <w:i/>
        </w:rPr>
        <w:t>et al</w:t>
      </w:r>
      <w:r w:rsidR="008679F9" w:rsidRPr="008614C4">
        <w:rPr>
          <w:rFonts w:cs="Times New Roman"/>
        </w:rPr>
        <w:t>., 2012), REM sleep behavior disorder (Romenets</w:t>
      </w:r>
      <w:r w:rsidR="00982008">
        <w:rPr>
          <w:rFonts w:cs="Times New Roman"/>
        </w:rPr>
        <w:t xml:space="preserve"> </w:t>
      </w:r>
      <w:r w:rsidR="008679F9" w:rsidRPr="007E303F">
        <w:rPr>
          <w:rFonts w:cs="Times New Roman"/>
          <w:i/>
        </w:rPr>
        <w:t>et al</w:t>
      </w:r>
      <w:r w:rsidR="008679F9" w:rsidRPr="008614C4">
        <w:rPr>
          <w:rFonts w:cs="Times New Roman"/>
        </w:rPr>
        <w:t>., 2012); and visual activities</w:t>
      </w:r>
      <w:r w:rsidR="00F87554">
        <w:rPr>
          <w:rFonts w:cs="Times New Roman"/>
        </w:rPr>
        <w:t xml:space="preserve"> of daily living</w:t>
      </w:r>
      <w:bookmarkStart w:id="0" w:name="_GoBack"/>
      <w:bookmarkEnd w:id="0"/>
      <w:r w:rsidR="008679F9" w:rsidRPr="008614C4">
        <w:rPr>
          <w:rFonts w:cs="Times New Roman"/>
        </w:rPr>
        <w:t xml:space="preserve"> (</w:t>
      </w:r>
      <w:r w:rsidR="008679F9" w:rsidRPr="008733FC">
        <w:rPr>
          <w:rFonts w:cs="Times New Roman"/>
        </w:rPr>
        <w:t>Seichepine</w:t>
      </w:r>
      <w:r w:rsidR="00982008">
        <w:rPr>
          <w:rFonts w:cs="Times New Roman"/>
        </w:rPr>
        <w:t xml:space="preserve"> </w:t>
      </w:r>
      <w:r w:rsidR="008679F9" w:rsidRPr="008733FC">
        <w:rPr>
          <w:rFonts w:cs="Times New Roman"/>
          <w:i/>
        </w:rPr>
        <w:t>et al</w:t>
      </w:r>
      <w:r w:rsidR="008679F9" w:rsidRPr="008733FC">
        <w:rPr>
          <w:rFonts w:cs="Times New Roman"/>
        </w:rPr>
        <w:t>. 2011</w:t>
      </w:r>
      <w:r w:rsidR="008679F9" w:rsidRPr="008614C4">
        <w:rPr>
          <w:rFonts w:cs="Times New Roman"/>
        </w:rPr>
        <w:t>).</w:t>
      </w:r>
    </w:p>
    <w:p w14:paraId="1BCADEA8" w14:textId="5CF7C1FD" w:rsidR="008679F9" w:rsidRPr="008614C4" w:rsidRDefault="008679F9" w:rsidP="00B16199">
      <w:pPr>
        <w:ind w:firstLine="720"/>
        <w:rPr>
          <w:rFonts w:cs="Times New Roman"/>
        </w:rPr>
      </w:pPr>
      <w:r w:rsidRPr="008614C4">
        <w:rPr>
          <w:rFonts w:cs="Times New Roman"/>
        </w:rPr>
        <w:t>The present study was aimed at</w:t>
      </w:r>
      <w:r w:rsidR="00B4503D">
        <w:rPr>
          <w:rFonts w:cs="Times New Roman"/>
        </w:rPr>
        <w:t xml:space="preserve"> using cluster analysis techniques to</w:t>
      </w:r>
      <w:r w:rsidR="00982008">
        <w:rPr>
          <w:rFonts w:cs="Times New Roman"/>
        </w:rPr>
        <w:t xml:space="preserve"> </w:t>
      </w:r>
      <w:r w:rsidR="00B4503D">
        <w:rPr>
          <w:rFonts w:cs="Times New Roman"/>
        </w:rPr>
        <w:t>search for</w:t>
      </w:r>
      <w:r w:rsidRPr="008614C4">
        <w:rPr>
          <w:rFonts w:cs="Times New Roman"/>
        </w:rPr>
        <w:t xml:space="preserve"> </w:t>
      </w:r>
      <w:r w:rsidR="00137374">
        <w:rPr>
          <w:rFonts w:cs="Times New Roman"/>
        </w:rPr>
        <w:t>Parkinson’s</w:t>
      </w:r>
      <w:r w:rsidRPr="008614C4">
        <w:rPr>
          <w:rFonts w:cs="Times New Roman"/>
        </w:rPr>
        <w:t xml:space="preserve"> subtypes</w:t>
      </w:r>
      <w:r w:rsidR="003D1AA7">
        <w:rPr>
          <w:rFonts w:cs="Times New Roman"/>
        </w:rPr>
        <w:t xml:space="preserve"> from a large</w:t>
      </w:r>
      <w:r w:rsidR="00036A28">
        <w:rPr>
          <w:rFonts w:cs="Times New Roman"/>
        </w:rPr>
        <w:t>,</w:t>
      </w:r>
      <w:r w:rsidR="00B72AFA">
        <w:rPr>
          <w:rFonts w:cs="Times New Roman"/>
        </w:rPr>
        <w:t xml:space="preserve"> </w:t>
      </w:r>
      <w:r w:rsidR="0003416C">
        <w:rPr>
          <w:rFonts w:cs="Times New Roman"/>
        </w:rPr>
        <w:t>mul</w:t>
      </w:r>
      <w:r w:rsidR="00144F3B">
        <w:rPr>
          <w:rFonts w:cs="Times New Roman"/>
        </w:rPr>
        <w:t>t</w:t>
      </w:r>
      <w:r w:rsidR="0003416C">
        <w:rPr>
          <w:rFonts w:cs="Times New Roman"/>
        </w:rPr>
        <w:t>i</w:t>
      </w:r>
      <w:r w:rsidR="005542D6">
        <w:rPr>
          <w:rFonts w:cs="Times New Roman"/>
        </w:rPr>
        <w:t>-</w:t>
      </w:r>
      <w:r w:rsidR="00144F3B">
        <w:rPr>
          <w:rFonts w:cs="Times New Roman"/>
        </w:rPr>
        <w:t>centre</w:t>
      </w:r>
      <w:r w:rsidR="00036A28">
        <w:rPr>
          <w:rFonts w:cs="Times New Roman"/>
        </w:rPr>
        <w:t>,</w:t>
      </w:r>
      <w:r w:rsidR="003D1AA7">
        <w:rPr>
          <w:rFonts w:cs="Times New Roman"/>
        </w:rPr>
        <w:t xml:space="preserve"> international</w:t>
      </w:r>
      <w:r w:rsidR="009A717B">
        <w:rPr>
          <w:rFonts w:cs="Times New Roman"/>
        </w:rPr>
        <w:t>,</w:t>
      </w:r>
      <w:r w:rsidR="00036A28">
        <w:rPr>
          <w:rFonts w:cs="Times New Roman"/>
        </w:rPr>
        <w:t xml:space="preserve"> and</w:t>
      </w:r>
      <w:r w:rsidR="00982008">
        <w:rPr>
          <w:rFonts w:cs="Times New Roman"/>
        </w:rPr>
        <w:t xml:space="preserve"> </w:t>
      </w:r>
      <w:r w:rsidR="003D1AA7">
        <w:rPr>
          <w:rFonts w:cs="Times New Roman"/>
        </w:rPr>
        <w:t>well</w:t>
      </w:r>
      <w:r w:rsidR="00036A28">
        <w:rPr>
          <w:rFonts w:cs="Times New Roman"/>
        </w:rPr>
        <w:t>-</w:t>
      </w:r>
      <w:r w:rsidR="003D1AA7">
        <w:rPr>
          <w:rFonts w:cs="Times New Roman"/>
        </w:rPr>
        <w:t>characterized</w:t>
      </w:r>
      <w:r w:rsidR="00982008">
        <w:rPr>
          <w:rFonts w:cs="Times New Roman"/>
        </w:rPr>
        <w:t xml:space="preserve"> </w:t>
      </w:r>
      <w:r w:rsidR="00984411">
        <w:rPr>
          <w:rFonts w:cs="Times New Roman"/>
        </w:rPr>
        <w:t xml:space="preserve">cohort </w:t>
      </w:r>
      <w:r w:rsidRPr="008614C4">
        <w:rPr>
          <w:rFonts w:cs="Times New Roman"/>
        </w:rPr>
        <w:t>of patients</w:t>
      </w:r>
      <w:r w:rsidR="00144F3B">
        <w:rPr>
          <w:rFonts w:cs="Times New Roman"/>
        </w:rPr>
        <w:t xml:space="preserve"> across all stages</w:t>
      </w:r>
      <w:r w:rsidR="00036A28">
        <w:rPr>
          <w:rFonts w:cs="Times New Roman"/>
        </w:rPr>
        <w:t>,</w:t>
      </w:r>
      <w:r w:rsidRPr="008614C4">
        <w:rPr>
          <w:rFonts w:cs="Times New Roman"/>
        </w:rPr>
        <w:t xml:space="preserve"> using </w:t>
      </w:r>
      <w:r w:rsidR="00B4503D">
        <w:rPr>
          <w:rFonts w:cs="Times New Roman"/>
        </w:rPr>
        <w:t>a</w:t>
      </w:r>
      <w:r w:rsidRPr="008614C4">
        <w:rPr>
          <w:rFonts w:cs="Times New Roman"/>
        </w:rPr>
        <w:t xml:space="preserve"> combination of motor cardinal features (bradykinesia, rigidity, tremor, axial signs) and </w:t>
      </w:r>
      <w:r w:rsidR="00C6339A">
        <w:rPr>
          <w:rFonts w:cs="Times New Roman"/>
        </w:rPr>
        <w:t xml:space="preserve">comprehensive </w:t>
      </w:r>
      <w:r w:rsidRPr="008614C4">
        <w:rPr>
          <w:rFonts w:cs="Times New Roman"/>
        </w:rPr>
        <w:t>NMS assessed us</w:t>
      </w:r>
      <w:r w:rsidR="00B4503D">
        <w:rPr>
          <w:rFonts w:cs="Times New Roman"/>
        </w:rPr>
        <w:t xml:space="preserve">ing specific </w:t>
      </w:r>
      <w:r w:rsidR="003D1AA7">
        <w:rPr>
          <w:rFonts w:cs="Times New Roman"/>
        </w:rPr>
        <w:t xml:space="preserve">validated </w:t>
      </w:r>
      <w:r w:rsidR="00B4503D">
        <w:rPr>
          <w:rFonts w:cs="Times New Roman"/>
        </w:rPr>
        <w:t>rater-based scales</w:t>
      </w:r>
      <w:r w:rsidR="005A2D6A">
        <w:rPr>
          <w:rFonts w:cs="Times New Roman"/>
        </w:rPr>
        <w:t>.</w:t>
      </w:r>
      <w:r w:rsidR="00144F3B">
        <w:rPr>
          <w:rFonts w:cs="Times New Roman"/>
        </w:rPr>
        <w:t xml:space="preserve"> We believe this is the first study</w:t>
      </w:r>
      <w:r w:rsidR="002022B7">
        <w:rPr>
          <w:rFonts w:cs="Times New Roman"/>
        </w:rPr>
        <w:t xml:space="preserve"> with these characteristics</w:t>
      </w:r>
      <w:r w:rsidR="00144F3B">
        <w:rPr>
          <w:rFonts w:cs="Times New Roman"/>
        </w:rPr>
        <w:t>.</w:t>
      </w:r>
    </w:p>
    <w:p w14:paraId="50CCA59A" w14:textId="77777777" w:rsidR="008679F9" w:rsidRPr="008614C4" w:rsidRDefault="00216A80" w:rsidP="00B16199">
      <w:pPr>
        <w:pStyle w:val="Heading1"/>
        <w:jc w:val="both"/>
        <w:rPr>
          <w:rFonts w:cs="Times New Roman"/>
        </w:rPr>
      </w:pPr>
      <w:r w:rsidRPr="008614C4">
        <w:rPr>
          <w:rFonts w:cs="Times New Roman"/>
        </w:rPr>
        <w:t>Materials and Methods</w:t>
      </w:r>
    </w:p>
    <w:p w14:paraId="55F9E53A" w14:textId="77777777" w:rsidR="008679F9" w:rsidRPr="00E75106" w:rsidRDefault="008679F9" w:rsidP="00B16199">
      <w:pPr>
        <w:pStyle w:val="Heading2"/>
        <w:jc w:val="both"/>
        <w:rPr>
          <w:rFonts w:cs="Times New Roman"/>
          <w:i/>
        </w:rPr>
      </w:pPr>
      <w:r w:rsidRPr="00E75106">
        <w:rPr>
          <w:rFonts w:cs="Times New Roman"/>
          <w:i/>
        </w:rPr>
        <w:t>Design</w:t>
      </w:r>
    </w:p>
    <w:p w14:paraId="6EDBCB91" w14:textId="41C237C1" w:rsidR="005A2D6A" w:rsidRDefault="0065758F" w:rsidP="00B16199">
      <w:pPr>
        <w:ind w:firstLine="720"/>
      </w:pPr>
      <w:r>
        <w:rPr>
          <w:rFonts w:cs="Times New Roman"/>
        </w:rPr>
        <w:t>Data from two independent international studies were used in the analysis: t</w:t>
      </w:r>
      <w:r w:rsidR="008679F9" w:rsidRPr="008614C4">
        <w:rPr>
          <w:rFonts w:cs="Times New Roman"/>
        </w:rPr>
        <w:t>he validation study of the Non-Motor Symptoms Scale (NMSS) (</w:t>
      </w:r>
      <m:oMath>
        <m:r>
          <w:rPr>
            <w:rFonts w:ascii="Cambria Math" w:hAnsi="Cambria Math" w:cs="Times New Roman"/>
          </w:rPr>
          <m:t>n=411</m:t>
        </m:r>
      </m:oMath>
      <w:r w:rsidR="008679F9" w:rsidRPr="008614C4">
        <w:rPr>
          <w:rFonts w:cs="Times New Roman"/>
        </w:rPr>
        <w:t xml:space="preserve">) (Martinez-Martin </w:t>
      </w:r>
      <w:r w:rsidR="008679F9" w:rsidRPr="007E303F">
        <w:rPr>
          <w:rFonts w:cs="Times New Roman"/>
          <w:i/>
        </w:rPr>
        <w:t>et al</w:t>
      </w:r>
      <w:r w:rsidR="008679F9" w:rsidRPr="008614C4">
        <w:rPr>
          <w:rFonts w:cs="Times New Roman"/>
        </w:rPr>
        <w:t>., 2009a) and baseline data fr</w:t>
      </w:r>
      <w:r w:rsidR="00D971B4">
        <w:rPr>
          <w:rFonts w:cs="Times New Roman"/>
        </w:rPr>
        <w:t>om the</w:t>
      </w:r>
      <w:r w:rsidR="003D1AA7">
        <w:rPr>
          <w:rFonts w:cs="Times New Roman"/>
        </w:rPr>
        <w:t xml:space="preserve"> global</w:t>
      </w:r>
      <w:r w:rsidR="00982008">
        <w:rPr>
          <w:rFonts w:cs="Times New Roman"/>
        </w:rPr>
        <w:t xml:space="preserve"> </w:t>
      </w:r>
      <w:r w:rsidR="003D1AA7">
        <w:rPr>
          <w:rFonts w:cs="Times New Roman"/>
        </w:rPr>
        <w:t>N</w:t>
      </w:r>
      <w:r w:rsidR="00D971B4">
        <w:rPr>
          <w:rFonts w:cs="Times New Roman"/>
        </w:rPr>
        <w:t>on</w:t>
      </w:r>
      <w:r w:rsidR="003F6EF2">
        <w:rPr>
          <w:rFonts w:cs="Times New Roman"/>
        </w:rPr>
        <w:t>-</w:t>
      </w:r>
      <w:r w:rsidR="001966C5">
        <w:rPr>
          <w:rFonts w:cs="Times New Roman"/>
        </w:rPr>
        <w:t>Motor</w:t>
      </w:r>
      <w:r w:rsidR="008679F9" w:rsidRPr="008614C4">
        <w:rPr>
          <w:rFonts w:cs="Times New Roman"/>
        </w:rPr>
        <w:t xml:space="preserve"> International Longitudinal Study (NILS) (</w:t>
      </w:r>
      <m:oMath>
        <m:r>
          <w:rPr>
            <w:rFonts w:ascii="Cambria Math" w:hAnsi="Cambria Math" w:cs="Times New Roman"/>
          </w:rPr>
          <m:t>n=540</m:t>
        </m:r>
      </m:oMath>
      <w:r w:rsidR="008679F9" w:rsidRPr="008614C4">
        <w:rPr>
          <w:rFonts w:cs="Times New Roman"/>
        </w:rPr>
        <w:t xml:space="preserve">) (Ray </w:t>
      </w:r>
      <w:r w:rsidR="008679F9" w:rsidRPr="008614C4">
        <w:rPr>
          <w:rFonts w:cs="Times New Roman"/>
        </w:rPr>
        <w:lastRenderedPageBreak/>
        <w:t xml:space="preserve">Chaudhuri </w:t>
      </w:r>
      <w:r w:rsidR="008679F9" w:rsidRPr="007E303F">
        <w:rPr>
          <w:rFonts w:cs="Times New Roman"/>
          <w:i/>
        </w:rPr>
        <w:t>et al</w:t>
      </w:r>
      <w:r w:rsidR="008679F9" w:rsidRPr="008614C4">
        <w:rPr>
          <w:rFonts w:cs="Times New Roman"/>
        </w:rPr>
        <w:t>., 2013).</w:t>
      </w:r>
      <w:r w:rsidR="00982008">
        <w:rPr>
          <w:rFonts w:cs="Times New Roman"/>
        </w:rPr>
        <w:t xml:space="preserve"> </w:t>
      </w:r>
      <w:r w:rsidR="003D1AA7">
        <w:rPr>
          <w:rFonts w:cs="Times New Roman"/>
        </w:rPr>
        <w:t xml:space="preserve">NILS is a global initiative of the MDS </w:t>
      </w:r>
      <w:r w:rsidR="005E661E">
        <w:rPr>
          <w:rFonts w:cs="Times New Roman"/>
        </w:rPr>
        <w:t>Non-motor</w:t>
      </w:r>
      <w:r w:rsidR="00FC6DF9">
        <w:rPr>
          <w:rFonts w:cs="Times New Roman"/>
        </w:rPr>
        <w:t xml:space="preserve"> </w:t>
      </w:r>
      <w:r w:rsidR="003F64E2">
        <w:rPr>
          <w:rFonts w:cs="Times New Roman"/>
        </w:rPr>
        <w:t>Study Group, has been</w:t>
      </w:r>
      <w:r w:rsidR="003D1AA7">
        <w:rPr>
          <w:rFonts w:cs="Times New Roman"/>
        </w:rPr>
        <w:t xml:space="preserve"> adopted as a national study by the National Institute of Health Research in the UK (UKCRN No: </w:t>
      </w:r>
      <w:r w:rsidR="003D1AA7">
        <w:t>10084)</w:t>
      </w:r>
      <w:r w:rsidR="00CD228C">
        <w:t>,</w:t>
      </w:r>
      <w:r w:rsidR="003D1AA7">
        <w:t xml:space="preserve"> and is a 5</w:t>
      </w:r>
      <w:r w:rsidR="00982008">
        <w:t>-</w:t>
      </w:r>
      <w:r w:rsidR="003D1AA7">
        <w:t>year follo</w:t>
      </w:r>
      <w:r w:rsidR="00287B65">
        <w:t xml:space="preserve">w up study addressing the range, nature, and </w:t>
      </w:r>
      <w:r w:rsidR="003D1AA7">
        <w:t>natural hist</w:t>
      </w:r>
      <w:r w:rsidR="007A3FFF">
        <w:t>o</w:t>
      </w:r>
      <w:r w:rsidR="003D1AA7">
        <w:t xml:space="preserve">ry of NMS in </w:t>
      </w:r>
      <w:r w:rsidR="00137374">
        <w:t>Parkinson’s disease</w:t>
      </w:r>
      <w:r w:rsidR="003D1AA7">
        <w:t xml:space="preserve"> across all motor stages. All data in NILS are anony</w:t>
      </w:r>
      <w:r w:rsidR="0032536B">
        <w:t>m</w:t>
      </w:r>
      <w:r w:rsidR="003D1AA7">
        <w:t>ised and centre</w:t>
      </w:r>
      <w:r w:rsidR="0032536B">
        <w:t>-</w:t>
      </w:r>
      <w:r w:rsidR="003D1AA7">
        <w:t>based datasets</w:t>
      </w:r>
      <w:r w:rsidR="001C5675">
        <w:t xml:space="preserve"> are</w:t>
      </w:r>
      <w:r w:rsidR="003D1AA7">
        <w:t xml:space="preserve"> entered in</w:t>
      </w:r>
      <w:r w:rsidR="00097CDE">
        <w:t>to</w:t>
      </w:r>
      <w:r w:rsidR="003D1AA7">
        <w:t xml:space="preserve"> a secure international database for central analysis at the</w:t>
      </w:r>
      <w:r w:rsidR="005A2D6A" w:rsidRPr="005A2D6A">
        <w:t xml:space="preserve"> National Center of Epidemiology</w:t>
      </w:r>
      <w:r w:rsidR="007A3FFF">
        <w:t>, Carlos III Institute of Health (Madrid, Spain).</w:t>
      </w:r>
    </w:p>
    <w:p w14:paraId="011D704B" w14:textId="77777777" w:rsidR="008679F9" w:rsidRPr="00E75106" w:rsidRDefault="008679F9" w:rsidP="00B16199">
      <w:pPr>
        <w:pStyle w:val="Heading2"/>
        <w:jc w:val="both"/>
        <w:rPr>
          <w:rFonts w:cs="Times New Roman"/>
          <w:i/>
        </w:rPr>
      </w:pPr>
      <w:r w:rsidRPr="00E75106">
        <w:rPr>
          <w:rFonts w:cs="Times New Roman"/>
          <w:i/>
        </w:rPr>
        <w:t>Patients</w:t>
      </w:r>
    </w:p>
    <w:p w14:paraId="61698F09" w14:textId="1E79A12F" w:rsidR="008679F9" w:rsidRPr="008614C4" w:rsidRDefault="00137374" w:rsidP="00B16199">
      <w:pPr>
        <w:ind w:firstLine="720"/>
        <w:rPr>
          <w:rFonts w:cs="Times New Roman"/>
        </w:rPr>
      </w:pPr>
      <w:r>
        <w:rPr>
          <w:rFonts w:cs="Times New Roman"/>
        </w:rPr>
        <w:t>Parkinson’s disease</w:t>
      </w:r>
      <w:r w:rsidR="008679F9" w:rsidRPr="008614C4">
        <w:rPr>
          <w:rFonts w:cs="Times New Roman"/>
        </w:rPr>
        <w:t xml:space="preserve"> patients</w:t>
      </w:r>
      <w:r w:rsidR="005B559D">
        <w:rPr>
          <w:rFonts w:cs="Times New Roman"/>
        </w:rPr>
        <w:t xml:space="preserve"> diagnosed </w:t>
      </w:r>
      <w:r w:rsidR="005B559D" w:rsidRPr="008614C4">
        <w:rPr>
          <w:rFonts w:cs="Times New Roman"/>
        </w:rPr>
        <w:t xml:space="preserve">according to internationally recognized criteria (Gibb and Lees, 1988; Lees </w:t>
      </w:r>
      <w:r w:rsidR="005B559D" w:rsidRPr="007E303F">
        <w:rPr>
          <w:rFonts w:cs="Times New Roman"/>
          <w:i/>
        </w:rPr>
        <w:t>et al</w:t>
      </w:r>
      <w:r w:rsidR="005B559D" w:rsidRPr="008614C4">
        <w:rPr>
          <w:rFonts w:cs="Times New Roman"/>
        </w:rPr>
        <w:t>., 2009)</w:t>
      </w:r>
      <w:r w:rsidR="008679F9" w:rsidRPr="008614C4">
        <w:rPr>
          <w:rFonts w:cs="Times New Roman"/>
        </w:rPr>
        <w:t xml:space="preserve">, </w:t>
      </w:r>
      <w:r w:rsidR="005B559D">
        <w:rPr>
          <w:rFonts w:cs="Times New Roman"/>
        </w:rPr>
        <w:t xml:space="preserve">across all </w:t>
      </w:r>
      <w:r w:rsidR="008679F9" w:rsidRPr="008614C4">
        <w:rPr>
          <w:rFonts w:cs="Times New Roman"/>
        </w:rPr>
        <w:t>disease stage</w:t>
      </w:r>
      <w:r w:rsidR="005B559D">
        <w:rPr>
          <w:rFonts w:cs="Times New Roman"/>
        </w:rPr>
        <w:t>s</w:t>
      </w:r>
      <w:r w:rsidR="009A717B">
        <w:rPr>
          <w:rFonts w:cs="Times New Roman"/>
        </w:rPr>
        <w:t xml:space="preserve"> were included</w:t>
      </w:r>
      <w:r w:rsidR="00D20F60">
        <w:rPr>
          <w:rFonts w:cs="Times New Roman"/>
        </w:rPr>
        <w:t>.</w:t>
      </w:r>
      <w:r w:rsidR="008679F9" w:rsidRPr="008614C4">
        <w:rPr>
          <w:rFonts w:cs="Times New Roman"/>
        </w:rPr>
        <w:t xml:space="preserve"> For the NMSS study, patients had to be older than 30 years, but for inclusion of NILS patients there was no age limit. Exclusion criteria were: inability to read, understand, or answer written questionnaires; comorbidity, sequelae, or any disorder interfering</w:t>
      </w:r>
      <w:r w:rsidR="00B6445B">
        <w:rPr>
          <w:rFonts w:cs="Times New Roman"/>
        </w:rPr>
        <w:t xml:space="preserve"> with the</w:t>
      </w:r>
      <w:r w:rsidR="008679F9" w:rsidRPr="008614C4">
        <w:rPr>
          <w:rFonts w:cs="Times New Roman"/>
        </w:rPr>
        <w:t xml:space="preserve"> assessment of </w:t>
      </w:r>
      <w:r>
        <w:rPr>
          <w:rFonts w:cs="Times New Roman"/>
        </w:rPr>
        <w:t>Parkinson’s disease</w:t>
      </w:r>
      <w:r w:rsidR="008679F9" w:rsidRPr="008614C4">
        <w:rPr>
          <w:rFonts w:cs="Times New Roman"/>
        </w:rPr>
        <w:t xml:space="preserve"> manifestations; and inability </w:t>
      </w:r>
      <w:r w:rsidR="00097CDE">
        <w:rPr>
          <w:rFonts w:cs="Times New Roman"/>
        </w:rPr>
        <w:t>to give</w:t>
      </w:r>
      <w:r w:rsidR="008679F9" w:rsidRPr="008614C4">
        <w:rPr>
          <w:rFonts w:cs="Times New Roman"/>
        </w:rPr>
        <w:t xml:space="preserve"> informed consent.</w:t>
      </w:r>
      <w:r w:rsidR="00BC617B">
        <w:rPr>
          <w:rFonts w:cs="Times New Roman"/>
        </w:rPr>
        <w:t xml:space="preserve"> </w:t>
      </w:r>
      <w:r w:rsidR="00CC7CB7">
        <w:rPr>
          <w:rFonts w:cs="Times New Roman"/>
        </w:rPr>
        <w:t xml:space="preserve">Patients with </w:t>
      </w:r>
      <w:r w:rsidR="00097CDE">
        <w:rPr>
          <w:rFonts w:cs="Times New Roman"/>
        </w:rPr>
        <w:t xml:space="preserve">diagnoses </w:t>
      </w:r>
      <w:r w:rsidR="00CC7CB7">
        <w:rPr>
          <w:rFonts w:cs="Times New Roman"/>
        </w:rPr>
        <w:t>other than Parkinson’s disease</w:t>
      </w:r>
      <w:r w:rsidR="007B4C53">
        <w:rPr>
          <w:rFonts w:cs="Times New Roman"/>
        </w:rPr>
        <w:t xml:space="preserve"> </w:t>
      </w:r>
      <w:r w:rsidR="00CC7CB7">
        <w:rPr>
          <w:rFonts w:cs="Times New Roman"/>
        </w:rPr>
        <w:t xml:space="preserve">were excluded. </w:t>
      </w:r>
      <w:r w:rsidR="00171A2C">
        <w:rPr>
          <w:rFonts w:cs="Times New Roman"/>
        </w:rPr>
        <w:t>Patient</w:t>
      </w:r>
      <w:r w:rsidR="008679F9" w:rsidRPr="008614C4">
        <w:rPr>
          <w:rFonts w:cs="Times New Roman"/>
        </w:rPr>
        <w:t xml:space="preserve"> recruitment was carried out across 15 countries in America, Asia, and Europe from 2007 to 2011.</w:t>
      </w:r>
    </w:p>
    <w:p w14:paraId="29A14967" w14:textId="77777777" w:rsidR="008679F9" w:rsidRPr="00E75106" w:rsidRDefault="008679F9" w:rsidP="00B16199">
      <w:pPr>
        <w:pStyle w:val="Heading2"/>
        <w:jc w:val="both"/>
        <w:rPr>
          <w:rFonts w:cs="Times New Roman"/>
          <w:i/>
        </w:rPr>
      </w:pPr>
      <w:r w:rsidRPr="00E75106">
        <w:rPr>
          <w:rFonts w:cs="Times New Roman"/>
          <w:i/>
        </w:rPr>
        <w:t>Assessments</w:t>
      </w:r>
    </w:p>
    <w:p w14:paraId="2B89C066" w14:textId="77777777" w:rsidR="008679F9" w:rsidRPr="008614C4" w:rsidRDefault="0041534E" w:rsidP="00B16199">
      <w:pPr>
        <w:ind w:firstLine="720"/>
        <w:rPr>
          <w:rFonts w:cs="Times New Roman"/>
        </w:rPr>
      </w:pPr>
      <w:r>
        <w:rPr>
          <w:rFonts w:cs="Times New Roman"/>
        </w:rPr>
        <w:t>For all patients, s</w:t>
      </w:r>
      <w:r w:rsidR="008679F9" w:rsidRPr="008614C4">
        <w:rPr>
          <w:rFonts w:cs="Times New Roman"/>
        </w:rPr>
        <w:t>ocio-demographic and historical data were recorded and the following assessments were applied:</w:t>
      </w:r>
    </w:p>
    <w:p w14:paraId="5EA6C392" w14:textId="35BB4ECD" w:rsidR="008614C4" w:rsidRPr="008614C4" w:rsidRDefault="008679F9" w:rsidP="00B16199">
      <w:pPr>
        <w:pStyle w:val="ListParagraph"/>
        <w:numPr>
          <w:ilvl w:val="0"/>
          <w:numId w:val="8"/>
        </w:numPr>
        <w:rPr>
          <w:rFonts w:cs="Times New Roman"/>
        </w:rPr>
      </w:pPr>
      <w:r w:rsidRPr="008614C4">
        <w:rPr>
          <w:rFonts w:cs="Times New Roman"/>
        </w:rPr>
        <w:t xml:space="preserve">The Scales for Outcomes in Parkinson’s Disease-Motor (SCOPA-Motor). A </w:t>
      </w:r>
      <w:r w:rsidR="00137374">
        <w:rPr>
          <w:rFonts w:cs="Times New Roman"/>
        </w:rPr>
        <w:t>Parkinson’s disease</w:t>
      </w:r>
      <w:r w:rsidRPr="008614C4">
        <w:rPr>
          <w:rFonts w:cs="Times New Roman"/>
        </w:rPr>
        <w:t>-specific rating scale with three dimensions: A. Examination (10 items); B. A</w:t>
      </w:r>
      <w:r w:rsidR="006266BE">
        <w:rPr>
          <w:rFonts w:cs="Times New Roman"/>
        </w:rPr>
        <w:t>ctivities of daily living (</w:t>
      </w:r>
      <w:r w:rsidRPr="008614C4">
        <w:rPr>
          <w:rFonts w:cs="Times New Roman"/>
        </w:rPr>
        <w:t>7 items); and C. Complications (4 items). Each item scores from 0 (normal) to 3 (severe), the total score running from</w:t>
      </w:r>
      <w:r w:rsidR="00F96651">
        <w:rPr>
          <w:rFonts w:cs="Times New Roman"/>
        </w:rPr>
        <w:t xml:space="preserve"> 0 to 75</w:t>
      </w:r>
      <w:r w:rsidR="00526984">
        <w:rPr>
          <w:rFonts w:cs="Times New Roman"/>
        </w:rPr>
        <w:t>. This scale was derived from the U</w:t>
      </w:r>
      <w:r w:rsidR="00155944">
        <w:rPr>
          <w:rFonts w:cs="Times New Roman"/>
        </w:rPr>
        <w:t xml:space="preserve">nified </w:t>
      </w:r>
      <w:r w:rsidR="00526984">
        <w:rPr>
          <w:rFonts w:cs="Times New Roman"/>
        </w:rPr>
        <w:t>P</w:t>
      </w:r>
      <w:r w:rsidR="00155944">
        <w:rPr>
          <w:rFonts w:cs="Times New Roman"/>
        </w:rPr>
        <w:t xml:space="preserve">arkinson’s </w:t>
      </w:r>
      <w:r w:rsidR="00526984">
        <w:rPr>
          <w:rFonts w:cs="Times New Roman"/>
        </w:rPr>
        <w:t>D</w:t>
      </w:r>
      <w:r w:rsidR="00155944">
        <w:rPr>
          <w:rFonts w:cs="Times New Roman"/>
        </w:rPr>
        <w:t xml:space="preserve">isease </w:t>
      </w:r>
      <w:r w:rsidR="00526984">
        <w:rPr>
          <w:rFonts w:cs="Times New Roman"/>
        </w:rPr>
        <w:t>R</w:t>
      </w:r>
      <w:r w:rsidR="00155944">
        <w:rPr>
          <w:rFonts w:cs="Times New Roman"/>
        </w:rPr>
        <w:t xml:space="preserve">ating </w:t>
      </w:r>
      <w:r w:rsidR="00526984">
        <w:rPr>
          <w:rFonts w:cs="Times New Roman"/>
        </w:rPr>
        <w:t>S</w:t>
      </w:r>
      <w:r w:rsidR="00155944">
        <w:rPr>
          <w:rFonts w:cs="Times New Roman"/>
        </w:rPr>
        <w:t>cale</w:t>
      </w:r>
      <w:r w:rsidR="008C5C03">
        <w:rPr>
          <w:rFonts w:cs="Times New Roman"/>
        </w:rPr>
        <w:t xml:space="preserve"> and </w:t>
      </w:r>
      <w:r w:rsidR="00526984">
        <w:rPr>
          <w:rFonts w:cs="Times New Roman"/>
        </w:rPr>
        <w:t>show</w:t>
      </w:r>
      <w:r w:rsidR="008C5C03">
        <w:rPr>
          <w:rFonts w:cs="Times New Roman"/>
        </w:rPr>
        <w:t>ed</w:t>
      </w:r>
      <w:r w:rsidR="00BC617B">
        <w:rPr>
          <w:rFonts w:cs="Times New Roman"/>
        </w:rPr>
        <w:t xml:space="preserve"> </w:t>
      </w:r>
      <w:r w:rsidR="0003413A">
        <w:rPr>
          <w:rFonts w:cs="Times New Roman"/>
        </w:rPr>
        <w:t>high</w:t>
      </w:r>
      <w:r w:rsidR="00526984">
        <w:rPr>
          <w:rFonts w:cs="Times New Roman"/>
        </w:rPr>
        <w:t xml:space="preserve"> correlation coefficients with the original scale (</w:t>
      </w:r>
      <m:oMath>
        <m:r>
          <w:rPr>
            <w:rFonts w:ascii="Cambria Math" w:hAnsi="Cambria Math" w:cs="Times New Roman"/>
          </w:rPr>
          <m:t>r</m:t>
        </m:r>
        <m:r>
          <w:rPr>
            <w:rFonts w:ascii="Cambria Math" w:hAnsi="Cambria Math" w:cs="Times New Roman" w:hint="eastAsia"/>
          </w:rPr>
          <m:t>≥</m:t>
        </m:r>
        <m:r>
          <w:rPr>
            <w:rFonts w:ascii="Cambria Math" w:hAnsi="Cambria Math" w:cs="Times New Roman"/>
          </w:rPr>
          <m:t>0.85</m:t>
        </m:r>
      </m:oMath>
      <w:r w:rsidR="00526984">
        <w:rPr>
          <w:rFonts w:cs="Times New Roman"/>
        </w:rPr>
        <w:t xml:space="preserve">) and satisfactory clinimetric attributes in validation studies </w:t>
      </w:r>
      <w:r w:rsidR="00F96651">
        <w:rPr>
          <w:rFonts w:cs="Times New Roman"/>
        </w:rPr>
        <w:t>(</w:t>
      </w:r>
      <w:r w:rsidR="00963FD7">
        <w:rPr>
          <w:rFonts w:cs="Times New Roman"/>
        </w:rPr>
        <w:t>Marinus</w:t>
      </w:r>
      <w:r w:rsidR="00BC617B">
        <w:rPr>
          <w:rFonts w:cs="Times New Roman"/>
        </w:rPr>
        <w:t xml:space="preserve"> </w:t>
      </w:r>
      <w:r w:rsidR="00963FD7" w:rsidRPr="007E303F">
        <w:rPr>
          <w:rFonts w:cs="Times New Roman"/>
          <w:i/>
        </w:rPr>
        <w:t>et</w:t>
      </w:r>
      <w:r w:rsidR="00F96651" w:rsidRPr="007E303F">
        <w:rPr>
          <w:rFonts w:cs="Times New Roman"/>
          <w:i/>
        </w:rPr>
        <w:t xml:space="preserve"> al</w:t>
      </w:r>
      <w:r w:rsidR="00F96651">
        <w:rPr>
          <w:rFonts w:cs="Times New Roman"/>
        </w:rPr>
        <w:t>., 2004;</w:t>
      </w:r>
      <w:r w:rsidRPr="008614C4">
        <w:rPr>
          <w:rFonts w:cs="Times New Roman"/>
        </w:rPr>
        <w:t xml:space="preserve"> Martinez-Martin </w:t>
      </w:r>
      <w:r w:rsidRPr="007E303F">
        <w:rPr>
          <w:rFonts w:cs="Times New Roman"/>
          <w:i/>
        </w:rPr>
        <w:t>et al</w:t>
      </w:r>
      <w:r w:rsidRPr="008614C4">
        <w:rPr>
          <w:rFonts w:cs="Times New Roman"/>
        </w:rPr>
        <w:t>., 2005).</w:t>
      </w:r>
    </w:p>
    <w:p w14:paraId="3EA9B2EC" w14:textId="129FAE25" w:rsidR="008614C4" w:rsidRPr="008614C4" w:rsidRDefault="008679F9" w:rsidP="00B16199">
      <w:pPr>
        <w:pStyle w:val="ListParagraph"/>
        <w:numPr>
          <w:ilvl w:val="0"/>
          <w:numId w:val="8"/>
        </w:numPr>
        <w:rPr>
          <w:rFonts w:cs="Times New Roman"/>
        </w:rPr>
      </w:pPr>
      <w:r w:rsidRPr="008614C4">
        <w:rPr>
          <w:rFonts w:cs="Times New Roman"/>
        </w:rPr>
        <w:t xml:space="preserve">The Non-Motor Symptoms Scale (NMSS), a 30-item scale with nine domains: cardiovascular (2 items), sleep/fatigue (4 items), mood/apathy (6 items), perceptual problems/hallucinations (3 items), attention/memory (3 items), gastrointestinal tract (3 items), urinary function (3 items), sexual function (2 items), and miscellaneous (4 items). Each item scores from 0 to 12 (severity, 0 to 3, multiplied by frequency, 1 to 4) and the </w:t>
      </w:r>
      <w:r w:rsidRPr="008614C4">
        <w:rPr>
          <w:rFonts w:cs="Times New Roman"/>
        </w:rPr>
        <w:lastRenderedPageBreak/>
        <w:t>total</w:t>
      </w:r>
      <w:r w:rsidR="0003413A">
        <w:rPr>
          <w:rFonts w:cs="Times New Roman"/>
        </w:rPr>
        <w:t xml:space="preserve"> NMSS</w:t>
      </w:r>
      <w:r w:rsidRPr="008614C4">
        <w:rPr>
          <w:rFonts w:cs="Times New Roman"/>
        </w:rPr>
        <w:t xml:space="preserve"> score </w:t>
      </w:r>
      <w:r w:rsidR="0003413A">
        <w:rPr>
          <w:rFonts w:cs="Times New Roman"/>
        </w:rPr>
        <w:t>varies</w:t>
      </w:r>
      <w:r w:rsidRPr="008614C4">
        <w:rPr>
          <w:rFonts w:cs="Times New Roman"/>
        </w:rPr>
        <w:t xml:space="preserve"> from 0 t</w:t>
      </w:r>
      <w:r w:rsidR="00F96651">
        <w:rPr>
          <w:rFonts w:cs="Times New Roman"/>
        </w:rPr>
        <w:t xml:space="preserve">o 360 (Chaudhuri </w:t>
      </w:r>
      <w:r w:rsidR="00F96651" w:rsidRPr="007E303F">
        <w:rPr>
          <w:rFonts w:cs="Times New Roman"/>
          <w:i/>
        </w:rPr>
        <w:t>et al</w:t>
      </w:r>
      <w:r w:rsidR="00F96651">
        <w:rPr>
          <w:rFonts w:cs="Times New Roman"/>
        </w:rPr>
        <w:t>., 2007;</w:t>
      </w:r>
      <w:r w:rsidRPr="008614C4">
        <w:rPr>
          <w:rFonts w:cs="Times New Roman"/>
        </w:rPr>
        <w:t xml:space="preserve"> Martinez-Martin </w:t>
      </w:r>
      <w:r w:rsidRPr="007E303F">
        <w:rPr>
          <w:rFonts w:cs="Times New Roman"/>
          <w:i/>
        </w:rPr>
        <w:t>et al</w:t>
      </w:r>
      <w:r w:rsidRPr="008614C4">
        <w:rPr>
          <w:rFonts w:cs="Times New Roman"/>
        </w:rPr>
        <w:t xml:space="preserve">., 2009a), a </w:t>
      </w:r>
      <w:r w:rsidR="00B5599C">
        <w:rPr>
          <w:rFonts w:cs="Times New Roman"/>
        </w:rPr>
        <w:t>value</w:t>
      </w:r>
      <w:r w:rsidRPr="008614C4">
        <w:rPr>
          <w:rFonts w:cs="Times New Roman"/>
        </w:rPr>
        <w:t xml:space="preserve"> representing the </w:t>
      </w:r>
      <w:r w:rsidR="00AB6596">
        <w:rPr>
          <w:rFonts w:cs="Times New Roman"/>
        </w:rPr>
        <w:t xml:space="preserve">total </w:t>
      </w:r>
      <w:r w:rsidRPr="008614C4">
        <w:rPr>
          <w:rFonts w:cs="Times New Roman"/>
        </w:rPr>
        <w:t>non-m</w:t>
      </w:r>
      <w:r w:rsidR="00137374">
        <w:rPr>
          <w:rFonts w:cs="Times New Roman"/>
        </w:rPr>
        <w:t>otor “symptomatic burden”</w:t>
      </w:r>
      <w:r w:rsidRPr="008614C4">
        <w:rPr>
          <w:rFonts w:cs="Times New Roman"/>
        </w:rPr>
        <w:t>.</w:t>
      </w:r>
    </w:p>
    <w:p w14:paraId="0F41DD61" w14:textId="77777777" w:rsidR="008614C4" w:rsidRPr="008614C4" w:rsidRDefault="008679F9" w:rsidP="00B16199">
      <w:pPr>
        <w:pStyle w:val="ListParagraph"/>
        <w:numPr>
          <w:ilvl w:val="0"/>
          <w:numId w:val="8"/>
        </w:numPr>
        <w:rPr>
          <w:rFonts w:cs="Times New Roman"/>
        </w:rPr>
      </w:pPr>
      <w:r w:rsidRPr="008614C4">
        <w:rPr>
          <w:rFonts w:cs="Times New Roman"/>
        </w:rPr>
        <w:t>The original Hoehn and Yahr (HY)</w:t>
      </w:r>
      <w:r w:rsidR="00041870">
        <w:rPr>
          <w:rFonts w:cs="Times New Roman"/>
        </w:rPr>
        <w:t xml:space="preserve"> scale </w:t>
      </w:r>
      <w:r w:rsidRPr="008614C4">
        <w:rPr>
          <w:rFonts w:cs="Times New Roman"/>
        </w:rPr>
        <w:t>(Hoehn and Yahr, 1967).</w:t>
      </w:r>
    </w:p>
    <w:p w14:paraId="6CD69D50" w14:textId="436DEF16" w:rsidR="005B559D" w:rsidRPr="00A60384" w:rsidRDefault="008679F9" w:rsidP="00B16199">
      <w:pPr>
        <w:pStyle w:val="ListParagraph"/>
        <w:numPr>
          <w:ilvl w:val="0"/>
          <w:numId w:val="8"/>
        </w:numPr>
        <w:rPr>
          <w:rFonts w:cs="Times New Roman"/>
        </w:rPr>
      </w:pPr>
      <w:r w:rsidRPr="008614C4">
        <w:rPr>
          <w:rFonts w:cs="Times New Roman"/>
        </w:rPr>
        <w:t xml:space="preserve">The Clinical Impression of Severity Index for </w:t>
      </w:r>
      <w:r w:rsidR="00137374">
        <w:rPr>
          <w:rFonts w:cs="Times New Roman"/>
        </w:rPr>
        <w:t>Parkinson’s disease</w:t>
      </w:r>
      <w:r w:rsidRPr="008614C4">
        <w:rPr>
          <w:rFonts w:cs="Times New Roman"/>
        </w:rPr>
        <w:t xml:space="preserve"> (CISI-PD), a global evaluation of motor si</w:t>
      </w:r>
      <w:r w:rsidR="004911A8">
        <w:rPr>
          <w:rFonts w:cs="Times New Roman"/>
        </w:rPr>
        <w:t xml:space="preserve">gns, disability, motor complications, </w:t>
      </w:r>
      <w:r w:rsidRPr="008614C4">
        <w:rPr>
          <w:rFonts w:cs="Times New Roman"/>
        </w:rPr>
        <w:t xml:space="preserve">and cognitive status. Items are rated from 0, normal, to 6, very severe, the total score </w:t>
      </w:r>
      <w:r w:rsidR="00097CDE">
        <w:rPr>
          <w:rFonts w:cs="Times New Roman"/>
        </w:rPr>
        <w:t>ranging</w:t>
      </w:r>
      <w:r w:rsidR="00BC617B">
        <w:rPr>
          <w:rFonts w:cs="Times New Roman"/>
        </w:rPr>
        <w:t xml:space="preserve"> </w:t>
      </w:r>
      <w:r w:rsidRPr="008614C4">
        <w:rPr>
          <w:rFonts w:cs="Times New Roman"/>
        </w:rPr>
        <w:t xml:space="preserve">from 0 to 24 (Martinez-Martin </w:t>
      </w:r>
      <w:r w:rsidRPr="007E303F">
        <w:rPr>
          <w:rFonts w:cs="Times New Roman"/>
          <w:i/>
        </w:rPr>
        <w:t>et al</w:t>
      </w:r>
      <w:r w:rsidRPr="008614C4">
        <w:rPr>
          <w:rFonts w:cs="Times New Roman"/>
        </w:rPr>
        <w:t xml:space="preserve">., 2006; Martinez-Martin </w:t>
      </w:r>
      <w:r w:rsidRPr="007E303F">
        <w:rPr>
          <w:rFonts w:cs="Times New Roman"/>
          <w:i/>
        </w:rPr>
        <w:t>et al</w:t>
      </w:r>
      <w:r w:rsidRPr="008614C4">
        <w:rPr>
          <w:rFonts w:cs="Times New Roman"/>
        </w:rPr>
        <w:t>., 2009b).</w:t>
      </w:r>
    </w:p>
    <w:p w14:paraId="005E066B" w14:textId="77777777" w:rsidR="008679F9" w:rsidRPr="00E75106" w:rsidRDefault="008679F9" w:rsidP="00B16199">
      <w:pPr>
        <w:pStyle w:val="Heading2"/>
        <w:jc w:val="both"/>
        <w:rPr>
          <w:rFonts w:cs="Times New Roman"/>
          <w:i/>
        </w:rPr>
      </w:pPr>
      <w:r w:rsidRPr="00E75106">
        <w:rPr>
          <w:rFonts w:cs="Times New Roman"/>
          <w:i/>
        </w:rPr>
        <w:t>Ethical aspects</w:t>
      </w:r>
    </w:p>
    <w:p w14:paraId="3228F031" w14:textId="5AFFA2BF" w:rsidR="008679F9" w:rsidRPr="008614C4" w:rsidRDefault="008679F9" w:rsidP="00B16199">
      <w:pPr>
        <w:ind w:firstLine="720"/>
        <w:rPr>
          <w:rFonts w:cs="Times New Roman"/>
        </w:rPr>
      </w:pPr>
      <w:r w:rsidRPr="008614C4">
        <w:rPr>
          <w:rFonts w:cs="Times New Roman"/>
        </w:rPr>
        <w:t xml:space="preserve">The NMSS validation study received ethical approval from </w:t>
      </w:r>
      <w:r w:rsidR="000F3AFD">
        <w:rPr>
          <w:rFonts w:cs="Times New Roman"/>
        </w:rPr>
        <w:t xml:space="preserve">the </w:t>
      </w:r>
      <w:r w:rsidRPr="008614C4">
        <w:rPr>
          <w:rFonts w:cs="Times New Roman"/>
        </w:rPr>
        <w:t xml:space="preserve">Carlos III Institute of Health, Madrid, Spain and local research ethics committees (Martinez-Martin </w:t>
      </w:r>
      <w:r w:rsidRPr="007E303F">
        <w:rPr>
          <w:rFonts w:cs="Times New Roman"/>
          <w:i/>
        </w:rPr>
        <w:t>et al</w:t>
      </w:r>
      <w:r w:rsidRPr="008614C4">
        <w:rPr>
          <w:rFonts w:cs="Times New Roman"/>
        </w:rPr>
        <w:t>., 2009a). The NILS is included in</w:t>
      </w:r>
      <w:r w:rsidR="00097CDE">
        <w:rPr>
          <w:rFonts w:cs="Times New Roman"/>
        </w:rPr>
        <w:t xml:space="preserve"> the</w:t>
      </w:r>
      <w:r w:rsidRPr="008614C4">
        <w:rPr>
          <w:rFonts w:cs="Times New Roman"/>
        </w:rPr>
        <w:t xml:space="preserve"> UK Department of Health portfolio of approved</w:t>
      </w:r>
      <w:r w:rsidR="008614C4" w:rsidRPr="008614C4">
        <w:rPr>
          <w:rFonts w:cs="Times New Roman"/>
        </w:rPr>
        <w:t xml:space="preserve"> s</w:t>
      </w:r>
      <w:r w:rsidRPr="008614C4">
        <w:rPr>
          <w:rFonts w:cs="Times New Roman"/>
        </w:rPr>
        <w:t xml:space="preserve">tudies (UK CRN portfolio Nr. 10084) and has been approved </w:t>
      </w:r>
      <w:r w:rsidR="00097CDE">
        <w:rPr>
          <w:rFonts w:cs="Times New Roman"/>
        </w:rPr>
        <w:t>at</w:t>
      </w:r>
      <w:r w:rsidR="00BC617B">
        <w:rPr>
          <w:rFonts w:cs="Times New Roman"/>
        </w:rPr>
        <w:t xml:space="preserve"> </w:t>
      </w:r>
      <w:r w:rsidRPr="008614C4">
        <w:rPr>
          <w:rFonts w:cs="Times New Roman"/>
        </w:rPr>
        <w:t xml:space="preserve">all relevant institutions and </w:t>
      </w:r>
      <w:r w:rsidR="00097CDE">
        <w:rPr>
          <w:rFonts w:cs="Times New Roman"/>
        </w:rPr>
        <w:t xml:space="preserve">the </w:t>
      </w:r>
      <w:r w:rsidRPr="008614C4">
        <w:rPr>
          <w:rFonts w:cs="Times New Roman"/>
        </w:rPr>
        <w:t xml:space="preserve">respective local </w:t>
      </w:r>
      <w:r w:rsidR="00792AFF">
        <w:rPr>
          <w:rFonts w:cs="Times New Roman"/>
        </w:rPr>
        <w:t>ethics committees and institutional review boards</w:t>
      </w:r>
      <w:r w:rsidRPr="008614C4">
        <w:rPr>
          <w:rFonts w:cs="Times New Roman"/>
        </w:rPr>
        <w:t xml:space="preserve"> o</w:t>
      </w:r>
      <w:r w:rsidR="00905741">
        <w:rPr>
          <w:rFonts w:cs="Times New Roman"/>
        </w:rPr>
        <w:t xml:space="preserve">f the </w:t>
      </w:r>
      <w:r w:rsidRPr="008614C4">
        <w:rPr>
          <w:rFonts w:cs="Times New Roman"/>
        </w:rPr>
        <w:t>participant researchers. Patients signed their informed consent before inclusion.</w:t>
      </w:r>
    </w:p>
    <w:p w14:paraId="67935FEA" w14:textId="77777777" w:rsidR="008679F9" w:rsidRPr="00E75106" w:rsidRDefault="0067253F" w:rsidP="00B16199">
      <w:pPr>
        <w:pStyle w:val="Heading2"/>
        <w:jc w:val="both"/>
        <w:rPr>
          <w:rFonts w:cs="Times New Roman"/>
          <w:i/>
        </w:rPr>
      </w:pPr>
      <w:r>
        <w:rPr>
          <w:rFonts w:cs="Times New Roman"/>
          <w:i/>
        </w:rPr>
        <w:t>Statistical</w:t>
      </w:r>
      <w:r w:rsidR="008679F9" w:rsidRPr="00E75106">
        <w:rPr>
          <w:rFonts w:cs="Times New Roman"/>
          <w:i/>
        </w:rPr>
        <w:t xml:space="preserve"> analysis</w:t>
      </w:r>
    </w:p>
    <w:p w14:paraId="1BD3939D" w14:textId="77777777" w:rsidR="00216A80" w:rsidRPr="00C10355" w:rsidRDefault="008679F9" w:rsidP="00B16199">
      <w:pPr>
        <w:ind w:firstLine="720"/>
        <w:rPr>
          <w:rFonts w:cs="Times New Roman"/>
        </w:rPr>
      </w:pPr>
      <w:r w:rsidRPr="008614C4">
        <w:rPr>
          <w:rFonts w:cs="Times New Roman"/>
        </w:rPr>
        <w:t xml:space="preserve">Descriptive statistics (central tendency and dispersion, percentages) were applied to </w:t>
      </w:r>
      <w:r w:rsidR="00097CDE">
        <w:rPr>
          <w:rFonts w:cs="Times New Roman"/>
        </w:rPr>
        <w:t>understand the</w:t>
      </w:r>
      <w:r w:rsidRPr="008614C4">
        <w:rPr>
          <w:rFonts w:cs="Times New Roman"/>
        </w:rPr>
        <w:t xml:space="preserve"> main characteristics of the </w:t>
      </w:r>
      <w:r w:rsidR="0042049C">
        <w:rPr>
          <w:rFonts w:cs="Times New Roman"/>
        </w:rPr>
        <w:t>data</w:t>
      </w:r>
      <w:r w:rsidR="00AD330C">
        <w:rPr>
          <w:rFonts w:cs="Times New Roman"/>
        </w:rPr>
        <w:t>. SCOPA-Motor e</w:t>
      </w:r>
      <w:r w:rsidRPr="008614C4">
        <w:rPr>
          <w:rFonts w:cs="Times New Roman"/>
        </w:rPr>
        <w:t xml:space="preserve">xamination items were grouped </w:t>
      </w:r>
      <w:r w:rsidR="00097CDE">
        <w:rPr>
          <w:rFonts w:cs="Times New Roman"/>
        </w:rPr>
        <w:t>to obtain</w:t>
      </w:r>
      <w:r w:rsidR="00535AC1">
        <w:rPr>
          <w:rFonts w:cs="Times New Roman"/>
        </w:rPr>
        <w:t xml:space="preserve"> </w:t>
      </w:r>
      <w:r w:rsidR="005D761D">
        <w:rPr>
          <w:rFonts w:cs="Times New Roman"/>
        </w:rPr>
        <w:t xml:space="preserve">four </w:t>
      </w:r>
      <w:r w:rsidR="00067FC1">
        <w:rPr>
          <w:rFonts w:cs="Times New Roman"/>
        </w:rPr>
        <w:t>aggregate “cardinal motor signs”:</w:t>
      </w:r>
      <w:r w:rsidRPr="008614C4">
        <w:rPr>
          <w:rFonts w:cs="Times New Roman"/>
        </w:rPr>
        <w:t xml:space="preserve"> t</w:t>
      </w:r>
      <w:r w:rsidR="00067FC1">
        <w:rPr>
          <w:rFonts w:cs="Times New Roman"/>
        </w:rPr>
        <w:t>remor (sum of items 1 and 2), bradykinesia (item 3), rigidity (item 4),</w:t>
      </w:r>
      <w:r w:rsidR="00535AC1">
        <w:rPr>
          <w:rFonts w:cs="Times New Roman"/>
        </w:rPr>
        <w:t xml:space="preserve"> </w:t>
      </w:r>
      <w:r w:rsidR="005D761D">
        <w:rPr>
          <w:rFonts w:cs="Times New Roman"/>
        </w:rPr>
        <w:t xml:space="preserve">and </w:t>
      </w:r>
      <w:r w:rsidRPr="008614C4">
        <w:rPr>
          <w:rFonts w:cs="Times New Roman"/>
        </w:rPr>
        <w:t xml:space="preserve">axial </w:t>
      </w:r>
      <w:r w:rsidR="005D761D">
        <w:rPr>
          <w:rFonts w:cs="Times New Roman"/>
        </w:rPr>
        <w:t xml:space="preserve">signs </w:t>
      </w:r>
      <w:r w:rsidRPr="008614C4">
        <w:rPr>
          <w:rFonts w:cs="Times New Roman"/>
        </w:rPr>
        <w:t>(sum of items 5 to 10)</w:t>
      </w:r>
      <w:r w:rsidR="0041534E">
        <w:rPr>
          <w:rFonts w:cs="Times New Roman"/>
        </w:rPr>
        <w:t>. Additionally, an aggregate “</w:t>
      </w:r>
      <w:r w:rsidR="00067FC1">
        <w:rPr>
          <w:rFonts w:cs="Times New Roman"/>
        </w:rPr>
        <w:t>motor complications</w:t>
      </w:r>
      <w:r w:rsidR="0041534E">
        <w:rPr>
          <w:rFonts w:cs="Times New Roman"/>
        </w:rPr>
        <w:t xml:space="preserve">” </w:t>
      </w:r>
      <w:r w:rsidR="009365F7">
        <w:rPr>
          <w:rFonts w:cs="Times New Roman"/>
        </w:rPr>
        <w:t>variable</w:t>
      </w:r>
      <w:r w:rsidR="00535AC1">
        <w:rPr>
          <w:rFonts w:cs="Times New Roman"/>
        </w:rPr>
        <w:t xml:space="preserve"> </w:t>
      </w:r>
      <w:r w:rsidR="0041534E">
        <w:rPr>
          <w:rFonts w:cs="Times New Roman"/>
        </w:rPr>
        <w:t>was</w:t>
      </w:r>
      <w:r w:rsidR="005D761D">
        <w:rPr>
          <w:rFonts w:cs="Times New Roman"/>
        </w:rPr>
        <w:t xml:space="preserve"> obtained from the </w:t>
      </w:r>
      <w:r w:rsidR="00155944">
        <w:rPr>
          <w:rFonts w:cs="Times New Roman"/>
        </w:rPr>
        <w:t>sum of items 18 to 21</w:t>
      </w:r>
      <w:r w:rsidRPr="008614C4">
        <w:rPr>
          <w:rFonts w:cs="Times New Roman"/>
        </w:rPr>
        <w:t>.</w:t>
      </w:r>
    </w:p>
    <w:p w14:paraId="1ED2AE53" w14:textId="77777777" w:rsidR="00216A80" w:rsidRPr="008614C4" w:rsidRDefault="00216A80" w:rsidP="00B16199">
      <w:pPr>
        <w:ind w:firstLine="720"/>
        <w:rPr>
          <w:rFonts w:cs="Times New Roman"/>
        </w:rPr>
      </w:pPr>
      <w:r w:rsidRPr="008614C4">
        <w:rPr>
          <w:rFonts w:cs="Times New Roman"/>
        </w:rPr>
        <w:t xml:space="preserve">All </w:t>
      </w:r>
      <w:r w:rsidR="003116A1">
        <w:rPr>
          <w:rFonts w:cs="Times New Roman"/>
        </w:rPr>
        <w:t>variables</w:t>
      </w:r>
      <w:r w:rsidR="00535AC1">
        <w:rPr>
          <w:rFonts w:cs="Times New Roman"/>
        </w:rPr>
        <w:t xml:space="preserve"> </w:t>
      </w:r>
      <w:r w:rsidRPr="008614C4">
        <w:rPr>
          <w:rFonts w:cs="Times New Roman"/>
        </w:rPr>
        <w:t>were standardized before clustering, and unstandardized afterwards for interpretation. Analyses were conducted in R ve</w:t>
      </w:r>
      <w:r w:rsidR="00471487">
        <w:rPr>
          <w:rFonts w:cs="Times New Roman"/>
        </w:rPr>
        <w:t>rsion 3.2.4 (www.r-project.org)</w:t>
      </w:r>
      <w:r w:rsidR="00E304C8">
        <w:rPr>
          <w:rFonts w:cs="Times New Roman"/>
        </w:rPr>
        <w:t xml:space="preserve"> and</w:t>
      </w:r>
      <w:r w:rsidR="00905741">
        <w:rPr>
          <w:rFonts w:cs="Times New Roman"/>
        </w:rPr>
        <w:t xml:space="preserve"> Stata version 14</w:t>
      </w:r>
      <w:r w:rsidR="00BC617B">
        <w:rPr>
          <w:rFonts w:cs="Times New Roman"/>
        </w:rPr>
        <w:t xml:space="preserve"> </w:t>
      </w:r>
      <w:r w:rsidR="00DD0951">
        <w:rPr>
          <w:rFonts w:cs="Times New Roman"/>
        </w:rPr>
        <w:t>(</w:t>
      </w:r>
      <w:r w:rsidR="00DD0951" w:rsidRPr="00DD0951">
        <w:rPr>
          <w:rFonts w:cs="Times New Roman"/>
        </w:rPr>
        <w:t>http://www.stata.com/</w:t>
      </w:r>
      <w:r w:rsidR="00DD0951">
        <w:rPr>
          <w:rFonts w:cs="Times New Roman"/>
        </w:rPr>
        <w:t>)</w:t>
      </w:r>
      <w:r w:rsidR="00471487" w:rsidRPr="003F662E">
        <w:rPr>
          <w:rFonts w:cs="Times New Roman"/>
          <w:b/>
        </w:rPr>
        <w:t>.</w:t>
      </w:r>
    </w:p>
    <w:p w14:paraId="13767A26" w14:textId="77777777" w:rsidR="00216A80" w:rsidRPr="00E75106" w:rsidRDefault="00216A80" w:rsidP="00B16199">
      <w:pPr>
        <w:pStyle w:val="Heading2"/>
        <w:jc w:val="both"/>
        <w:rPr>
          <w:rFonts w:cs="Times New Roman"/>
          <w:b w:val="0"/>
          <w:sz w:val="24"/>
          <w:szCs w:val="24"/>
          <w:u w:val="single"/>
        </w:rPr>
      </w:pPr>
      <w:r w:rsidRPr="00E75106">
        <w:rPr>
          <w:rFonts w:cs="Times New Roman"/>
          <w:b w:val="0"/>
          <w:sz w:val="24"/>
          <w:szCs w:val="24"/>
          <w:u w:val="single"/>
        </w:rPr>
        <w:t>Cluster analysis</w:t>
      </w:r>
    </w:p>
    <w:p w14:paraId="4338CF08" w14:textId="77777777" w:rsidR="00216A80" w:rsidRPr="008614C4" w:rsidRDefault="00216A80" w:rsidP="00B16199">
      <w:pPr>
        <w:ind w:firstLine="720"/>
        <w:rPr>
          <w:rFonts w:cs="Times New Roman"/>
        </w:rPr>
      </w:pPr>
      <w:r w:rsidRPr="008614C4">
        <w:rPr>
          <w:rFonts w:cs="Times New Roman"/>
          <w:i/>
        </w:rPr>
        <w:t>k</w:t>
      </w:r>
      <w:r w:rsidRPr="008614C4">
        <w:rPr>
          <w:rFonts w:cs="Times New Roman"/>
        </w:rPr>
        <w:t>-means was used for cluster analysis. We performed two analyses on the patients in the da</w:t>
      </w:r>
      <w:r w:rsidR="00157552">
        <w:rPr>
          <w:rFonts w:cs="Times New Roman"/>
        </w:rPr>
        <w:t xml:space="preserve">taset: the first </w:t>
      </w:r>
      <w:r w:rsidR="00D971B4">
        <w:rPr>
          <w:rFonts w:cs="Times New Roman"/>
        </w:rPr>
        <w:t xml:space="preserve">clustering </w:t>
      </w:r>
      <w:r w:rsidRPr="008614C4">
        <w:rPr>
          <w:rFonts w:cs="Times New Roman"/>
        </w:rPr>
        <w:t xml:space="preserve">on the nine aggregate </w:t>
      </w:r>
      <w:r w:rsidR="00571C87">
        <w:rPr>
          <w:rFonts w:cs="Times New Roman"/>
        </w:rPr>
        <w:t>non-motor</w:t>
      </w:r>
      <w:r w:rsidRPr="008614C4">
        <w:rPr>
          <w:rFonts w:cs="Times New Roman"/>
        </w:rPr>
        <w:t xml:space="preserve"> symptom </w:t>
      </w:r>
      <w:r w:rsidR="001966C5" w:rsidRPr="008614C4">
        <w:rPr>
          <w:rFonts w:cs="Times New Roman"/>
        </w:rPr>
        <w:t>domains</w:t>
      </w:r>
      <w:r w:rsidR="001966C5">
        <w:rPr>
          <w:rFonts w:cs="Times New Roman"/>
        </w:rPr>
        <w:t xml:space="preserve">, </w:t>
      </w:r>
      <w:r w:rsidR="001966C5" w:rsidRPr="008614C4">
        <w:rPr>
          <w:rFonts w:cs="Times New Roman"/>
        </w:rPr>
        <w:t>the</w:t>
      </w:r>
      <w:r w:rsidR="00535AC1">
        <w:rPr>
          <w:rFonts w:cs="Times New Roman"/>
        </w:rPr>
        <w:t xml:space="preserve"> </w:t>
      </w:r>
      <w:r w:rsidR="001966C5">
        <w:rPr>
          <w:rFonts w:cs="Times New Roman"/>
        </w:rPr>
        <w:t>four cardinal</w:t>
      </w:r>
      <w:r w:rsidR="00905741">
        <w:rPr>
          <w:rFonts w:cs="Times New Roman"/>
        </w:rPr>
        <w:t xml:space="preserve"> motor signs (</w:t>
      </w:r>
      <w:r w:rsidR="00067FC1">
        <w:rPr>
          <w:rFonts w:cs="Times New Roman"/>
        </w:rPr>
        <w:t>tremor</w:t>
      </w:r>
      <w:r w:rsidR="00905741">
        <w:rPr>
          <w:rFonts w:cs="Times New Roman"/>
        </w:rPr>
        <w:t xml:space="preserve">, </w:t>
      </w:r>
      <w:r w:rsidR="00067FC1">
        <w:rPr>
          <w:rFonts w:cs="Times New Roman"/>
        </w:rPr>
        <w:t>bradykinesia</w:t>
      </w:r>
      <w:r w:rsidR="00905741">
        <w:rPr>
          <w:rFonts w:cs="Times New Roman"/>
        </w:rPr>
        <w:t xml:space="preserve">, </w:t>
      </w:r>
      <w:r w:rsidR="00067FC1">
        <w:rPr>
          <w:rFonts w:cs="Times New Roman"/>
        </w:rPr>
        <w:t>rigidity</w:t>
      </w:r>
      <w:r w:rsidR="00905741">
        <w:rPr>
          <w:rFonts w:cs="Times New Roman"/>
        </w:rPr>
        <w:t>, axial</w:t>
      </w:r>
      <w:r w:rsidR="005D761D">
        <w:rPr>
          <w:rFonts w:cs="Times New Roman"/>
        </w:rPr>
        <w:t>)</w:t>
      </w:r>
      <w:r w:rsidR="00905741">
        <w:rPr>
          <w:rFonts w:cs="Times New Roman"/>
        </w:rPr>
        <w:t>, and motor complications</w:t>
      </w:r>
      <w:r w:rsidRPr="008614C4">
        <w:rPr>
          <w:rFonts w:cs="Times New Roman"/>
        </w:rPr>
        <w:t>,</w:t>
      </w:r>
      <w:r w:rsidR="00D971B4">
        <w:rPr>
          <w:rFonts w:cs="Times New Roman"/>
        </w:rPr>
        <w:t xml:space="preserve"> henceforth the “domains clustering”,</w:t>
      </w:r>
      <w:r w:rsidRPr="008614C4">
        <w:rPr>
          <w:rFonts w:cs="Times New Roman"/>
        </w:rPr>
        <w:t xml:space="preserve"> and the second</w:t>
      </w:r>
      <w:r w:rsidR="00535AC1">
        <w:rPr>
          <w:rFonts w:cs="Times New Roman"/>
        </w:rPr>
        <w:t xml:space="preserve"> </w:t>
      </w:r>
      <w:r w:rsidRPr="008614C4">
        <w:rPr>
          <w:rFonts w:cs="Times New Roman"/>
        </w:rPr>
        <w:t xml:space="preserve">on the 30 individual </w:t>
      </w:r>
      <w:r w:rsidR="00571C87">
        <w:rPr>
          <w:rFonts w:cs="Times New Roman"/>
        </w:rPr>
        <w:t>non-motor</w:t>
      </w:r>
      <w:r w:rsidRPr="008614C4">
        <w:rPr>
          <w:rFonts w:cs="Times New Roman"/>
        </w:rPr>
        <w:t xml:space="preserve"> symptoms</w:t>
      </w:r>
      <w:r w:rsidR="0041534E">
        <w:rPr>
          <w:rFonts w:cs="Times New Roman"/>
        </w:rPr>
        <w:t xml:space="preserve"> of the NMSS</w:t>
      </w:r>
      <w:r w:rsidR="00535AC1">
        <w:rPr>
          <w:rFonts w:cs="Times New Roman"/>
        </w:rPr>
        <w:t xml:space="preserve"> </w:t>
      </w:r>
      <w:r w:rsidR="00171A2C">
        <w:rPr>
          <w:rFonts w:cs="Times New Roman"/>
        </w:rPr>
        <w:t>only</w:t>
      </w:r>
      <w:r w:rsidR="00D971B4">
        <w:rPr>
          <w:rFonts w:cs="Times New Roman"/>
        </w:rPr>
        <w:t>, henceforth the “symptoms clustering”</w:t>
      </w:r>
      <w:r w:rsidRPr="008614C4">
        <w:rPr>
          <w:rFonts w:cs="Times New Roman"/>
        </w:rPr>
        <w:t xml:space="preserve">. </w:t>
      </w:r>
      <w:r w:rsidR="00E23F38">
        <w:rPr>
          <w:rFonts w:cs="Times New Roman"/>
        </w:rPr>
        <w:t>Average</w:t>
      </w:r>
      <w:r w:rsidR="00157552">
        <w:rPr>
          <w:rFonts w:cs="Times New Roman"/>
        </w:rPr>
        <w:t>-linkage hierarchical ag</w:t>
      </w:r>
      <w:r w:rsidRPr="008614C4">
        <w:rPr>
          <w:rFonts w:cs="Times New Roman"/>
        </w:rPr>
        <w:t xml:space="preserve">glomerative clustering on </w:t>
      </w:r>
      <w:r w:rsidRPr="008614C4">
        <w:rPr>
          <w:rFonts w:cs="Times New Roman"/>
        </w:rPr>
        <w:lastRenderedPageBreak/>
        <w:t xml:space="preserve">the 30 </w:t>
      </w:r>
      <w:r w:rsidR="00571C87">
        <w:rPr>
          <w:rFonts w:cs="Times New Roman"/>
        </w:rPr>
        <w:t>non-motor</w:t>
      </w:r>
      <w:r w:rsidRPr="008614C4">
        <w:rPr>
          <w:rFonts w:cs="Times New Roman"/>
        </w:rPr>
        <w:t xml:space="preserve"> symptoms</w:t>
      </w:r>
      <w:r w:rsidR="00535AC1">
        <w:rPr>
          <w:rFonts w:cs="Times New Roman"/>
        </w:rPr>
        <w:t xml:space="preserve">, </w:t>
      </w:r>
      <w:r w:rsidR="0041534E">
        <w:rPr>
          <w:rFonts w:cs="Times New Roman"/>
        </w:rPr>
        <w:t xml:space="preserve">4 motor signs, and motor complications </w:t>
      </w:r>
      <w:r w:rsidRPr="008614C4">
        <w:rPr>
          <w:rFonts w:cs="Times New Roman"/>
        </w:rPr>
        <w:t>was also performed to</w:t>
      </w:r>
      <w:r w:rsidR="007B2C4E">
        <w:rPr>
          <w:rFonts w:cs="Times New Roman"/>
        </w:rPr>
        <w:t xml:space="preserve"> observe</w:t>
      </w:r>
      <w:r w:rsidR="00535AC1">
        <w:rPr>
          <w:rFonts w:cs="Times New Roman"/>
        </w:rPr>
        <w:t xml:space="preserve"> </w:t>
      </w:r>
      <w:r w:rsidR="00097CDE">
        <w:rPr>
          <w:rFonts w:cs="Times New Roman"/>
        </w:rPr>
        <w:t>the grouping of the symptoms</w:t>
      </w:r>
      <w:r w:rsidRPr="008614C4">
        <w:rPr>
          <w:rFonts w:cs="Times New Roman"/>
        </w:rPr>
        <w:t>.</w:t>
      </w:r>
    </w:p>
    <w:p w14:paraId="756B4DD4" w14:textId="25D43CE9" w:rsidR="00E75106" w:rsidRDefault="00216A80" w:rsidP="00B16199">
      <w:pPr>
        <w:ind w:firstLine="720"/>
        <w:rPr>
          <w:rFonts w:cs="Times New Roman"/>
        </w:rPr>
      </w:pPr>
      <w:r w:rsidRPr="008614C4">
        <w:rPr>
          <w:rFonts w:cs="Times New Roman"/>
        </w:rPr>
        <w:t xml:space="preserve">Various formal measures were used to determine the optimal number of clusters for the dataset. </w:t>
      </w:r>
      <w:r w:rsidR="00571C87">
        <w:rPr>
          <w:rFonts w:cs="Times New Roman"/>
        </w:rPr>
        <w:t>For the domains clustering, the</w:t>
      </w:r>
      <w:r w:rsidRPr="008614C4">
        <w:rPr>
          <w:rFonts w:cs="Times New Roman"/>
        </w:rPr>
        <w:t xml:space="preserve"> optimal </w:t>
      </w:r>
      <m:oMath>
        <m:r>
          <w:rPr>
            <w:rFonts w:ascii="Cambria Math" w:hAnsi="Cambria Math" w:cs="Times New Roman"/>
          </w:rPr>
          <m:t>k</m:t>
        </m:r>
      </m:oMath>
      <w:r w:rsidRPr="008614C4">
        <w:rPr>
          <w:rFonts w:cs="Times New Roman"/>
        </w:rPr>
        <w:t xml:space="preserve"> according to the Gap Statistic and the 1-standard-error</w:t>
      </w:r>
      <w:r w:rsidR="00535AC1">
        <w:rPr>
          <w:rFonts w:cs="Times New Roman"/>
        </w:rPr>
        <w:t xml:space="preserve"> </w:t>
      </w:r>
      <w:r w:rsidR="00171A2C">
        <w:rPr>
          <w:rFonts w:cs="Times New Roman"/>
        </w:rPr>
        <w:t xml:space="preserve">method suggested by </w:t>
      </w:r>
      <w:r w:rsidR="00963FD7">
        <w:rPr>
          <w:rFonts w:cs="Times New Roman"/>
        </w:rPr>
        <w:t>Tibshirani</w:t>
      </w:r>
      <w:r w:rsidR="00535AC1">
        <w:rPr>
          <w:rFonts w:cs="Times New Roman"/>
        </w:rPr>
        <w:t xml:space="preserve"> </w:t>
      </w:r>
      <w:r w:rsidR="00963FD7" w:rsidRPr="007E303F">
        <w:rPr>
          <w:rFonts w:cs="Times New Roman"/>
          <w:i/>
        </w:rPr>
        <w:t>et al</w:t>
      </w:r>
      <w:r w:rsidR="00963FD7" w:rsidRPr="007E303F">
        <w:rPr>
          <w:rFonts w:cs="Times New Roman"/>
        </w:rPr>
        <w:t>.</w:t>
      </w:r>
      <w:r w:rsidR="00963FD7">
        <w:rPr>
          <w:rFonts w:cs="Times New Roman"/>
        </w:rPr>
        <w:t xml:space="preserve"> (</w:t>
      </w:r>
      <w:r w:rsidR="00171A2C">
        <w:rPr>
          <w:rFonts w:cs="Times New Roman"/>
        </w:rPr>
        <w:t xml:space="preserve">2001) </w:t>
      </w:r>
      <w:r w:rsidRPr="008614C4">
        <w:rPr>
          <w:rFonts w:cs="Times New Roman"/>
        </w:rPr>
        <w:t xml:space="preserve">was </w:t>
      </w:r>
      <m:oMath>
        <m:r>
          <w:rPr>
            <w:rFonts w:ascii="Cambria Math" w:hAnsi="Cambria Math" w:cs="Times New Roman"/>
          </w:rPr>
          <m:t>k=4</m:t>
        </m:r>
      </m:oMath>
      <w:r w:rsidRPr="008614C4">
        <w:rPr>
          <w:rFonts w:cs="Times New Roman"/>
        </w:rPr>
        <w:t xml:space="preserve"> (</w:t>
      </w:r>
      <w:r w:rsidR="00CA02F8">
        <w:rPr>
          <w:rFonts w:cs="Times New Roman"/>
        </w:rPr>
        <w:t xml:space="preserve">Supplementary </w:t>
      </w:r>
      <w:r w:rsidR="006D4BC8">
        <w:rPr>
          <w:rFonts w:cs="Times New Roman"/>
        </w:rPr>
        <w:t>Fig.</w:t>
      </w:r>
      <w:r w:rsidR="00CA02F8">
        <w:rPr>
          <w:rFonts w:cs="Times New Roman"/>
        </w:rPr>
        <w:t xml:space="preserve"> 1A</w:t>
      </w:r>
      <w:r w:rsidRPr="008614C4">
        <w:rPr>
          <w:rFonts w:cs="Times New Roman"/>
        </w:rPr>
        <w:t xml:space="preserve">). Other </w:t>
      </w:r>
      <w:r w:rsidR="00A00900">
        <w:rPr>
          <w:rFonts w:cs="Times New Roman"/>
        </w:rPr>
        <w:t>cluster determination</w:t>
      </w:r>
      <w:r w:rsidRPr="008614C4">
        <w:rPr>
          <w:rFonts w:cs="Times New Roman"/>
        </w:rPr>
        <w:t xml:space="preserve"> methods (within sum of squares</w:t>
      </w:r>
      <w:r w:rsidR="0085428C">
        <w:rPr>
          <w:rFonts w:cs="Times New Roman"/>
        </w:rPr>
        <w:t xml:space="preserve"> error</w:t>
      </w:r>
      <w:r w:rsidRPr="008614C4">
        <w:rPr>
          <w:rFonts w:cs="Times New Roman"/>
        </w:rPr>
        <w:t xml:space="preserve"> scree plot, minimum average silhouette width) suggested </w:t>
      </w:r>
      <m:oMath>
        <m:r>
          <w:rPr>
            <w:rFonts w:ascii="Cambria Math" w:hAnsi="Cambria Math" w:cs="Times New Roman"/>
          </w:rPr>
          <m:t>k=2, 3, 4,</m:t>
        </m:r>
      </m:oMath>
      <w:r w:rsidRPr="008614C4">
        <w:rPr>
          <w:rFonts w:cs="Times New Roman"/>
        </w:rPr>
        <w:t xml:space="preserve"> where </w:t>
      </w:r>
      <m:oMath>
        <m:r>
          <w:rPr>
            <w:rFonts w:ascii="Cambria Math" w:hAnsi="Cambria Math" w:cs="Times New Roman"/>
          </w:rPr>
          <m:t>k=2, 3</m:t>
        </m:r>
      </m:oMath>
      <w:r w:rsidRPr="008614C4">
        <w:rPr>
          <w:rFonts w:cs="Times New Roman"/>
        </w:rPr>
        <w:t xml:space="preserve"> simply divided the data uninformatively into groups with varying levels of overall </w:t>
      </w:r>
      <w:r w:rsidR="00137374">
        <w:rPr>
          <w:rFonts w:cs="Times New Roman"/>
        </w:rPr>
        <w:t>Parkinson’s disease</w:t>
      </w:r>
      <w:r w:rsidRPr="008614C4">
        <w:rPr>
          <w:rFonts w:cs="Times New Roman"/>
        </w:rPr>
        <w:t xml:space="preserve"> severity. Thus </w:t>
      </w:r>
      <m:oMath>
        <m:r>
          <w:rPr>
            <w:rFonts w:ascii="Cambria Math" w:hAnsi="Cambria Math" w:cs="Times New Roman"/>
          </w:rPr>
          <m:t>k=4</m:t>
        </m:r>
      </m:oMath>
      <w:r w:rsidR="00535AC1">
        <w:rPr>
          <w:rFonts w:cs="Times New Roman"/>
        </w:rPr>
        <w:t xml:space="preserve"> </w:t>
      </w:r>
      <w:r w:rsidRPr="008614C4">
        <w:rPr>
          <w:rFonts w:cs="Times New Roman"/>
        </w:rPr>
        <w:t>was</w:t>
      </w:r>
      <w:r w:rsidR="0091038D">
        <w:rPr>
          <w:rFonts w:cs="Times New Roman"/>
        </w:rPr>
        <w:t xml:space="preserve"> </w:t>
      </w:r>
      <w:r w:rsidRPr="008614C4">
        <w:rPr>
          <w:rFonts w:cs="Times New Roman"/>
        </w:rPr>
        <w:t>selected to offer a good blend of model fit, informativeness, and parsimony.</w:t>
      </w:r>
      <w:r w:rsidR="00905741">
        <w:rPr>
          <w:rFonts w:cs="Times New Roman"/>
        </w:rPr>
        <w:t xml:space="preserve"> The same method was applied for the symptoms clustering, and the optimal number of clusters indicated was</w:t>
      </w:r>
      <m:oMath>
        <m:r>
          <w:rPr>
            <w:rFonts w:ascii="Cambria Math" w:hAnsi="Cambria Math" w:cs="Times New Roman"/>
          </w:rPr>
          <m:t xml:space="preserve"> k=6</m:t>
        </m:r>
      </m:oMath>
      <w:r w:rsidR="00905741">
        <w:rPr>
          <w:rFonts w:cs="Times New Roman"/>
        </w:rPr>
        <w:t xml:space="preserve"> (</w:t>
      </w:r>
      <w:r w:rsidR="009D1FA1">
        <w:rPr>
          <w:rFonts w:cs="Times New Roman"/>
        </w:rPr>
        <w:t xml:space="preserve">Supplementary </w:t>
      </w:r>
      <w:r w:rsidR="00D567E5">
        <w:rPr>
          <w:rFonts w:cs="Times New Roman"/>
        </w:rPr>
        <w:t>Fig</w:t>
      </w:r>
      <w:r w:rsidR="009D1FA1">
        <w:rPr>
          <w:rFonts w:cs="Times New Roman"/>
        </w:rPr>
        <w:t>. 1B)</w:t>
      </w:r>
      <w:r w:rsidR="00905741">
        <w:rPr>
          <w:rFonts w:cs="Times New Roman"/>
        </w:rPr>
        <w:t xml:space="preserve">. </w:t>
      </w:r>
      <m:oMath>
        <m:r>
          <w:rPr>
            <w:rFonts w:ascii="Cambria Math" w:hAnsi="Cambria Math" w:cs="Times New Roman"/>
          </w:rPr>
          <m:t>k=4</m:t>
        </m:r>
      </m:oMath>
      <w:r w:rsidR="00853B68">
        <w:rPr>
          <w:rFonts w:cs="Times New Roman"/>
        </w:rPr>
        <w:t xml:space="preserve"> </w:t>
      </w:r>
      <w:r w:rsidR="00905741">
        <w:rPr>
          <w:rFonts w:cs="Times New Roman"/>
        </w:rPr>
        <w:t>was tried to compare results to the domains clustering, but results were not interpretable.</w:t>
      </w:r>
    </w:p>
    <w:p w14:paraId="3095BBBF" w14:textId="77777777" w:rsidR="00B21569" w:rsidRPr="00E75106" w:rsidRDefault="00EC20B8" w:rsidP="00B16199">
      <w:pPr>
        <w:pStyle w:val="Heading2"/>
        <w:jc w:val="both"/>
        <w:rPr>
          <w:rFonts w:cs="Times New Roman"/>
          <w:b w:val="0"/>
          <w:sz w:val="24"/>
          <w:szCs w:val="24"/>
          <w:u w:val="single"/>
        </w:rPr>
      </w:pPr>
      <w:r>
        <w:rPr>
          <w:rFonts w:cs="Times New Roman"/>
          <w:b w:val="0"/>
          <w:sz w:val="24"/>
          <w:szCs w:val="24"/>
          <w:u w:val="single"/>
        </w:rPr>
        <w:t>Comparative</w:t>
      </w:r>
      <w:r w:rsidR="00B21569">
        <w:rPr>
          <w:rFonts w:cs="Times New Roman"/>
          <w:b w:val="0"/>
          <w:sz w:val="24"/>
          <w:szCs w:val="24"/>
          <w:u w:val="single"/>
        </w:rPr>
        <w:t xml:space="preserve"> subgroup analysis</w:t>
      </w:r>
    </w:p>
    <w:p w14:paraId="7B50606E" w14:textId="77777777" w:rsidR="00216A80" w:rsidRPr="008614C4" w:rsidRDefault="00216A80" w:rsidP="00B16199">
      <w:pPr>
        <w:ind w:firstLine="720"/>
        <w:rPr>
          <w:rFonts w:cs="Times New Roman"/>
        </w:rPr>
      </w:pPr>
      <w:r w:rsidRPr="008614C4">
        <w:rPr>
          <w:rFonts w:cs="Times New Roman"/>
        </w:rPr>
        <w:t xml:space="preserve">For </w:t>
      </w:r>
      <w:r w:rsidR="00DA0D85">
        <w:rPr>
          <w:rFonts w:cs="Times New Roman"/>
        </w:rPr>
        <w:t xml:space="preserve">both clusterings, we displayed symptoms with a heatmap, scaling </w:t>
      </w:r>
      <w:r w:rsidR="00A64810">
        <w:rPr>
          <w:rFonts w:cs="Times New Roman"/>
        </w:rPr>
        <w:t xml:space="preserve">cluster averages </w:t>
      </w:r>
      <w:r w:rsidR="00F01773">
        <w:rPr>
          <w:rFonts w:cs="Times New Roman"/>
        </w:rPr>
        <w:t>to z-scores for each variable</w:t>
      </w:r>
      <w:r w:rsidR="00DA0D85">
        <w:rPr>
          <w:rFonts w:cs="Times New Roman"/>
        </w:rPr>
        <w:t>. Additionally, for the domains clustering, we displayed the four clusters using boxplots, which allowed us to visualize the center and spread of symptoms for each cluster.</w:t>
      </w:r>
      <w:r w:rsidRPr="008614C4">
        <w:rPr>
          <w:rFonts w:cs="Times New Roman"/>
        </w:rPr>
        <w:t xml:space="preserve"> Finally, for the hiera</w:t>
      </w:r>
      <w:r w:rsidR="008614C4" w:rsidRPr="008614C4">
        <w:rPr>
          <w:rFonts w:cs="Times New Roman"/>
        </w:rPr>
        <w:t>rchical clustering on the symp</w:t>
      </w:r>
      <w:r w:rsidRPr="008614C4">
        <w:rPr>
          <w:rFonts w:cs="Times New Roman"/>
        </w:rPr>
        <w:t xml:space="preserve">toms themselves, we displayed results in a dendrogram and clustered the symptoms into </w:t>
      </w:r>
      <w:r w:rsidR="00571C87">
        <w:rPr>
          <w:rFonts w:cs="Times New Roman"/>
        </w:rPr>
        <w:t>six</w:t>
      </w:r>
      <w:r w:rsidRPr="008614C4">
        <w:rPr>
          <w:rFonts w:cs="Times New Roman"/>
        </w:rPr>
        <w:t xml:space="preserve"> interpretable clusters.</w:t>
      </w:r>
    </w:p>
    <w:p w14:paraId="55905831" w14:textId="3E546B8F" w:rsidR="00216A80" w:rsidRPr="008614C4" w:rsidRDefault="00216A80" w:rsidP="00B16199">
      <w:pPr>
        <w:ind w:firstLine="720"/>
        <w:rPr>
          <w:rFonts w:cs="Times New Roman"/>
        </w:rPr>
      </w:pPr>
      <w:r w:rsidRPr="008614C4">
        <w:rPr>
          <w:rFonts w:cs="Times New Roman"/>
        </w:rPr>
        <w:t xml:space="preserve">For each </w:t>
      </w:r>
      <w:r w:rsidR="00571C87">
        <w:rPr>
          <w:rFonts w:cs="Times New Roman"/>
        </w:rPr>
        <w:t>variable</w:t>
      </w:r>
      <w:r w:rsidRPr="008614C4">
        <w:rPr>
          <w:rFonts w:cs="Times New Roman"/>
        </w:rPr>
        <w:t xml:space="preserve"> in both clusterings, we used one-way ANOVA and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Pr="008614C4">
        <w:rPr>
          <w:rFonts w:cs="Times New Roman"/>
        </w:rPr>
        <w:t xml:space="preserve"> tests to</w:t>
      </w:r>
      <w:r w:rsidR="0091038D">
        <w:rPr>
          <w:rFonts w:cs="Times New Roman"/>
        </w:rPr>
        <w:t xml:space="preserve"> </w:t>
      </w:r>
      <w:r w:rsidRPr="008614C4">
        <w:rPr>
          <w:rFonts w:cs="Times New Roman"/>
        </w:rPr>
        <w:t>respectiv</w:t>
      </w:r>
      <w:r w:rsidR="008614C4" w:rsidRPr="008614C4">
        <w:rPr>
          <w:rFonts w:cs="Times New Roman"/>
        </w:rPr>
        <w:t xml:space="preserve">ely check the equality of </w:t>
      </w:r>
      <w:r w:rsidR="00571C87">
        <w:rPr>
          <w:rFonts w:cs="Times New Roman"/>
        </w:rPr>
        <w:t>variable</w:t>
      </w:r>
      <w:r w:rsidRPr="008614C4">
        <w:rPr>
          <w:rFonts w:cs="Times New Roman"/>
        </w:rPr>
        <w:t xml:space="preserve"> means and proportions across the clusters found, using Bonferroni correction for multiple testing with corrected</w:t>
      </w:r>
      <w:r w:rsidR="00535AC1">
        <w:rPr>
          <w:rFonts w:cs="Times New Roman"/>
        </w:rPr>
        <w:t xml:space="preserve"> </w:t>
      </w:r>
      <w:r w:rsidR="00924353">
        <w:rPr>
          <w:rFonts w:cs="Times New Roman"/>
          <w:i/>
        </w:rPr>
        <w:t>p</w:t>
      </w:r>
      <w:r w:rsidR="00924353">
        <w:rPr>
          <w:rFonts w:cs="Times New Roman"/>
        </w:rPr>
        <w:t>-value</w:t>
      </w:r>
      <m:oMath>
        <m:r>
          <w:rPr>
            <w:rFonts w:ascii="Cambria Math" w:hAnsi="Cambria Math" w:cs="Times New Roman"/>
          </w:rPr>
          <m:t>&lt;0.05</m:t>
        </m:r>
      </m:oMath>
      <w:r w:rsidRPr="008614C4">
        <w:rPr>
          <w:rFonts w:cs="Times New Roman"/>
        </w:rPr>
        <w:t xml:space="preserve"> considered significant. </w:t>
      </w:r>
      <w:r w:rsidR="00CE102E">
        <w:rPr>
          <w:rFonts w:cs="Times New Roman"/>
        </w:rPr>
        <w:t>Differences</w:t>
      </w:r>
      <w:r w:rsidR="008614C4" w:rsidRPr="008614C4">
        <w:rPr>
          <w:rFonts w:cs="Times New Roman"/>
        </w:rPr>
        <w:t xml:space="preserve"> among pairwise clus</w:t>
      </w:r>
      <w:r w:rsidRPr="008614C4">
        <w:rPr>
          <w:rFonts w:cs="Times New Roman"/>
        </w:rPr>
        <w:t>ters were tested post-hoc using</w:t>
      </w:r>
      <w:r w:rsidR="008614C4" w:rsidRPr="008614C4">
        <w:rPr>
          <w:rFonts w:cs="Times New Roman"/>
        </w:rPr>
        <w:t xml:space="preserve"> Tukey’s range test for continu</w:t>
      </w:r>
      <w:r w:rsidRPr="008614C4">
        <w:rPr>
          <w:rFonts w:cs="Times New Roman"/>
        </w:rPr>
        <w:t xml:space="preserve">ous means, or pairwise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546051">
        <w:rPr>
          <w:rFonts w:cs="Times New Roman"/>
        </w:rPr>
        <w:t xml:space="preserve"> </w:t>
      </w:r>
      <w:r w:rsidRPr="008614C4">
        <w:rPr>
          <w:rFonts w:cs="Times New Roman"/>
        </w:rPr>
        <w:t xml:space="preserve">tests </w:t>
      </w:r>
      <w:r w:rsidR="0085428C">
        <w:rPr>
          <w:rFonts w:cs="Times New Roman"/>
        </w:rPr>
        <w:t>for proportions, with Bonferroni correction</w:t>
      </w:r>
      <w:r w:rsidR="00513237">
        <w:rPr>
          <w:rFonts w:cs="Times New Roman"/>
        </w:rPr>
        <w:t xml:space="preserve"> both for the within-</w:t>
      </w:r>
      <w:r w:rsidR="00571C87">
        <w:rPr>
          <w:rFonts w:cs="Times New Roman"/>
        </w:rPr>
        <w:t>variable</w:t>
      </w:r>
      <w:r w:rsidR="00513237">
        <w:rPr>
          <w:rFonts w:cs="Times New Roman"/>
        </w:rPr>
        <w:t xml:space="preserve"> pairwise tests and the multiple variable comparisons</w:t>
      </w:r>
      <w:r w:rsidR="0085428C">
        <w:rPr>
          <w:rFonts w:cs="Times New Roman"/>
        </w:rPr>
        <w:t>.</w:t>
      </w:r>
    </w:p>
    <w:p w14:paraId="1D942FF0" w14:textId="77777777" w:rsidR="00216A80" w:rsidRPr="008614C4" w:rsidRDefault="00216A80" w:rsidP="00B16199">
      <w:pPr>
        <w:ind w:firstLine="720"/>
        <w:rPr>
          <w:rFonts w:cs="Times New Roman"/>
        </w:rPr>
      </w:pPr>
      <w:r w:rsidRPr="008614C4">
        <w:rPr>
          <w:rFonts w:cs="Times New Roman"/>
        </w:rPr>
        <w:t xml:space="preserve">To compare the </w:t>
      </w:r>
      <w:r w:rsidR="003B3D37">
        <w:rPr>
          <w:rFonts w:cs="Times New Roman"/>
        </w:rPr>
        <w:t xml:space="preserve">domains and symptoms </w:t>
      </w:r>
      <w:r w:rsidRPr="008614C4">
        <w:rPr>
          <w:rFonts w:cs="Times New Roman"/>
        </w:rPr>
        <w:t xml:space="preserve">clusterings, we </w:t>
      </w:r>
      <w:r w:rsidR="00A132A4">
        <w:rPr>
          <w:rFonts w:cs="Times New Roman"/>
        </w:rPr>
        <w:t>depicted</w:t>
      </w:r>
      <w:r w:rsidRPr="008614C4">
        <w:rPr>
          <w:rFonts w:cs="Times New Roman"/>
        </w:rPr>
        <w:t xml:space="preserve"> cluster alignment </w:t>
      </w:r>
      <w:r w:rsidR="00A132A4">
        <w:rPr>
          <w:rFonts w:cs="Times New Roman"/>
        </w:rPr>
        <w:t>with a contingency table</w:t>
      </w:r>
      <w:r w:rsidRPr="008614C4">
        <w:rPr>
          <w:rFonts w:cs="Times New Roman"/>
        </w:rPr>
        <w:t>, and c</w:t>
      </w:r>
      <w:r w:rsidR="00B21995">
        <w:rPr>
          <w:rFonts w:cs="Times New Roman"/>
        </w:rPr>
        <w:t>omputed the adjusted rand index</w:t>
      </w:r>
      <w:r w:rsidRPr="008614C4">
        <w:rPr>
          <w:rFonts w:cs="Times New Roman"/>
        </w:rPr>
        <w:t xml:space="preserve"> (ARI</w:t>
      </w:r>
      <w:r w:rsidR="00B21995">
        <w:rPr>
          <w:rFonts w:cs="Times New Roman"/>
        </w:rPr>
        <w:t>; Hubert and Arabie, 1985</w:t>
      </w:r>
      <w:r w:rsidRPr="008614C4">
        <w:rPr>
          <w:rFonts w:cs="Times New Roman"/>
        </w:rPr>
        <w:t xml:space="preserve">) and </w:t>
      </w:r>
      <w:r w:rsidRPr="008614C4">
        <w:rPr>
          <w:rFonts w:cs="Times New Roman"/>
          <w:i/>
        </w:rPr>
        <w:t>v</w:t>
      </w:r>
      <w:r w:rsidR="00B21995">
        <w:rPr>
          <w:rFonts w:cs="Times New Roman"/>
        </w:rPr>
        <w:t>-measure (Rosenberg and Hirschberg, 2007),</w:t>
      </w:r>
      <w:r w:rsidRPr="008614C4">
        <w:rPr>
          <w:rFonts w:cs="Times New Roman"/>
        </w:rPr>
        <w:t xml:space="preserve"> to evaluate similarity between the two clusterings. Both measures range from 0 (no similarity) to 1 (identical), and respectively take a contingency table</w:t>
      </w:r>
      <w:r w:rsidR="0085428C">
        <w:rPr>
          <w:rFonts w:cs="Times New Roman"/>
        </w:rPr>
        <w:t>-based</w:t>
      </w:r>
      <w:r w:rsidRPr="008614C4">
        <w:rPr>
          <w:rFonts w:cs="Times New Roman"/>
        </w:rPr>
        <w:t xml:space="preserve"> and information-theoretic</w:t>
      </w:r>
      <w:r w:rsidR="008614C4" w:rsidRPr="008614C4">
        <w:rPr>
          <w:rFonts w:cs="Times New Roman"/>
        </w:rPr>
        <w:t xml:space="preserve"> approach to measuring cluster</w:t>
      </w:r>
      <w:r w:rsidRPr="008614C4">
        <w:rPr>
          <w:rFonts w:cs="Times New Roman"/>
        </w:rPr>
        <w:t>ing similarity.</w:t>
      </w:r>
    </w:p>
    <w:p w14:paraId="58FFBF63" w14:textId="5B2FAD0F" w:rsidR="000B3B9A" w:rsidRPr="008614C4" w:rsidRDefault="00216A80" w:rsidP="00B16199">
      <w:pPr>
        <w:ind w:firstLine="720"/>
        <w:rPr>
          <w:rFonts w:cs="Times New Roman"/>
        </w:rPr>
      </w:pPr>
      <w:r w:rsidRPr="008614C4">
        <w:rPr>
          <w:rFonts w:cs="Times New Roman"/>
        </w:rPr>
        <w:lastRenderedPageBreak/>
        <w:t>Lastly, to explore the rela</w:t>
      </w:r>
      <w:r w:rsidR="00157552">
        <w:rPr>
          <w:rFonts w:cs="Times New Roman"/>
        </w:rPr>
        <w:t xml:space="preserve">tionship between </w:t>
      </w:r>
      <w:r w:rsidR="005E60D5">
        <w:rPr>
          <w:rFonts w:cs="Times New Roman"/>
        </w:rPr>
        <w:t>domain and symptom</w:t>
      </w:r>
      <w:r w:rsidR="00157552">
        <w:rPr>
          <w:rFonts w:cs="Times New Roman"/>
        </w:rPr>
        <w:t xml:space="preserve"> sever</w:t>
      </w:r>
      <w:r w:rsidRPr="008614C4">
        <w:rPr>
          <w:rFonts w:cs="Times New Roman"/>
        </w:rPr>
        <w:t>ity and disease duration, we c</w:t>
      </w:r>
      <w:r w:rsidR="00157552">
        <w:rPr>
          <w:rFonts w:cs="Times New Roman"/>
        </w:rPr>
        <w:t>omputed the correlation coeffi</w:t>
      </w:r>
      <w:r w:rsidRPr="008614C4">
        <w:rPr>
          <w:rFonts w:cs="Times New Roman"/>
        </w:rPr>
        <w:t xml:space="preserve">cient for each </w:t>
      </w:r>
      <w:r w:rsidR="00571C87">
        <w:rPr>
          <w:rFonts w:cs="Times New Roman"/>
        </w:rPr>
        <w:t>variable</w:t>
      </w:r>
      <w:r w:rsidRPr="008614C4">
        <w:rPr>
          <w:rFonts w:cs="Times New Roman"/>
        </w:rPr>
        <w:t xml:space="preserve"> with </w:t>
      </w:r>
      <w:r w:rsidR="00137374">
        <w:rPr>
          <w:rFonts w:cs="Times New Roman"/>
        </w:rPr>
        <w:t>disease</w:t>
      </w:r>
      <w:r w:rsidRPr="008614C4">
        <w:rPr>
          <w:rFonts w:cs="Times New Roman"/>
        </w:rPr>
        <w:t xml:space="preserve"> duration and fitted smoothed loess curves to the data both globally and for each cluster found in the </w:t>
      </w:r>
      <w:r w:rsidR="00A132A4">
        <w:rPr>
          <w:rFonts w:cs="Times New Roman"/>
        </w:rPr>
        <w:t>domains</w:t>
      </w:r>
      <w:r w:rsidR="00A90ECF">
        <w:rPr>
          <w:rFonts w:cs="Times New Roman"/>
        </w:rPr>
        <w:t xml:space="preserve"> </w:t>
      </w:r>
      <w:r w:rsidR="00A132A4">
        <w:rPr>
          <w:rFonts w:cs="Times New Roman"/>
        </w:rPr>
        <w:t>clustering</w:t>
      </w:r>
      <w:r w:rsidRPr="008614C4">
        <w:rPr>
          <w:rFonts w:cs="Times New Roman"/>
        </w:rPr>
        <w:t>.</w:t>
      </w:r>
    </w:p>
    <w:p w14:paraId="665E1174" w14:textId="77777777" w:rsidR="008679F9" w:rsidRPr="008614C4" w:rsidRDefault="008679F9" w:rsidP="00B16199">
      <w:pPr>
        <w:pStyle w:val="Heading1"/>
        <w:jc w:val="both"/>
        <w:rPr>
          <w:rFonts w:cs="Times New Roman"/>
        </w:rPr>
      </w:pPr>
      <w:r w:rsidRPr="008614C4">
        <w:rPr>
          <w:rFonts w:cs="Times New Roman"/>
        </w:rPr>
        <w:t>Results</w:t>
      </w:r>
    </w:p>
    <w:p w14:paraId="41D07CD6" w14:textId="77777777" w:rsidR="00733FCA" w:rsidRPr="006777E6" w:rsidRDefault="00733FCA" w:rsidP="00B16199">
      <w:pPr>
        <w:rPr>
          <w:rFonts w:cs="Times New Roman"/>
          <w:b/>
          <w:i/>
          <w:sz w:val="26"/>
          <w:szCs w:val="26"/>
        </w:rPr>
      </w:pPr>
      <w:r w:rsidRPr="006777E6">
        <w:rPr>
          <w:rFonts w:cs="Times New Roman"/>
          <w:b/>
          <w:i/>
          <w:sz w:val="26"/>
          <w:szCs w:val="26"/>
        </w:rPr>
        <w:t>Study sample</w:t>
      </w:r>
    </w:p>
    <w:p w14:paraId="7651F495" w14:textId="0ABF9A94" w:rsidR="008679F9" w:rsidRDefault="000E1AD9" w:rsidP="00B16199">
      <w:pPr>
        <w:ind w:firstLine="720"/>
        <w:rPr>
          <w:rFonts w:cs="Times New Roman"/>
        </w:rPr>
      </w:pPr>
      <w:r w:rsidRPr="008614C4">
        <w:rPr>
          <w:rFonts w:cs="Times New Roman"/>
        </w:rPr>
        <w:t xml:space="preserve">Out of the 951 patients in the study, we used listwise deletion to exclude 47 patients due to missing measurements in the variables of interest, resulting in 904 remaining patients. </w:t>
      </w:r>
      <w:r w:rsidR="008679F9" w:rsidRPr="008614C4">
        <w:rPr>
          <w:rFonts w:cs="Times New Roman"/>
        </w:rPr>
        <w:t xml:space="preserve">There were no significant differences between the </w:t>
      </w:r>
      <w:r w:rsidR="00AA1A2F">
        <w:rPr>
          <w:rFonts w:cs="Times New Roman"/>
        </w:rPr>
        <w:t>included</w:t>
      </w:r>
      <w:r w:rsidR="008679F9" w:rsidRPr="008614C4">
        <w:rPr>
          <w:rFonts w:cs="Times New Roman"/>
        </w:rPr>
        <w:t xml:space="preserve"> and </w:t>
      </w:r>
      <w:r w:rsidR="00AA1A2F">
        <w:rPr>
          <w:rFonts w:cs="Times New Roman"/>
        </w:rPr>
        <w:t>excluded</w:t>
      </w:r>
      <w:r w:rsidR="008679F9" w:rsidRPr="008614C4">
        <w:rPr>
          <w:rFonts w:cs="Times New Roman"/>
        </w:rPr>
        <w:t xml:space="preserve"> groups </w:t>
      </w:r>
      <w:r w:rsidR="003D5035">
        <w:rPr>
          <w:rFonts w:cs="Times New Roman"/>
        </w:rPr>
        <w:t>with respect</w:t>
      </w:r>
      <w:r w:rsidR="008679F9" w:rsidRPr="008614C4">
        <w:rPr>
          <w:rFonts w:cs="Times New Roman"/>
        </w:rPr>
        <w:t xml:space="preserve"> to</w:t>
      </w:r>
      <w:r w:rsidR="0091038D">
        <w:rPr>
          <w:rFonts w:cs="Times New Roman"/>
        </w:rPr>
        <w:t xml:space="preserve"> </w:t>
      </w:r>
      <w:r w:rsidR="00FD1B87">
        <w:rPr>
          <w:rFonts w:cs="Times New Roman"/>
        </w:rPr>
        <w:t xml:space="preserve">age, </w:t>
      </w:r>
      <w:r w:rsidR="008679F9" w:rsidRPr="008614C4">
        <w:rPr>
          <w:rFonts w:cs="Times New Roman"/>
        </w:rPr>
        <w:t xml:space="preserve">sex, </w:t>
      </w:r>
      <w:r w:rsidR="00137374">
        <w:rPr>
          <w:rFonts w:cs="Times New Roman"/>
        </w:rPr>
        <w:t>disease</w:t>
      </w:r>
      <w:r w:rsidR="008679F9" w:rsidRPr="008614C4">
        <w:rPr>
          <w:rFonts w:cs="Times New Roman"/>
        </w:rPr>
        <w:t xml:space="preserve"> duration, and HY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Cambria Math" w:hAnsi="Cambria Math" w:cs="Times New Roman"/>
          </w:rPr>
          <m:t>≥0.19</m:t>
        </m:r>
      </m:oMath>
      <w:r w:rsidR="008679F9" w:rsidRPr="008614C4">
        <w:rPr>
          <w:rFonts w:cs="Times New Roman"/>
        </w:rPr>
        <w:t>). The characteristics of the sample included for analysis (</w:t>
      </w:r>
      <m:oMath>
        <m:r>
          <w:rPr>
            <w:rFonts w:ascii="Cambria Math" w:hAnsi="Cambria Math" w:cs="Times New Roman"/>
          </w:rPr>
          <m:t>n=904</m:t>
        </m:r>
      </m:oMath>
      <w:r w:rsidR="008679F9" w:rsidRPr="008614C4">
        <w:rPr>
          <w:rFonts w:cs="Times New Roman"/>
        </w:rPr>
        <w:t xml:space="preserve">) are displayed </w:t>
      </w:r>
      <w:r w:rsidR="006B0A4F">
        <w:rPr>
          <w:rFonts w:cs="Times New Roman"/>
        </w:rPr>
        <w:t>in</w:t>
      </w:r>
      <w:r w:rsidR="008679F9" w:rsidRPr="008614C4">
        <w:rPr>
          <w:rFonts w:cs="Times New Roman"/>
        </w:rPr>
        <w:t xml:space="preserve"> Table </w:t>
      </w:r>
      <w:r w:rsidR="001966C5" w:rsidRPr="008614C4">
        <w:rPr>
          <w:rFonts w:cs="Times New Roman"/>
        </w:rPr>
        <w:t>1. Patients</w:t>
      </w:r>
      <w:r w:rsidR="0091038D">
        <w:rPr>
          <w:rFonts w:cs="Times New Roman"/>
        </w:rPr>
        <w:t xml:space="preserve"> </w:t>
      </w:r>
      <w:r w:rsidR="00244A81">
        <w:rPr>
          <w:rFonts w:cs="Times New Roman"/>
        </w:rPr>
        <w:t xml:space="preserve">were predominantly </w:t>
      </w:r>
      <w:r w:rsidR="0072743F">
        <w:rPr>
          <w:rFonts w:cs="Times New Roman"/>
        </w:rPr>
        <w:t>male</w:t>
      </w:r>
      <w:r w:rsidR="00244A81">
        <w:rPr>
          <w:rFonts w:cs="Times New Roman"/>
        </w:rPr>
        <w:t xml:space="preserve"> (62.17</w:t>
      </w:r>
      <w:r w:rsidR="00244A81" w:rsidRPr="008614C4">
        <w:rPr>
          <w:rFonts w:cs="Times New Roman"/>
        </w:rPr>
        <w:t>%)</w:t>
      </w:r>
      <w:r w:rsidR="00A132A4">
        <w:rPr>
          <w:rFonts w:cs="Times New Roman"/>
        </w:rPr>
        <w:t xml:space="preserve">. </w:t>
      </w:r>
      <w:r w:rsidR="00244A81" w:rsidRPr="008614C4">
        <w:rPr>
          <w:rFonts w:cs="Times New Roman"/>
        </w:rPr>
        <w:t>13.38% were in HY stage 1; 43.36% in stage 2; 29.65% in stage 3; 11.50% in s</w:t>
      </w:r>
      <w:r w:rsidR="00244A81">
        <w:rPr>
          <w:rFonts w:cs="Times New Roman"/>
        </w:rPr>
        <w:t>tage 4; and 2.10% in stage 5.</w:t>
      </w:r>
    </w:p>
    <w:p w14:paraId="4120E5F9" w14:textId="77777777" w:rsidR="00E4394C" w:rsidRDefault="00E4394C" w:rsidP="00B16199">
      <w:pPr>
        <w:rPr>
          <w:rFonts w:cs="Times New Roman"/>
        </w:rPr>
      </w:pPr>
    </w:p>
    <w:p w14:paraId="26236663" w14:textId="77777777" w:rsidR="00E34BFA" w:rsidRPr="00E34BFA" w:rsidRDefault="00E34BFA" w:rsidP="00B16199">
      <w:pPr>
        <w:pStyle w:val="Caption"/>
        <w:keepNext/>
        <w:rPr>
          <w:color w:val="000000" w:themeColor="text1"/>
          <w:sz w:val="20"/>
          <w:szCs w:val="20"/>
        </w:rPr>
      </w:pPr>
      <w:r w:rsidRPr="00E34BFA">
        <w:rPr>
          <w:color w:val="000000" w:themeColor="text1"/>
          <w:sz w:val="20"/>
          <w:szCs w:val="20"/>
        </w:rPr>
        <w:t xml:space="preserve">Table </w:t>
      </w:r>
      <w:r w:rsidR="00844FC4" w:rsidRPr="00E34BFA">
        <w:rPr>
          <w:color w:val="000000" w:themeColor="text1"/>
          <w:sz w:val="20"/>
          <w:szCs w:val="20"/>
        </w:rPr>
        <w:fldChar w:fldCharType="begin"/>
      </w:r>
      <w:r w:rsidRPr="00E34BFA">
        <w:rPr>
          <w:color w:val="000000" w:themeColor="text1"/>
          <w:sz w:val="20"/>
          <w:szCs w:val="20"/>
        </w:rPr>
        <w:instrText xml:space="preserve"> SEQ Table \* ARABIC </w:instrText>
      </w:r>
      <w:r w:rsidR="00844FC4" w:rsidRPr="00E34BFA">
        <w:rPr>
          <w:color w:val="000000" w:themeColor="text1"/>
          <w:sz w:val="20"/>
          <w:szCs w:val="20"/>
        </w:rPr>
        <w:fldChar w:fldCharType="separate"/>
      </w:r>
      <w:r w:rsidR="000A20E2">
        <w:rPr>
          <w:noProof/>
          <w:color w:val="000000" w:themeColor="text1"/>
          <w:sz w:val="20"/>
          <w:szCs w:val="20"/>
        </w:rPr>
        <w:t>1</w:t>
      </w:r>
      <w:r w:rsidR="00844FC4" w:rsidRPr="00E34BFA">
        <w:rPr>
          <w:color w:val="000000" w:themeColor="text1"/>
          <w:sz w:val="20"/>
          <w:szCs w:val="20"/>
        </w:rPr>
        <w:fldChar w:fldCharType="end"/>
      </w:r>
      <w:r w:rsidRPr="00E34BFA">
        <w:rPr>
          <w:color w:val="000000" w:themeColor="text1"/>
          <w:sz w:val="20"/>
          <w:szCs w:val="20"/>
        </w:rPr>
        <w:t>.</w:t>
      </w:r>
      <w:r w:rsidR="0091038D">
        <w:rPr>
          <w:color w:val="000000" w:themeColor="text1"/>
          <w:sz w:val="20"/>
          <w:szCs w:val="20"/>
        </w:rPr>
        <w:t xml:space="preserve"> </w:t>
      </w:r>
      <w:r w:rsidRPr="00E34BFA">
        <w:rPr>
          <w:i w:val="0"/>
          <w:color w:val="000000" w:themeColor="text1"/>
          <w:sz w:val="20"/>
          <w:szCs w:val="20"/>
        </w:rPr>
        <w:t>Description of the sample.</w:t>
      </w:r>
    </w:p>
    <w:tbl>
      <w:tblPr>
        <w:tblStyle w:val="Tablanormal31"/>
        <w:tblW w:w="0" w:type="auto"/>
        <w:tblLook w:val="0600" w:firstRow="0" w:lastRow="0" w:firstColumn="0" w:lastColumn="0" w:noHBand="1" w:noVBand="1"/>
      </w:tblPr>
      <w:tblGrid>
        <w:gridCol w:w="4182"/>
        <w:gridCol w:w="1222"/>
        <w:gridCol w:w="1092"/>
        <w:gridCol w:w="1119"/>
        <w:gridCol w:w="1105"/>
      </w:tblGrid>
      <w:tr w:rsidR="00171A2C" w:rsidRPr="00171A2C" w14:paraId="45F2A966" w14:textId="77777777" w:rsidTr="003F662E">
        <w:tc>
          <w:tcPr>
            <w:tcW w:w="4182" w:type="dxa"/>
            <w:tcBorders>
              <w:top w:val="single" w:sz="4" w:space="0" w:color="000000"/>
              <w:bottom w:val="single" w:sz="4" w:space="0" w:color="auto"/>
            </w:tcBorders>
          </w:tcPr>
          <w:p w14:paraId="371BB124" w14:textId="77777777" w:rsidR="00171A2C" w:rsidRPr="00171A2C" w:rsidRDefault="00171A2C" w:rsidP="00B16199">
            <w:pPr>
              <w:spacing w:before="120" w:after="120"/>
              <w:rPr>
                <w:sz w:val="20"/>
                <w:szCs w:val="20"/>
                <w:lang w:val="en-GB"/>
              </w:rPr>
            </w:pPr>
          </w:p>
        </w:tc>
        <w:tc>
          <w:tcPr>
            <w:tcW w:w="1222" w:type="dxa"/>
            <w:tcBorders>
              <w:top w:val="single" w:sz="4" w:space="0" w:color="000000"/>
              <w:bottom w:val="single" w:sz="4" w:space="0" w:color="auto"/>
            </w:tcBorders>
          </w:tcPr>
          <w:p w14:paraId="3C678F5D" w14:textId="77777777" w:rsidR="00171A2C" w:rsidRPr="00E34BFA" w:rsidRDefault="00171A2C" w:rsidP="00B16199">
            <w:pPr>
              <w:spacing w:before="120" w:after="120"/>
              <w:rPr>
                <w:sz w:val="20"/>
                <w:szCs w:val="20"/>
                <w:lang w:val="en-GB"/>
              </w:rPr>
            </w:pPr>
            <w:r w:rsidRPr="00E34BFA">
              <w:rPr>
                <w:sz w:val="20"/>
                <w:szCs w:val="20"/>
                <w:lang w:val="en-GB"/>
              </w:rPr>
              <w:t>Mean</w:t>
            </w:r>
          </w:p>
        </w:tc>
        <w:tc>
          <w:tcPr>
            <w:tcW w:w="1092" w:type="dxa"/>
            <w:tcBorders>
              <w:top w:val="single" w:sz="4" w:space="0" w:color="000000"/>
              <w:bottom w:val="single" w:sz="4" w:space="0" w:color="auto"/>
            </w:tcBorders>
          </w:tcPr>
          <w:p w14:paraId="6BF3C217" w14:textId="77777777" w:rsidR="00171A2C" w:rsidRPr="00E34BFA" w:rsidRDefault="00171A2C" w:rsidP="00B16199">
            <w:pPr>
              <w:spacing w:before="120" w:after="120"/>
              <w:rPr>
                <w:sz w:val="20"/>
                <w:szCs w:val="20"/>
                <w:lang w:val="en-GB"/>
              </w:rPr>
            </w:pPr>
            <w:r w:rsidRPr="00E34BFA">
              <w:rPr>
                <w:sz w:val="20"/>
                <w:szCs w:val="20"/>
                <w:lang w:val="en-GB"/>
              </w:rPr>
              <w:t>SD</w:t>
            </w:r>
          </w:p>
        </w:tc>
        <w:tc>
          <w:tcPr>
            <w:tcW w:w="1119" w:type="dxa"/>
            <w:tcBorders>
              <w:top w:val="single" w:sz="4" w:space="0" w:color="000000"/>
              <w:bottom w:val="single" w:sz="4" w:space="0" w:color="auto"/>
            </w:tcBorders>
          </w:tcPr>
          <w:p w14:paraId="0169EE5C" w14:textId="77777777" w:rsidR="00171A2C" w:rsidRPr="00E34BFA" w:rsidRDefault="00171A2C" w:rsidP="00B16199">
            <w:pPr>
              <w:spacing w:before="120" w:after="120"/>
              <w:rPr>
                <w:sz w:val="20"/>
                <w:szCs w:val="20"/>
                <w:lang w:val="en-GB"/>
              </w:rPr>
            </w:pPr>
            <w:r w:rsidRPr="00E34BFA">
              <w:rPr>
                <w:sz w:val="20"/>
                <w:szCs w:val="20"/>
                <w:lang w:val="en-GB"/>
              </w:rPr>
              <w:t>Median</w:t>
            </w:r>
          </w:p>
        </w:tc>
        <w:tc>
          <w:tcPr>
            <w:tcW w:w="1105" w:type="dxa"/>
            <w:tcBorders>
              <w:top w:val="single" w:sz="4" w:space="0" w:color="000000"/>
              <w:bottom w:val="single" w:sz="4" w:space="0" w:color="auto"/>
            </w:tcBorders>
          </w:tcPr>
          <w:p w14:paraId="57E9F897" w14:textId="77777777" w:rsidR="00171A2C" w:rsidRPr="00E34BFA" w:rsidRDefault="00171A2C" w:rsidP="00B16199">
            <w:pPr>
              <w:spacing w:before="120" w:after="120"/>
              <w:rPr>
                <w:sz w:val="20"/>
                <w:szCs w:val="20"/>
                <w:lang w:val="en-GB"/>
              </w:rPr>
            </w:pPr>
            <w:r w:rsidRPr="00E34BFA">
              <w:rPr>
                <w:sz w:val="20"/>
                <w:szCs w:val="20"/>
                <w:lang w:val="en-GB"/>
              </w:rPr>
              <w:t>Range</w:t>
            </w:r>
          </w:p>
        </w:tc>
      </w:tr>
      <w:tr w:rsidR="00171A2C" w:rsidRPr="00171A2C" w14:paraId="18DB671E" w14:textId="77777777" w:rsidTr="00E34BFA">
        <w:tc>
          <w:tcPr>
            <w:tcW w:w="4182" w:type="dxa"/>
            <w:tcBorders>
              <w:top w:val="single" w:sz="4" w:space="0" w:color="auto"/>
            </w:tcBorders>
          </w:tcPr>
          <w:p w14:paraId="09598C9E" w14:textId="77777777" w:rsidR="00171A2C" w:rsidRPr="00171A2C" w:rsidRDefault="00171A2C" w:rsidP="00B16199">
            <w:pPr>
              <w:spacing w:before="60" w:after="60"/>
              <w:rPr>
                <w:sz w:val="20"/>
                <w:szCs w:val="20"/>
                <w:lang w:val="en-GB"/>
              </w:rPr>
            </w:pPr>
            <w:r w:rsidRPr="00171A2C">
              <w:rPr>
                <w:sz w:val="20"/>
                <w:szCs w:val="20"/>
                <w:lang w:val="en-GB"/>
              </w:rPr>
              <w:t>Age at study</w:t>
            </w:r>
          </w:p>
        </w:tc>
        <w:tc>
          <w:tcPr>
            <w:tcW w:w="1222" w:type="dxa"/>
            <w:tcBorders>
              <w:top w:val="single" w:sz="4" w:space="0" w:color="auto"/>
            </w:tcBorders>
          </w:tcPr>
          <w:p w14:paraId="4B7445B7" w14:textId="77777777" w:rsidR="00171A2C" w:rsidRPr="00171A2C" w:rsidRDefault="00171A2C" w:rsidP="00B16199">
            <w:pPr>
              <w:spacing w:before="60" w:after="60"/>
              <w:rPr>
                <w:sz w:val="20"/>
                <w:szCs w:val="20"/>
                <w:lang w:val="en-GB"/>
              </w:rPr>
            </w:pPr>
            <w:r w:rsidRPr="00171A2C">
              <w:rPr>
                <w:sz w:val="20"/>
                <w:szCs w:val="20"/>
                <w:lang w:val="en-GB"/>
              </w:rPr>
              <w:t>64.28</w:t>
            </w:r>
          </w:p>
        </w:tc>
        <w:tc>
          <w:tcPr>
            <w:tcW w:w="1092" w:type="dxa"/>
            <w:tcBorders>
              <w:top w:val="single" w:sz="4" w:space="0" w:color="auto"/>
            </w:tcBorders>
          </w:tcPr>
          <w:p w14:paraId="46A35FC9" w14:textId="77777777" w:rsidR="00171A2C" w:rsidRPr="00171A2C" w:rsidRDefault="00171A2C" w:rsidP="00B16199">
            <w:pPr>
              <w:spacing w:before="60" w:after="60"/>
              <w:rPr>
                <w:sz w:val="20"/>
                <w:szCs w:val="20"/>
                <w:lang w:val="en-GB"/>
              </w:rPr>
            </w:pPr>
            <w:r w:rsidRPr="00171A2C">
              <w:rPr>
                <w:sz w:val="20"/>
                <w:szCs w:val="20"/>
                <w:lang w:val="en-GB"/>
              </w:rPr>
              <w:t>9.86</w:t>
            </w:r>
          </w:p>
        </w:tc>
        <w:tc>
          <w:tcPr>
            <w:tcW w:w="1119" w:type="dxa"/>
            <w:tcBorders>
              <w:top w:val="single" w:sz="4" w:space="0" w:color="auto"/>
            </w:tcBorders>
          </w:tcPr>
          <w:p w14:paraId="049E87DA" w14:textId="77777777" w:rsidR="00171A2C" w:rsidRPr="00171A2C" w:rsidRDefault="00171A2C" w:rsidP="00B16199">
            <w:pPr>
              <w:spacing w:before="60" w:after="60"/>
              <w:rPr>
                <w:sz w:val="20"/>
                <w:szCs w:val="20"/>
                <w:lang w:val="en-GB"/>
              </w:rPr>
            </w:pPr>
            <w:r w:rsidRPr="00171A2C">
              <w:rPr>
                <w:sz w:val="20"/>
                <w:szCs w:val="20"/>
                <w:lang w:val="en-GB"/>
              </w:rPr>
              <w:t>65</w:t>
            </w:r>
          </w:p>
        </w:tc>
        <w:tc>
          <w:tcPr>
            <w:tcW w:w="1105" w:type="dxa"/>
            <w:tcBorders>
              <w:top w:val="single" w:sz="4" w:space="0" w:color="auto"/>
            </w:tcBorders>
          </w:tcPr>
          <w:p w14:paraId="50CE63E7" w14:textId="77777777" w:rsidR="00171A2C" w:rsidRPr="00171A2C" w:rsidRDefault="00171A2C" w:rsidP="00B16199">
            <w:pPr>
              <w:spacing w:before="60" w:after="60"/>
              <w:rPr>
                <w:sz w:val="20"/>
                <w:szCs w:val="20"/>
                <w:lang w:val="en-GB"/>
              </w:rPr>
            </w:pPr>
            <w:r w:rsidRPr="00171A2C">
              <w:rPr>
                <w:sz w:val="20"/>
                <w:szCs w:val="20"/>
                <w:lang w:val="en-GB"/>
              </w:rPr>
              <w:t xml:space="preserve">34 – 89 </w:t>
            </w:r>
          </w:p>
        </w:tc>
      </w:tr>
      <w:tr w:rsidR="00171A2C" w:rsidRPr="00171A2C" w14:paraId="7BC3E96F" w14:textId="77777777" w:rsidTr="00E34BFA">
        <w:trPr>
          <w:trHeight w:val="504"/>
        </w:trPr>
        <w:tc>
          <w:tcPr>
            <w:tcW w:w="4182" w:type="dxa"/>
          </w:tcPr>
          <w:p w14:paraId="340FA757" w14:textId="77777777" w:rsidR="00171A2C" w:rsidRPr="00171A2C" w:rsidRDefault="00171A2C" w:rsidP="00B16199">
            <w:pPr>
              <w:spacing w:before="60" w:after="60"/>
              <w:rPr>
                <w:sz w:val="20"/>
                <w:szCs w:val="20"/>
                <w:lang w:val="en-GB"/>
              </w:rPr>
            </w:pPr>
            <w:r w:rsidRPr="00171A2C">
              <w:rPr>
                <w:sz w:val="20"/>
                <w:szCs w:val="20"/>
                <w:lang w:val="en-GB"/>
              </w:rPr>
              <w:t>Age at onset of Parkinson’s disease</w:t>
            </w:r>
            <w:r>
              <w:rPr>
                <w:sz w:val="20"/>
                <w:szCs w:val="20"/>
                <w:lang w:val="en-GB"/>
              </w:rPr>
              <w:t xml:space="preserve"> (PD onset)</w:t>
            </w:r>
          </w:p>
        </w:tc>
        <w:tc>
          <w:tcPr>
            <w:tcW w:w="1222" w:type="dxa"/>
          </w:tcPr>
          <w:p w14:paraId="57938C58" w14:textId="77777777" w:rsidR="00171A2C" w:rsidRPr="00171A2C" w:rsidRDefault="00171A2C" w:rsidP="00B16199">
            <w:pPr>
              <w:spacing w:before="60" w:after="60"/>
              <w:rPr>
                <w:sz w:val="20"/>
                <w:szCs w:val="20"/>
                <w:lang w:val="en-GB"/>
              </w:rPr>
            </w:pPr>
            <w:r w:rsidRPr="00171A2C">
              <w:rPr>
                <w:sz w:val="20"/>
                <w:szCs w:val="20"/>
                <w:lang w:val="en-GB"/>
              </w:rPr>
              <w:t>56.27</w:t>
            </w:r>
          </w:p>
        </w:tc>
        <w:tc>
          <w:tcPr>
            <w:tcW w:w="1092" w:type="dxa"/>
          </w:tcPr>
          <w:p w14:paraId="527C00B5" w14:textId="77777777" w:rsidR="00171A2C" w:rsidRPr="00171A2C" w:rsidRDefault="00171A2C" w:rsidP="00B16199">
            <w:pPr>
              <w:spacing w:before="60" w:after="60"/>
              <w:rPr>
                <w:sz w:val="20"/>
                <w:szCs w:val="20"/>
                <w:lang w:val="en-GB"/>
              </w:rPr>
            </w:pPr>
            <w:r w:rsidRPr="00171A2C">
              <w:rPr>
                <w:sz w:val="20"/>
                <w:szCs w:val="20"/>
                <w:lang w:val="en-GB"/>
              </w:rPr>
              <w:t>10.72</w:t>
            </w:r>
          </w:p>
        </w:tc>
        <w:tc>
          <w:tcPr>
            <w:tcW w:w="1119" w:type="dxa"/>
          </w:tcPr>
          <w:p w14:paraId="7A33F971" w14:textId="77777777" w:rsidR="00171A2C" w:rsidRPr="00171A2C" w:rsidRDefault="00171A2C" w:rsidP="00B16199">
            <w:pPr>
              <w:spacing w:before="60" w:after="60"/>
              <w:rPr>
                <w:sz w:val="20"/>
                <w:szCs w:val="20"/>
                <w:lang w:val="en-GB"/>
              </w:rPr>
            </w:pPr>
            <w:r w:rsidRPr="00171A2C">
              <w:rPr>
                <w:sz w:val="20"/>
                <w:szCs w:val="20"/>
                <w:lang w:val="en-GB"/>
              </w:rPr>
              <w:t>57</w:t>
            </w:r>
          </w:p>
        </w:tc>
        <w:tc>
          <w:tcPr>
            <w:tcW w:w="1105" w:type="dxa"/>
          </w:tcPr>
          <w:p w14:paraId="36F54E26" w14:textId="77777777" w:rsidR="00171A2C" w:rsidRPr="00171A2C" w:rsidRDefault="00171A2C" w:rsidP="00B16199">
            <w:pPr>
              <w:spacing w:before="60" w:after="60"/>
              <w:rPr>
                <w:sz w:val="20"/>
                <w:szCs w:val="20"/>
                <w:lang w:val="en-GB"/>
              </w:rPr>
            </w:pPr>
            <w:r w:rsidRPr="00171A2C">
              <w:rPr>
                <w:sz w:val="20"/>
                <w:szCs w:val="20"/>
                <w:lang w:val="en-GB"/>
              </w:rPr>
              <w:t xml:space="preserve">25 – 89 </w:t>
            </w:r>
          </w:p>
        </w:tc>
      </w:tr>
      <w:tr w:rsidR="00171A2C" w:rsidRPr="00171A2C" w14:paraId="0A3FB3F2" w14:textId="77777777" w:rsidTr="00E34BFA">
        <w:tc>
          <w:tcPr>
            <w:tcW w:w="4182" w:type="dxa"/>
            <w:tcBorders>
              <w:bottom w:val="single" w:sz="4" w:space="0" w:color="000000"/>
            </w:tcBorders>
          </w:tcPr>
          <w:p w14:paraId="25DF3B2A" w14:textId="77777777" w:rsidR="00171A2C" w:rsidRPr="00171A2C" w:rsidRDefault="00171A2C" w:rsidP="00B16199">
            <w:pPr>
              <w:spacing w:before="60" w:after="60"/>
              <w:rPr>
                <w:sz w:val="20"/>
                <w:szCs w:val="20"/>
                <w:lang w:val="en-GB"/>
              </w:rPr>
            </w:pPr>
            <w:r w:rsidRPr="00171A2C">
              <w:rPr>
                <w:sz w:val="20"/>
                <w:szCs w:val="20"/>
                <w:lang w:val="en-GB"/>
              </w:rPr>
              <w:t>Duration of the disease</w:t>
            </w:r>
            <w:r>
              <w:rPr>
                <w:sz w:val="20"/>
                <w:szCs w:val="20"/>
                <w:lang w:val="en-GB"/>
              </w:rPr>
              <w:t xml:space="preserve"> (PD duration)</w:t>
            </w:r>
          </w:p>
        </w:tc>
        <w:tc>
          <w:tcPr>
            <w:tcW w:w="1222" w:type="dxa"/>
            <w:tcBorders>
              <w:bottom w:val="single" w:sz="4" w:space="0" w:color="000000"/>
            </w:tcBorders>
          </w:tcPr>
          <w:p w14:paraId="7FED8D33" w14:textId="77777777" w:rsidR="00171A2C" w:rsidRPr="00171A2C" w:rsidRDefault="00171A2C" w:rsidP="00B16199">
            <w:pPr>
              <w:spacing w:before="60" w:after="60"/>
              <w:rPr>
                <w:sz w:val="20"/>
                <w:szCs w:val="20"/>
                <w:lang w:val="en-GB"/>
              </w:rPr>
            </w:pPr>
            <w:r w:rsidRPr="00171A2C">
              <w:rPr>
                <w:sz w:val="20"/>
                <w:szCs w:val="20"/>
                <w:lang w:val="en-GB"/>
              </w:rPr>
              <w:t>8.01</w:t>
            </w:r>
          </w:p>
        </w:tc>
        <w:tc>
          <w:tcPr>
            <w:tcW w:w="1092" w:type="dxa"/>
            <w:tcBorders>
              <w:bottom w:val="single" w:sz="4" w:space="0" w:color="000000"/>
            </w:tcBorders>
          </w:tcPr>
          <w:p w14:paraId="574EE0A7" w14:textId="77777777" w:rsidR="00171A2C" w:rsidRPr="00171A2C" w:rsidRDefault="00171A2C" w:rsidP="00B16199">
            <w:pPr>
              <w:spacing w:before="60" w:after="60"/>
              <w:rPr>
                <w:sz w:val="20"/>
                <w:szCs w:val="20"/>
                <w:lang w:val="en-GB"/>
              </w:rPr>
            </w:pPr>
            <w:r w:rsidRPr="00171A2C">
              <w:rPr>
                <w:sz w:val="20"/>
                <w:szCs w:val="20"/>
                <w:lang w:val="en-GB"/>
              </w:rPr>
              <w:t>5.80</w:t>
            </w:r>
          </w:p>
        </w:tc>
        <w:tc>
          <w:tcPr>
            <w:tcW w:w="1119" w:type="dxa"/>
            <w:tcBorders>
              <w:bottom w:val="single" w:sz="4" w:space="0" w:color="000000"/>
            </w:tcBorders>
          </w:tcPr>
          <w:p w14:paraId="080D3BB7" w14:textId="77777777" w:rsidR="00171A2C" w:rsidRPr="00171A2C" w:rsidRDefault="00171A2C" w:rsidP="00B16199">
            <w:pPr>
              <w:spacing w:before="60" w:after="60"/>
              <w:rPr>
                <w:sz w:val="20"/>
                <w:szCs w:val="20"/>
                <w:lang w:val="en-GB"/>
              </w:rPr>
            </w:pPr>
            <w:r w:rsidRPr="00171A2C">
              <w:rPr>
                <w:sz w:val="20"/>
                <w:szCs w:val="20"/>
                <w:lang w:val="en-GB"/>
              </w:rPr>
              <w:t>7</w:t>
            </w:r>
          </w:p>
        </w:tc>
        <w:tc>
          <w:tcPr>
            <w:tcW w:w="1105" w:type="dxa"/>
            <w:tcBorders>
              <w:bottom w:val="single" w:sz="4" w:space="0" w:color="000000"/>
            </w:tcBorders>
          </w:tcPr>
          <w:p w14:paraId="7EB8952C" w14:textId="77777777" w:rsidR="00171A2C" w:rsidRPr="00171A2C" w:rsidRDefault="00171A2C" w:rsidP="00B16199">
            <w:pPr>
              <w:spacing w:before="60" w:after="60"/>
              <w:rPr>
                <w:sz w:val="20"/>
                <w:szCs w:val="20"/>
                <w:lang w:val="en-GB"/>
              </w:rPr>
            </w:pPr>
            <w:r w:rsidRPr="00171A2C">
              <w:rPr>
                <w:sz w:val="20"/>
                <w:szCs w:val="20"/>
                <w:lang w:val="en-GB"/>
              </w:rPr>
              <w:t xml:space="preserve">0 – 40 </w:t>
            </w:r>
          </w:p>
        </w:tc>
      </w:tr>
      <w:tr w:rsidR="00171A2C" w:rsidRPr="00171A2C" w14:paraId="092CD608" w14:textId="77777777" w:rsidTr="00E34BFA">
        <w:tc>
          <w:tcPr>
            <w:tcW w:w="4182" w:type="dxa"/>
            <w:tcBorders>
              <w:top w:val="single" w:sz="4" w:space="0" w:color="000000"/>
            </w:tcBorders>
          </w:tcPr>
          <w:p w14:paraId="48E7013D" w14:textId="77777777" w:rsidR="00171A2C" w:rsidRPr="00171A2C" w:rsidRDefault="00171A2C" w:rsidP="00B16199">
            <w:pPr>
              <w:spacing w:before="60" w:after="60"/>
              <w:rPr>
                <w:sz w:val="20"/>
                <w:szCs w:val="20"/>
                <w:lang w:val="en-GB"/>
              </w:rPr>
            </w:pPr>
            <w:r w:rsidRPr="00171A2C">
              <w:rPr>
                <w:sz w:val="20"/>
                <w:szCs w:val="20"/>
                <w:lang w:val="en-GB"/>
              </w:rPr>
              <w:t>Non-Motor Symptoms Scale total score</w:t>
            </w:r>
          </w:p>
        </w:tc>
        <w:tc>
          <w:tcPr>
            <w:tcW w:w="1222" w:type="dxa"/>
            <w:tcBorders>
              <w:top w:val="single" w:sz="4" w:space="0" w:color="000000"/>
            </w:tcBorders>
          </w:tcPr>
          <w:p w14:paraId="61274F15" w14:textId="77777777" w:rsidR="00171A2C" w:rsidRPr="00171A2C" w:rsidRDefault="00171A2C" w:rsidP="00B16199">
            <w:pPr>
              <w:spacing w:before="60" w:after="60"/>
              <w:rPr>
                <w:sz w:val="20"/>
                <w:szCs w:val="20"/>
                <w:lang w:val="en-GB"/>
              </w:rPr>
            </w:pPr>
            <w:r w:rsidRPr="00171A2C">
              <w:rPr>
                <w:sz w:val="20"/>
                <w:szCs w:val="20"/>
                <w:lang w:val="en-GB"/>
              </w:rPr>
              <w:t>50.45</w:t>
            </w:r>
          </w:p>
        </w:tc>
        <w:tc>
          <w:tcPr>
            <w:tcW w:w="1092" w:type="dxa"/>
            <w:tcBorders>
              <w:top w:val="single" w:sz="4" w:space="0" w:color="000000"/>
            </w:tcBorders>
          </w:tcPr>
          <w:p w14:paraId="3C11D53C" w14:textId="77777777" w:rsidR="00171A2C" w:rsidRPr="00171A2C" w:rsidRDefault="00171A2C" w:rsidP="00B16199">
            <w:pPr>
              <w:spacing w:before="60" w:after="60"/>
              <w:rPr>
                <w:sz w:val="20"/>
                <w:szCs w:val="20"/>
                <w:lang w:val="en-GB"/>
              </w:rPr>
            </w:pPr>
            <w:r w:rsidRPr="00171A2C">
              <w:rPr>
                <w:sz w:val="20"/>
                <w:szCs w:val="20"/>
                <w:lang w:val="en-GB"/>
              </w:rPr>
              <w:t>41.72</w:t>
            </w:r>
          </w:p>
        </w:tc>
        <w:tc>
          <w:tcPr>
            <w:tcW w:w="1119" w:type="dxa"/>
            <w:tcBorders>
              <w:top w:val="single" w:sz="4" w:space="0" w:color="000000"/>
            </w:tcBorders>
          </w:tcPr>
          <w:p w14:paraId="132E3B43" w14:textId="77777777" w:rsidR="00171A2C" w:rsidRPr="00171A2C" w:rsidRDefault="00171A2C" w:rsidP="00B16199">
            <w:pPr>
              <w:spacing w:before="60" w:after="60"/>
              <w:rPr>
                <w:sz w:val="20"/>
                <w:szCs w:val="20"/>
                <w:lang w:val="en-GB"/>
              </w:rPr>
            </w:pPr>
            <w:r w:rsidRPr="00171A2C">
              <w:rPr>
                <w:sz w:val="20"/>
                <w:szCs w:val="20"/>
                <w:lang w:val="en-GB"/>
              </w:rPr>
              <w:t>39</w:t>
            </w:r>
          </w:p>
        </w:tc>
        <w:tc>
          <w:tcPr>
            <w:tcW w:w="1105" w:type="dxa"/>
            <w:tcBorders>
              <w:top w:val="single" w:sz="4" w:space="0" w:color="000000"/>
            </w:tcBorders>
          </w:tcPr>
          <w:p w14:paraId="6FA4325C" w14:textId="77777777" w:rsidR="00171A2C" w:rsidRPr="00171A2C" w:rsidRDefault="00171A2C" w:rsidP="00B16199">
            <w:pPr>
              <w:spacing w:before="60" w:after="60"/>
              <w:rPr>
                <w:sz w:val="20"/>
                <w:szCs w:val="20"/>
                <w:lang w:val="en-GB"/>
              </w:rPr>
            </w:pPr>
            <w:r w:rsidRPr="00171A2C">
              <w:rPr>
                <w:sz w:val="20"/>
                <w:szCs w:val="20"/>
                <w:lang w:val="en-GB"/>
              </w:rPr>
              <w:t xml:space="preserve">0 – 225 </w:t>
            </w:r>
          </w:p>
        </w:tc>
      </w:tr>
      <w:tr w:rsidR="00171A2C" w:rsidRPr="00171A2C" w14:paraId="406E7051" w14:textId="77777777" w:rsidTr="00E34BFA">
        <w:tc>
          <w:tcPr>
            <w:tcW w:w="4182" w:type="dxa"/>
            <w:tcBorders>
              <w:bottom w:val="single" w:sz="4" w:space="0" w:color="000000"/>
            </w:tcBorders>
          </w:tcPr>
          <w:p w14:paraId="181BA5E2" w14:textId="77777777" w:rsidR="00171A2C" w:rsidRPr="00171A2C" w:rsidRDefault="00171A2C" w:rsidP="00B16199">
            <w:pPr>
              <w:spacing w:before="60" w:after="60"/>
              <w:rPr>
                <w:sz w:val="20"/>
                <w:szCs w:val="20"/>
              </w:rPr>
            </w:pPr>
            <w:r w:rsidRPr="00171A2C">
              <w:rPr>
                <w:sz w:val="20"/>
                <w:szCs w:val="20"/>
              </w:rPr>
              <w:t xml:space="preserve">     Cardiovascular</w:t>
            </w:r>
          </w:p>
          <w:p w14:paraId="77B792AF" w14:textId="77777777" w:rsidR="00171A2C" w:rsidRPr="00171A2C" w:rsidRDefault="00171A2C" w:rsidP="00B16199">
            <w:pPr>
              <w:spacing w:before="60" w:after="60"/>
              <w:rPr>
                <w:sz w:val="20"/>
                <w:szCs w:val="20"/>
              </w:rPr>
            </w:pPr>
            <w:r w:rsidRPr="00171A2C">
              <w:rPr>
                <w:sz w:val="20"/>
                <w:szCs w:val="20"/>
              </w:rPr>
              <w:t xml:space="preserve">     Sleep/Fatigue</w:t>
            </w:r>
          </w:p>
          <w:p w14:paraId="58833DA2" w14:textId="77777777" w:rsidR="00171A2C" w:rsidRPr="00171A2C" w:rsidRDefault="00171A2C" w:rsidP="00B16199">
            <w:pPr>
              <w:spacing w:before="60" w:after="60"/>
              <w:rPr>
                <w:sz w:val="20"/>
                <w:szCs w:val="20"/>
              </w:rPr>
            </w:pPr>
            <w:r w:rsidRPr="00171A2C">
              <w:rPr>
                <w:sz w:val="20"/>
                <w:szCs w:val="20"/>
              </w:rPr>
              <w:t xml:space="preserve">     Mood/Apathy</w:t>
            </w:r>
          </w:p>
          <w:p w14:paraId="3DE045A5" w14:textId="77777777" w:rsidR="00171A2C" w:rsidRPr="00171A2C" w:rsidRDefault="00171A2C" w:rsidP="00B16199">
            <w:pPr>
              <w:spacing w:before="60" w:after="60"/>
              <w:rPr>
                <w:sz w:val="20"/>
                <w:szCs w:val="20"/>
              </w:rPr>
            </w:pPr>
            <w:r w:rsidRPr="00171A2C">
              <w:rPr>
                <w:sz w:val="20"/>
                <w:szCs w:val="20"/>
              </w:rPr>
              <w:t xml:space="preserve">     Perceptual problems/Hallucinations</w:t>
            </w:r>
          </w:p>
          <w:p w14:paraId="5FDCA3F4" w14:textId="77777777" w:rsidR="00171A2C" w:rsidRPr="00171A2C" w:rsidRDefault="00171A2C" w:rsidP="00B16199">
            <w:pPr>
              <w:spacing w:before="60" w:after="60"/>
              <w:rPr>
                <w:sz w:val="20"/>
                <w:szCs w:val="20"/>
              </w:rPr>
            </w:pPr>
            <w:r w:rsidRPr="00171A2C">
              <w:rPr>
                <w:sz w:val="20"/>
                <w:szCs w:val="20"/>
              </w:rPr>
              <w:t xml:space="preserve">     Attention/Memory</w:t>
            </w:r>
          </w:p>
          <w:p w14:paraId="2E8ABFC1" w14:textId="77777777" w:rsidR="00171A2C" w:rsidRPr="00171A2C" w:rsidRDefault="00171A2C" w:rsidP="00B16199">
            <w:pPr>
              <w:spacing w:before="60" w:after="60"/>
              <w:rPr>
                <w:sz w:val="20"/>
                <w:szCs w:val="20"/>
              </w:rPr>
            </w:pPr>
            <w:r w:rsidRPr="00171A2C">
              <w:rPr>
                <w:sz w:val="20"/>
                <w:szCs w:val="20"/>
              </w:rPr>
              <w:t xml:space="preserve">     Gastrointestinal</w:t>
            </w:r>
          </w:p>
          <w:p w14:paraId="1BEB091C" w14:textId="77777777" w:rsidR="00171A2C" w:rsidRPr="00171A2C" w:rsidRDefault="00171A2C" w:rsidP="00B16199">
            <w:pPr>
              <w:spacing w:before="60" w:after="60"/>
              <w:rPr>
                <w:sz w:val="20"/>
                <w:szCs w:val="20"/>
              </w:rPr>
            </w:pPr>
            <w:r w:rsidRPr="00171A2C">
              <w:rPr>
                <w:sz w:val="20"/>
                <w:szCs w:val="20"/>
              </w:rPr>
              <w:t xml:space="preserve">     Urinary</w:t>
            </w:r>
          </w:p>
          <w:p w14:paraId="22C94147" w14:textId="77777777" w:rsidR="00171A2C" w:rsidRPr="00171A2C" w:rsidRDefault="00171A2C" w:rsidP="00B16199">
            <w:pPr>
              <w:spacing w:before="60" w:after="60"/>
              <w:rPr>
                <w:sz w:val="20"/>
                <w:szCs w:val="20"/>
              </w:rPr>
            </w:pPr>
            <w:r w:rsidRPr="00171A2C">
              <w:rPr>
                <w:sz w:val="20"/>
                <w:szCs w:val="20"/>
              </w:rPr>
              <w:t xml:space="preserve">     Sexual function</w:t>
            </w:r>
          </w:p>
          <w:p w14:paraId="1DDA0CEC" w14:textId="77777777" w:rsidR="00171A2C" w:rsidRPr="00171A2C" w:rsidRDefault="00171A2C" w:rsidP="00B16199">
            <w:pPr>
              <w:spacing w:before="60" w:after="60"/>
              <w:rPr>
                <w:sz w:val="20"/>
                <w:szCs w:val="20"/>
                <w:lang w:val="en-GB"/>
              </w:rPr>
            </w:pPr>
            <w:r w:rsidRPr="00171A2C">
              <w:rPr>
                <w:sz w:val="20"/>
                <w:szCs w:val="20"/>
              </w:rPr>
              <w:t xml:space="preserve">     Miscellaneous</w:t>
            </w:r>
          </w:p>
        </w:tc>
        <w:tc>
          <w:tcPr>
            <w:tcW w:w="1222" w:type="dxa"/>
            <w:tcBorders>
              <w:bottom w:val="single" w:sz="4" w:space="0" w:color="000000"/>
            </w:tcBorders>
          </w:tcPr>
          <w:p w14:paraId="512E8230" w14:textId="77777777" w:rsidR="00171A2C" w:rsidRPr="00171A2C" w:rsidRDefault="00171A2C" w:rsidP="00B16199">
            <w:pPr>
              <w:spacing w:before="60" w:after="60"/>
              <w:rPr>
                <w:sz w:val="20"/>
                <w:szCs w:val="20"/>
                <w:lang w:val="en-GB"/>
              </w:rPr>
            </w:pPr>
            <w:r w:rsidRPr="00171A2C">
              <w:rPr>
                <w:sz w:val="20"/>
                <w:szCs w:val="20"/>
                <w:lang w:val="en-GB"/>
              </w:rPr>
              <w:t>1.74</w:t>
            </w:r>
          </w:p>
          <w:p w14:paraId="00455E15" w14:textId="77777777" w:rsidR="00171A2C" w:rsidRPr="00171A2C" w:rsidRDefault="00171A2C" w:rsidP="00B16199">
            <w:pPr>
              <w:spacing w:before="60" w:after="60"/>
              <w:rPr>
                <w:sz w:val="20"/>
                <w:szCs w:val="20"/>
                <w:lang w:val="en-GB"/>
              </w:rPr>
            </w:pPr>
            <w:r w:rsidRPr="00171A2C">
              <w:rPr>
                <w:sz w:val="20"/>
                <w:szCs w:val="20"/>
                <w:lang w:val="en-GB"/>
              </w:rPr>
              <w:t>8.76</w:t>
            </w:r>
          </w:p>
          <w:p w14:paraId="0036FBAA" w14:textId="77777777" w:rsidR="00171A2C" w:rsidRPr="00171A2C" w:rsidRDefault="00171A2C" w:rsidP="00B16199">
            <w:pPr>
              <w:spacing w:before="60" w:after="60"/>
              <w:rPr>
                <w:sz w:val="20"/>
                <w:szCs w:val="20"/>
                <w:lang w:val="en-GB"/>
              </w:rPr>
            </w:pPr>
            <w:r w:rsidRPr="00171A2C">
              <w:rPr>
                <w:sz w:val="20"/>
                <w:szCs w:val="20"/>
                <w:lang w:val="en-GB"/>
              </w:rPr>
              <w:t>8.67</w:t>
            </w:r>
          </w:p>
          <w:p w14:paraId="5861466E" w14:textId="77777777" w:rsidR="00171A2C" w:rsidRPr="00171A2C" w:rsidRDefault="00171A2C" w:rsidP="00B16199">
            <w:pPr>
              <w:spacing w:before="60" w:after="60"/>
              <w:rPr>
                <w:sz w:val="20"/>
                <w:szCs w:val="20"/>
                <w:lang w:val="en-GB"/>
              </w:rPr>
            </w:pPr>
            <w:r w:rsidRPr="00171A2C">
              <w:rPr>
                <w:sz w:val="20"/>
                <w:szCs w:val="20"/>
                <w:lang w:val="en-GB"/>
              </w:rPr>
              <w:t>1.64</w:t>
            </w:r>
          </w:p>
          <w:p w14:paraId="26D7CF7A" w14:textId="77777777" w:rsidR="00171A2C" w:rsidRPr="00171A2C" w:rsidRDefault="00171A2C" w:rsidP="00B16199">
            <w:pPr>
              <w:spacing w:before="60" w:after="60"/>
              <w:rPr>
                <w:sz w:val="20"/>
                <w:szCs w:val="20"/>
                <w:lang w:val="en-GB"/>
              </w:rPr>
            </w:pPr>
            <w:r w:rsidRPr="00171A2C">
              <w:rPr>
                <w:sz w:val="20"/>
                <w:szCs w:val="20"/>
                <w:lang w:val="en-GB"/>
              </w:rPr>
              <w:t>5.40</w:t>
            </w:r>
          </w:p>
          <w:p w14:paraId="403F5443" w14:textId="77777777" w:rsidR="00171A2C" w:rsidRPr="00171A2C" w:rsidRDefault="00171A2C" w:rsidP="00B16199">
            <w:pPr>
              <w:spacing w:before="60" w:after="60"/>
              <w:rPr>
                <w:sz w:val="20"/>
                <w:szCs w:val="20"/>
                <w:lang w:val="en-GB"/>
              </w:rPr>
            </w:pPr>
            <w:r w:rsidRPr="00171A2C">
              <w:rPr>
                <w:sz w:val="20"/>
                <w:szCs w:val="20"/>
                <w:lang w:val="en-GB"/>
              </w:rPr>
              <w:t>5.53</w:t>
            </w:r>
          </w:p>
          <w:p w14:paraId="5890591E" w14:textId="77777777" w:rsidR="00171A2C" w:rsidRPr="00171A2C" w:rsidRDefault="00171A2C" w:rsidP="00B16199">
            <w:pPr>
              <w:spacing w:before="60" w:after="60"/>
              <w:rPr>
                <w:sz w:val="20"/>
                <w:szCs w:val="20"/>
                <w:lang w:val="en-GB"/>
              </w:rPr>
            </w:pPr>
            <w:r w:rsidRPr="00171A2C">
              <w:rPr>
                <w:sz w:val="20"/>
                <w:szCs w:val="20"/>
                <w:lang w:val="en-GB"/>
              </w:rPr>
              <w:t>8.07</w:t>
            </w:r>
          </w:p>
          <w:p w14:paraId="34B7B861" w14:textId="77777777" w:rsidR="00171A2C" w:rsidRPr="00171A2C" w:rsidRDefault="00171A2C" w:rsidP="00B16199">
            <w:pPr>
              <w:spacing w:before="60" w:after="60"/>
              <w:rPr>
                <w:sz w:val="20"/>
                <w:szCs w:val="20"/>
                <w:lang w:val="en-GB"/>
              </w:rPr>
            </w:pPr>
            <w:r w:rsidRPr="00171A2C">
              <w:rPr>
                <w:sz w:val="20"/>
                <w:szCs w:val="20"/>
                <w:lang w:val="en-GB"/>
              </w:rPr>
              <w:t>3.53</w:t>
            </w:r>
          </w:p>
          <w:p w14:paraId="07292AF9" w14:textId="77777777" w:rsidR="00171A2C" w:rsidRPr="00171A2C" w:rsidRDefault="00171A2C" w:rsidP="00B16199">
            <w:pPr>
              <w:spacing w:before="60" w:after="60"/>
              <w:rPr>
                <w:sz w:val="20"/>
                <w:szCs w:val="20"/>
                <w:lang w:val="en-GB"/>
              </w:rPr>
            </w:pPr>
            <w:r w:rsidRPr="00171A2C">
              <w:rPr>
                <w:sz w:val="20"/>
                <w:szCs w:val="20"/>
                <w:lang w:val="en-GB"/>
              </w:rPr>
              <w:t>7.12</w:t>
            </w:r>
          </w:p>
        </w:tc>
        <w:tc>
          <w:tcPr>
            <w:tcW w:w="1092" w:type="dxa"/>
            <w:tcBorders>
              <w:bottom w:val="single" w:sz="4" w:space="0" w:color="000000"/>
            </w:tcBorders>
          </w:tcPr>
          <w:p w14:paraId="51623BBE" w14:textId="77777777" w:rsidR="00171A2C" w:rsidRPr="00171A2C" w:rsidRDefault="00171A2C" w:rsidP="00B16199">
            <w:pPr>
              <w:spacing w:before="60" w:after="60"/>
              <w:rPr>
                <w:sz w:val="20"/>
                <w:szCs w:val="20"/>
                <w:lang w:val="en-GB"/>
              </w:rPr>
            </w:pPr>
            <w:r w:rsidRPr="00171A2C">
              <w:rPr>
                <w:sz w:val="20"/>
                <w:szCs w:val="20"/>
                <w:lang w:val="en-GB"/>
              </w:rPr>
              <w:t>3.26</w:t>
            </w:r>
          </w:p>
          <w:p w14:paraId="409AC516" w14:textId="77777777" w:rsidR="00171A2C" w:rsidRPr="00171A2C" w:rsidRDefault="00171A2C" w:rsidP="00B16199">
            <w:pPr>
              <w:spacing w:before="60" w:after="60"/>
              <w:rPr>
                <w:sz w:val="20"/>
                <w:szCs w:val="20"/>
                <w:lang w:val="en-GB"/>
              </w:rPr>
            </w:pPr>
            <w:r w:rsidRPr="00171A2C">
              <w:rPr>
                <w:sz w:val="20"/>
                <w:szCs w:val="20"/>
                <w:lang w:val="en-GB"/>
              </w:rPr>
              <w:t>8.71</w:t>
            </w:r>
          </w:p>
          <w:p w14:paraId="0C87A766" w14:textId="77777777" w:rsidR="00171A2C" w:rsidRPr="00171A2C" w:rsidRDefault="00171A2C" w:rsidP="00B16199">
            <w:pPr>
              <w:spacing w:before="60" w:after="60"/>
              <w:rPr>
                <w:sz w:val="20"/>
                <w:szCs w:val="20"/>
                <w:lang w:val="en-GB"/>
              </w:rPr>
            </w:pPr>
            <w:r w:rsidRPr="00171A2C">
              <w:rPr>
                <w:sz w:val="20"/>
                <w:szCs w:val="20"/>
                <w:lang w:val="en-GB"/>
              </w:rPr>
              <w:t>11.54</w:t>
            </w:r>
          </w:p>
          <w:p w14:paraId="4B2DB5B1" w14:textId="77777777" w:rsidR="00171A2C" w:rsidRPr="00171A2C" w:rsidRDefault="00171A2C" w:rsidP="00B16199">
            <w:pPr>
              <w:spacing w:before="60" w:after="60"/>
              <w:rPr>
                <w:sz w:val="20"/>
                <w:szCs w:val="20"/>
                <w:lang w:val="en-GB"/>
              </w:rPr>
            </w:pPr>
            <w:r w:rsidRPr="00171A2C">
              <w:rPr>
                <w:sz w:val="20"/>
                <w:szCs w:val="20"/>
                <w:lang w:val="en-GB"/>
              </w:rPr>
              <w:t>3.86</w:t>
            </w:r>
          </w:p>
          <w:p w14:paraId="33A025A3" w14:textId="77777777" w:rsidR="00171A2C" w:rsidRPr="00171A2C" w:rsidRDefault="00171A2C" w:rsidP="00B16199">
            <w:pPr>
              <w:spacing w:before="60" w:after="60"/>
              <w:rPr>
                <w:sz w:val="20"/>
                <w:szCs w:val="20"/>
                <w:lang w:val="en-GB"/>
              </w:rPr>
            </w:pPr>
            <w:r w:rsidRPr="00171A2C">
              <w:rPr>
                <w:sz w:val="20"/>
                <w:szCs w:val="20"/>
                <w:lang w:val="en-GB"/>
              </w:rPr>
              <w:t>7.42</w:t>
            </w:r>
          </w:p>
          <w:p w14:paraId="21D0ABFE" w14:textId="77777777" w:rsidR="00171A2C" w:rsidRPr="00171A2C" w:rsidRDefault="00171A2C" w:rsidP="00B16199">
            <w:pPr>
              <w:spacing w:before="60" w:after="60"/>
              <w:rPr>
                <w:sz w:val="20"/>
                <w:szCs w:val="20"/>
                <w:lang w:val="en-GB"/>
              </w:rPr>
            </w:pPr>
            <w:r w:rsidRPr="00171A2C">
              <w:rPr>
                <w:sz w:val="20"/>
                <w:szCs w:val="20"/>
                <w:lang w:val="en-GB"/>
              </w:rPr>
              <w:t>6.78</w:t>
            </w:r>
          </w:p>
          <w:p w14:paraId="5D62F794" w14:textId="77777777" w:rsidR="00171A2C" w:rsidRPr="00171A2C" w:rsidRDefault="00171A2C" w:rsidP="00B16199">
            <w:pPr>
              <w:spacing w:before="60" w:after="60"/>
              <w:rPr>
                <w:sz w:val="20"/>
                <w:szCs w:val="20"/>
                <w:lang w:val="en-GB"/>
              </w:rPr>
            </w:pPr>
            <w:r w:rsidRPr="00171A2C">
              <w:rPr>
                <w:sz w:val="20"/>
                <w:szCs w:val="20"/>
                <w:lang w:val="en-GB"/>
              </w:rPr>
              <w:t>8.93</w:t>
            </w:r>
          </w:p>
          <w:p w14:paraId="38C0CD78" w14:textId="77777777" w:rsidR="00171A2C" w:rsidRPr="00171A2C" w:rsidRDefault="00171A2C" w:rsidP="00B16199">
            <w:pPr>
              <w:spacing w:before="60" w:after="60"/>
              <w:rPr>
                <w:sz w:val="20"/>
                <w:szCs w:val="20"/>
                <w:lang w:val="en-GB"/>
              </w:rPr>
            </w:pPr>
            <w:r w:rsidRPr="00171A2C">
              <w:rPr>
                <w:sz w:val="20"/>
                <w:szCs w:val="20"/>
                <w:lang w:val="en-GB"/>
              </w:rPr>
              <w:t>5.98</w:t>
            </w:r>
          </w:p>
          <w:p w14:paraId="5797533A" w14:textId="77777777" w:rsidR="00171A2C" w:rsidRPr="00171A2C" w:rsidRDefault="00171A2C" w:rsidP="00B16199">
            <w:pPr>
              <w:spacing w:before="60" w:after="60"/>
              <w:rPr>
                <w:sz w:val="20"/>
                <w:szCs w:val="20"/>
                <w:lang w:val="en-GB"/>
              </w:rPr>
            </w:pPr>
            <w:r w:rsidRPr="00171A2C">
              <w:rPr>
                <w:sz w:val="20"/>
                <w:szCs w:val="20"/>
                <w:lang w:val="en-GB"/>
              </w:rPr>
              <w:t>7.78</w:t>
            </w:r>
          </w:p>
        </w:tc>
        <w:tc>
          <w:tcPr>
            <w:tcW w:w="1119" w:type="dxa"/>
            <w:tcBorders>
              <w:bottom w:val="single" w:sz="4" w:space="0" w:color="000000"/>
            </w:tcBorders>
          </w:tcPr>
          <w:p w14:paraId="6360C1B8" w14:textId="77777777" w:rsidR="00171A2C" w:rsidRPr="00171A2C" w:rsidRDefault="00171A2C" w:rsidP="00B16199">
            <w:pPr>
              <w:spacing w:before="60" w:after="60"/>
              <w:rPr>
                <w:sz w:val="20"/>
                <w:szCs w:val="20"/>
                <w:lang w:val="en-GB"/>
              </w:rPr>
            </w:pPr>
            <w:r w:rsidRPr="00171A2C">
              <w:rPr>
                <w:sz w:val="20"/>
                <w:szCs w:val="20"/>
                <w:lang w:val="en-GB"/>
              </w:rPr>
              <w:t>0</w:t>
            </w:r>
          </w:p>
          <w:p w14:paraId="11F48E08" w14:textId="77777777" w:rsidR="00171A2C" w:rsidRPr="00171A2C" w:rsidRDefault="00171A2C" w:rsidP="00B16199">
            <w:pPr>
              <w:spacing w:before="60" w:after="60"/>
              <w:rPr>
                <w:sz w:val="20"/>
                <w:szCs w:val="20"/>
                <w:lang w:val="en-GB"/>
              </w:rPr>
            </w:pPr>
            <w:r w:rsidRPr="00171A2C">
              <w:rPr>
                <w:sz w:val="20"/>
                <w:szCs w:val="20"/>
                <w:lang w:val="en-GB"/>
              </w:rPr>
              <w:t>6</w:t>
            </w:r>
          </w:p>
          <w:p w14:paraId="6DF988BE" w14:textId="77777777" w:rsidR="00171A2C" w:rsidRPr="00171A2C" w:rsidRDefault="00171A2C" w:rsidP="00B16199">
            <w:pPr>
              <w:spacing w:before="60" w:after="60"/>
              <w:rPr>
                <w:sz w:val="20"/>
                <w:szCs w:val="20"/>
                <w:lang w:val="en-GB"/>
              </w:rPr>
            </w:pPr>
            <w:r w:rsidRPr="00171A2C">
              <w:rPr>
                <w:sz w:val="20"/>
                <w:szCs w:val="20"/>
                <w:lang w:val="en-GB"/>
              </w:rPr>
              <w:t>4</w:t>
            </w:r>
          </w:p>
          <w:p w14:paraId="18FFD7F0" w14:textId="77777777" w:rsidR="00171A2C" w:rsidRPr="00171A2C" w:rsidRDefault="00171A2C" w:rsidP="00B16199">
            <w:pPr>
              <w:spacing w:before="60" w:after="60"/>
              <w:rPr>
                <w:sz w:val="20"/>
                <w:szCs w:val="20"/>
                <w:lang w:val="en-GB"/>
              </w:rPr>
            </w:pPr>
            <w:r w:rsidRPr="00171A2C">
              <w:rPr>
                <w:sz w:val="20"/>
                <w:szCs w:val="20"/>
                <w:lang w:val="en-GB"/>
              </w:rPr>
              <w:t>0</w:t>
            </w:r>
          </w:p>
          <w:p w14:paraId="2A0BCFDB" w14:textId="77777777" w:rsidR="00171A2C" w:rsidRPr="00171A2C" w:rsidRDefault="00171A2C" w:rsidP="00B16199">
            <w:pPr>
              <w:spacing w:before="60" w:after="60"/>
              <w:rPr>
                <w:sz w:val="20"/>
                <w:szCs w:val="20"/>
                <w:lang w:val="en-GB"/>
              </w:rPr>
            </w:pPr>
            <w:r w:rsidRPr="00171A2C">
              <w:rPr>
                <w:sz w:val="20"/>
                <w:szCs w:val="20"/>
                <w:lang w:val="en-GB"/>
              </w:rPr>
              <w:t>2</w:t>
            </w:r>
          </w:p>
          <w:p w14:paraId="2231CAD8" w14:textId="77777777" w:rsidR="00171A2C" w:rsidRPr="00171A2C" w:rsidRDefault="00171A2C" w:rsidP="00B16199">
            <w:pPr>
              <w:spacing w:before="60" w:after="60"/>
              <w:rPr>
                <w:sz w:val="20"/>
                <w:szCs w:val="20"/>
                <w:lang w:val="en-GB"/>
              </w:rPr>
            </w:pPr>
            <w:r w:rsidRPr="00171A2C">
              <w:rPr>
                <w:sz w:val="20"/>
                <w:szCs w:val="20"/>
                <w:lang w:val="en-GB"/>
              </w:rPr>
              <w:t>3</w:t>
            </w:r>
          </w:p>
          <w:p w14:paraId="6B3F827A" w14:textId="77777777" w:rsidR="00171A2C" w:rsidRPr="00171A2C" w:rsidRDefault="00171A2C" w:rsidP="00B16199">
            <w:pPr>
              <w:spacing w:before="60" w:after="60"/>
              <w:rPr>
                <w:sz w:val="20"/>
                <w:szCs w:val="20"/>
                <w:lang w:val="en-GB"/>
              </w:rPr>
            </w:pPr>
            <w:r w:rsidRPr="00171A2C">
              <w:rPr>
                <w:sz w:val="20"/>
                <w:szCs w:val="20"/>
                <w:lang w:val="en-GB"/>
              </w:rPr>
              <w:t>5</w:t>
            </w:r>
          </w:p>
          <w:p w14:paraId="7E7D837E" w14:textId="77777777" w:rsidR="00171A2C" w:rsidRPr="00171A2C" w:rsidRDefault="00171A2C" w:rsidP="00B16199">
            <w:pPr>
              <w:spacing w:before="60" w:after="60"/>
              <w:rPr>
                <w:sz w:val="20"/>
                <w:szCs w:val="20"/>
                <w:lang w:val="en-GB"/>
              </w:rPr>
            </w:pPr>
            <w:r w:rsidRPr="00171A2C">
              <w:rPr>
                <w:sz w:val="20"/>
                <w:szCs w:val="20"/>
                <w:lang w:val="en-GB"/>
              </w:rPr>
              <w:t>0</w:t>
            </w:r>
          </w:p>
          <w:p w14:paraId="302A7EAC" w14:textId="77777777" w:rsidR="00171A2C" w:rsidRPr="00171A2C" w:rsidRDefault="00171A2C" w:rsidP="00B16199">
            <w:pPr>
              <w:spacing w:before="60" w:after="60"/>
              <w:rPr>
                <w:sz w:val="20"/>
                <w:szCs w:val="20"/>
                <w:lang w:val="en-GB"/>
              </w:rPr>
            </w:pPr>
            <w:r w:rsidRPr="00171A2C">
              <w:rPr>
                <w:sz w:val="20"/>
                <w:szCs w:val="20"/>
                <w:lang w:val="en-GB"/>
              </w:rPr>
              <w:t>4</w:t>
            </w:r>
          </w:p>
        </w:tc>
        <w:tc>
          <w:tcPr>
            <w:tcW w:w="1105" w:type="dxa"/>
            <w:tcBorders>
              <w:bottom w:val="single" w:sz="4" w:space="0" w:color="000000"/>
            </w:tcBorders>
          </w:tcPr>
          <w:p w14:paraId="694A56BC" w14:textId="77777777" w:rsidR="00171A2C" w:rsidRPr="00171A2C" w:rsidRDefault="00171A2C" w:rsidP="00B16199">
            <w:pPr>
              <w:spacing w:before="60" w:after="60"/>
              <w:rPr>
                <w:sz w:val="20"/>
                <w:szCs w:val="20"/>
                <w:lang w:val="en-GB"/>
              </w:rPr>
            </w:pPr>
            <w:r w:rsidRPr="00171A2C">
              <w:rPr>
                <w:sz w:val="20"/>
                <w:szCs w:val="20"/>
                <w:lang w:val="en-GB"/>
              </w:rPr>
              <w:t xml:space="preserve">0 – 24 </w:t>
            </w:r>
          </w:p>
          <w:p w14:paraId="63EE6AB9" w14:textId="77777777" w:rsidR="00171A2C" w:rsidRPr="00171A2C" w:rsidRDefault="00171A2C" w:rsidP="00B16199">
            <w:pPr>
              <w:spacing w:before="60" w:after="60"/>
              <w:rPr>
                <w:sz w:val="20"/>
                <w:szCs w:val="20"/>
                <w:lang w:val="en-GB"/>
              </w:rPr>
            </w:pPr>
            <w:r w:rsidRPr="00171A2C">
              <w:rPr>
                <w:sz w:val="20"/>
                <w:szCs w:val="20"/>
                <w:lang w:val="en-GB"/>
              </w:rPr>
              <w:t>0 – 48</w:t>
            </w:r>
          </w:p>
          <w:p w14:paraId="4C8121C9" w14:textId="77777777" w:rsidR="00171A2C" w:rsidRPr="00171A2C" w:rsidRDefault="00171A2C" w:rsidP="00B16199">
            <w:pPr>
              <w:spacing w:before="60" w:after="60"/>
              <w:rPr>
                <w:sz w:val="20"/>
                <w:szCs w:val="20"/>
                <w:lang w:val="en-GB"/>
              </w:rPr>
            </w:pPr>
            <w:r w:rsidRPr="00171A2C">
              <w:rPr>
                <w:sz w:val="20"/>
                <w:szCs w:val="20"/>
                <w:lang w:val="en-GB"/>
              </w:rPr>
              <w:t>0 – 60</w:t>
            </w:r>
          </w:p>
          <w:p w14:paraId="10F9E90D" w14:textId="77777777" w:rsidR="00171A2C" w:rsidRPr="00171A2C" w:rsidRDefault="00171A2C" w:rsidP="00B16199">
            <w:pPr>
              <w:spacing w:before="60" w:after="60"/>
              <w:rPr>
                <w:sz w:val="20"/>
                <w:szCs w:val="20"/>
                <w:lang w:val="en-GB"/>
              </w:rPr>
            </w:pPr>
            <w:r w:rsidRPr="00171A2C">
              <w:rPr>
                <w:sz w:val="20"/>
                <w:szCs w:val="20"/>
                <w:lang w:val="en-GB"/>
              </w:rPr>
              <w:t>0 – 33</w:t>
            </w:r>
          </w:p>
          <w:p w14:paraId="5E6E40B5" w14:textId="77777777" w:rsidR="00171A2C" w:rsidRPr="00171A2C" w:rsidRDefault="00171A2C" w:rsidP="00B16199">
            <w:pPr>
              <w:spacing w:before="60" w:after="60"/>
              <w:rPr>
                <w:sz w:val="20"/>
                <w:szCs w:val="20"/>
                <w:lang w:val="en-GB"/>
              </w:rPr>
            </w:pPr>
            <w:r w:rsidRPr="00171A2C">
              <w:rPr>
                <w:sz w:val="20"/>
                <w:szCs w:val="20"/>
                <w:lang w:val="en-GB"/>
              </w:rPr>
              <w:t>0 – 36</w:t>
            </w:r>
          </w:p>
          <w:p w14:paraId="46B5474E" w14:textId="77777777" w:rsidR="00171A2C" w:rsidRPr="00171A2C" w:rsidRDefault="00171A2C" w:rsidP="00B16199">
            <w:pPr>
              <w:spacing w:before="60" w:after="60"/>
              <w:rPr>
                <w:sz w:val="20"/>
                <w:szCs w:val="20"/>
                <w:lang w:val="en-GB"/>
              </w:rPr>
            </w:pPr>
            <w:r w:rsidRPr="00171A2C">
              <w:rPr>
                <w:sz w:val="20"/>
                <w:szCs w:val="20"/>
                <w:lang w:val="en-GB"/>
              </w:rPr>
              <w:t xml:space="preserve">0 – 36 </w:t>
            </w:r>
          </w:p>
          <w:p w14:paraId="337D563A" w14:textId="77777777" w:rsidR="00171A2C" w:rsidRPr="00171A2C" w:rsidRDefault="00171A2C" w:rsidP="00B16199">
            <w:pPr>
              <w:spacing w:before="60" w:after="60"/>
              <w:rPr>
                <w:sz w:val="20"/>
                <w:szCs w:val="20"/>
                <w:lang w:val="en-GB"/>
              </w:rPr>
            </w:pPr>
            <w:r w:rsidRPr="00171A2C">
              <w:rPr>
                <w:sz w:val="20"/>
                <w:szCs w:val="20"/>
                <w:lang w:val="en-GB"/>
              </w:rPr>
              <w:t>0 – 36</w:t>
            </w:r>
          </w:p>
          <w:p w14:paraId="6A61AF35" w14:textId="77777777" w:rsidR="00171A2C" w:rsidRPr="00171A2C" w:rsidRDefault="00171A2C" w:rsidP="00B16199">
            <w:pPr>
              <w:spacing w:before="60" w:after="60"/>
              <w:rPr>
                <w:sz w:val="20"/>
                <w:szCs w:val="20"/>
                <w:lang w:val="en-GB"/>
              </w:rPr>
            </w:pPr>
            <w:r w:rsidRPr="00171A2C">
              <w:rPr>
                <w:sz w:val="20"/>
                <w:szCs w:val="20"/>
                <w:lang w:val="en-GB"/>
              </w:rPr>
              <w:t>0 – 24</w:t>
            </w:r>
          </w:p>
          <w:p w14:paraId="408B70AD" w14:textId="77777777" w:rsidR="00171A2C" w:rsidRPr="00171A2C" w:rsidRDefault="00171A2C" w:rsidP="00B16199">
            <w:pPr>
              <w:spacing w:before="60" w:after="60"/>
              <w:rPr>
                <w:sz w:val="20"/>
                <w:szCs w:val="20"/>
                <w:lang w:val="en-GB"/>
              </w:rPr>
            </w:pPr>
            <w:r w:rsidRPr="00171A2C">
              <w:rPr>
                <w:sz w:val="20"/>
                <w:szCs w:val="20"/>
                <w:lang w:val="en-GB"/>
              </w:rPr>
              <w:t xml:space="preserve">0 – 48  </w:t>
            </w:r>
          </w:p>
        </w:tc>
      </w:tr>
      <w:tr w:rsidR="00F13BE3" w:rsidRPr="00171A2C" w14:paraId="6A53CF94" w14:textId="77777777" w:rsidTr="00E34BFA">
        <w:tc>
          <w:tcPr>
            <w:tcW w:w="4182" w:type="dxa"/>
            <w:tcBorders>
              <w:bottom w:val="single" w:sz="4" w:space="0" w:color="000000"/>
            </w:tcBorders>
          </w:tcPr>
          <w:p w14:paraId="67D7BA9A" w14:textId="77777777" w:rsidR="00F13BE3" w:rsidRPr="00171A2C" w:rsidRDefault="00F13BE3" w:rsidP="00B16199">
            <w:pPr>
              <w:spacing w:before="60" w:after="60"/>
              <w:rPr>
                <w:sz w:val="20"/>
                <w:szCs w:val="20"/>
                <w:lang w:val="en-GB"/>
              </w:rPr>
            </w:pPr>
            <w:r w:rsidRPr="00171A2C">
              <w:rPr>
                <w:sz w:val="20"/>
                <w:szCs w:val="20"/>
                <w:lang w:val="en-GB"/>
              </w:rPr>
              <w:t xml:space="preserve">Cardinal </w:t>
            </w:r>
            <w:r w:rsidR="00CC7CB7">
              <w:rPr>
                <w:sz w:val="20"/>
                <w:szCs w:val="20"/>
                <w:lang w:val="en-GB"/>
              </w:rPr>
              <w:t xml:space="preserve">motor </w:t>
            </w:r>
            <w:r w:rsidRPr="00171A2C">
              <w:rPr>
                <w:sz w:val="20"/>
                <w:szCs w:val="20"/>
                <w:lang w:val="en-GB"/>
              </w:rPr>
              <w:t>features *</w:t>
            </w:r>
          </w:p>
          <w:p w14:paraId="5A1E845B" w14:textId="77777777" w:rsidR="00F13BE3" w:rsidRPr="00171A2C" w:rsidRDefault="00F13BE3" w:rsidP="00B16199">
            <w:pPr>
              <w:spacing w:before="60" w:after="60"/>
              <w:rPr>
                <w:sz w:val="20"/>
                <w:szCs w:val="20"/>
                <w:lang w:val="en-GB"/>
              </w:rPr>
            </w:pPr>
            <w:r w:rsidRPr="00171A2C">
              <w:rPr>
                <w:sz w:val="20"/>
                <w:szCs w:val="20"/>
                <w:lang w:val="en-GB"/>
              </w:rPr>
              <w:t xml:space="preserve">     Tremor</w:t>
            </w:r>
          </w:p>
          <w:p w14:paraId="5FC86BCD" w14:textId="77777777" w:rsidR="00F13BE3" w:rsidRPr="00171A2C" w:rsidRDefault="00F13BE3" w:rsidP="00B16199">
            <w:pPr>
              <w:spacing w:before="60" w:after="60"/>
              <w:rPr>
                <w:sz w:val="20"/>
                <w:szCs w:val="20"/>
                <w:lang w:val="en-GB"/>
              </w:rPr>
            </w:pPr>
            <w:r w:rsidRPr="00171A2C">
              <w:rPr>
                <w:sz w:val="20"/>
                <w:szCs w:val="20"/>
                <w:lang w:val="en-GB"/>
              </w:rPr>
              <w:lastRenderedPageBreak/>
              <w:t xml:space="preserve">     Bradykinesia</w:t>
            </w:r>
          </w:p>
          <w:p w14:paraId="26DC8206" w14:textId="77777777" w:rsidR="00F13BE3" w:rsidRPr="00171A2C" w:rsidRDefault="00F13BE3" w:rsidP="00B16199">
            <w:pPr>
              <w:spacing w:before="60" w:after="60"/>
              <w:rPr>
                <w:sz w:val="20"/>
                <w:szCs w:val="20"/>
                <w:lang w:val="en-GB"/>
              </w:rPr>
            </w:pPr>
            <w:r w:rsidRPr="00171A2C">
              <w:rPr>
                <w:sz w:val="20"/>
                <w:szCs w:val="20"/>
                <w:lang w:val="en-GB"/>
              </w:rPr>
              <w:t xml:space="preserve">     Rigidity</w:t>
            </w:r>
          </w:p>
          <w:p w14:paraId="7474DEE4" w14:textId="77777777" w:rsidR="00F13BE3" w:rsidRPr="00171A2C" w:rsidRDefault="00F13BE3" w:rsidP="00B16199">
            <w:pPr>
              <w:spacing w:before="60" w:after="60"/>
              <w:rPr>
                <w:sz w:val="20"/>
                <w:szCs w:val="20"/>
              </w:rPr>
            </w:pPr>
            <w:r w:rsidRPr="00171A2C">
              <w:rPr>
                <w:sz w:val="20"/>
                <w:szCs w:val="20"/>
                <w:lang w:val="en-GB"/>
              </w:rPr>
              <w:t xml:space="preserve">     Axial</w:t>
            </w:r>
          </w:p>
        </w:tc>
        <w:tc>
          <w:tcPr>
            <w:tcW w:w="1222" w:type="dxa"/>
            <w:tcBorders>
              <w:bottom w:val="single" w:sz="4" w:space="0" w:color="000000"/>
            </w:tcBorders>
          </w:tcPr>
          <w:p w14:paraId="4297D24E" w14:textId="77777777" w:rsidR="00F13BE3" w:rsidRPr="00171A2C" w:rsidRDefault="00F13BE3" w:rsidP="00B16199">
            <w:pPr>
              <w:spacing w:before="60" w:after="60"/>
              <w:rPr>
                <w:sz w:val="20"/>
                <w:szCs w:val="20"/>
                <w:lang w:val="en-GB"/>
              </w:rPr>
            </w:pPr>
          </w:p>
          <w:p w14:paraId="556BCF61" w14:textId="77777777" w:rsidR="00F13BE3" w:rsidRPr="00171A2C" w:rsidRDefault="00F13BE3" w:rsidP="00B16199">
            <w:pPr>
              <w:spacing w:before="60" w:after="60"/>
              <w:rPr>
                <w:sz w:val="20"/>
                <w:szCs w:val="20"/>
                <w:lang w:val="en-GB"/>
              </w:rPr>
            </w:pPr>
            <w:r w:rsidRPr="00171A2C">
              <w:rPr>
                <w:sz w:val="20"/>
                <w:szCs w:val="20"/>
                <w:lang w:val="en-GB"/>
              </w:rPr>
              <w:t>2.59</w:t>
            </w:r>
          </w:p>
          <w:p w14:paraId="23FF9C4C" w14:textId="77777777" w:rsidR="00F13BE3" w:rsidRPr="00171A2C" w:rsidRDefault="00F13BE3" w:rsidP="00B16199">
            <w:pPr>
              <w:spacing w:before="60" w:after="60"/>
              <w:rPr>
                <w:sz w:val="20"/>
                <w:szCs w:val="20"/>
                <w:lang w:val="en-GB"/>
              </w:rPr>
            </w:pPr>
            <w:r w:rsidRPr="00171A2C">
              <w:rPr>
                <w:sz w:val="20"/>
                <w:szCs w:val="20"/>
                <w:lang w:val="en-GB"/>
              </w:rPr>
              <w:lastRenderedPageBreak/>
              <w:t>2.40</w:t>
            </w:r>
          </w:p>
          <w:p w14:paraId="201BE435" w14:textId="77777777" w:rsidR="00F13BE3" w:rsidRPr="00171A2C" w:rsidRDefault="00F13BE3" w:rsidP="00B16199">
            <w:pPr>
              <w:spacing w:before="60" w:after="60"/>
              <w:rPr>
                <w:sz w:val="20"/>
                <w:szCs w:val="20"/>
                <w:lang w:val="en-GB"/>
              </w:rPr>
            </w:pPr>
            <w:r w:rsidRPr="00171A2C">
              <w:rPr>
                <w:sz w:val="20"/>
                <w:szCs w:val="20"/>
                <w:lang w:val="en-GB"/>
              </w:rPr>
              <w:t>2.23</w:t>
            </w:r>
          </w:p>
          <w:p w14:paraId="690E7B80" w14:textId="77777777" w:rsidR="00F13BE3" w:rsidRPr="00171A2C" w:rsidRDefault="00F13BE3" w:rsidP="00B16199">
            <w:pPr>
              <w:spacing w:before="60" w:after="60"/>
              <w:rPr>
                <w:sz w:val="20"/>
                <w:szCs w:val="20"/>
                <w:lang w:val="en-GB"/>
              </w:rPr>
            </w:pPr>
            <w:r w:rsidRPr="00171A2C">
              <w:rPr>
                <w:sz w:val="20"/>
                <w:szCs w:val="20"/>
                <w:lang w:val="en-GB"/>
              </w:rPr>
              <w:t>3.25</w:t>
            </w:r>
          </w:p>
        </w:tc>
        <w:tc>
          <w:tcPr>
            <w:tcW w:w="1092" w:type="dxa"/>
            <w:tcBorders>
              <w:bottom w:val="single" w:sz="4" w:space="0" w:color="000000"/>
            </w:tcBorders>
          </w:tcPr>
          <w:p w14:paraId="6BA4CAD1" w14:textId="77777777" w:rsidR="00F13BE3" w:rsidRPr="00171A2C" w:rsidRDefault="00F13BE3" w:rsidP="00B16199">
            <w:pPr>
              <w:spacing w:before="60" w:after="60"/>
              <w:rPr>
                <w:sz w:val="20"/>
                <w:szCs w:val="20"/>
                <w:lang w:val="en-GB"/>
              </w:rPr>
            </w:pPr>
          </w:p>
          <w:p w14:paraId="2C05B4A7" w14:textId="77777777" w:rsidR="00F13BE3" w:rsidRPr="00171A2C" w:rsidRDefault="00F13BE3" w:rsidP="00B16199">
            <w:pPr>
              <w:spacing w:before="60" w:after="60"/>
              <w:rPr>
                <w:sz w:val="20"/>
                <w:szCs w:val="20"/>
                <w:lang w:val="en-GB"/>
              </w:rPr>
            </w:pPr>
            <w:r w:rsidRPr="00171A2C">
              <w:rPr>
                <w:sz w:val="20"/>
                <w:szCs w:val="20"/>
                <w:lang w:val="en-GB"/>
              </w:rPr>
              <w:t>2.58</w:t>
            </w:r>
          </w:p>
          <w:p w14:paraId="71F046E7" w14:textId="77777777" w:rsidR="00F13BE3" w:rsidRPr="00171A2C" w:rsidRDefault="00F13BE3" w:rsidP="00B16199">
            <w:pPr>
              <w:spacing w:before="60" w:after="60"/>
              <w:rPr>
                <w:sz w:val="20"/>
                <w:szCs w:val="20"/>
                <w:lang w:val="en-GB"/>
              </w:rPr>
            </w:pPr>
            <w:r w:rsidRPr="00171A2C">
              <w:rPr>
                <w:sz w:val="20"/>
                <w:szCs w:val="20"/>
                <w:lang w:val="en-GB"/>
              </w:rPr>
              <w:lastRenderedPageBreak/>
              <w:t>1.41</w:t>
            </w:r>
          </w:p>
          <w:p w14:paraId="29DCFCC3" w14:textId="77777777" w:rsidR="00F13BE3" w:rsidRPr="00171A2C" w:rsidRDefault="00F13BE3" w:rsidP="00B16199">
            <w:pPr>
              <w:spacing w:before="60" w:after="60"/>
              <w:rPr>
                <w:sz w:val="20"/>
                <w:szCs w:val="20"/>
                <w:lang w:val="en-GB"/>
              </w:rPr>
            </w:pPr>
            <w:r w:rsidRPr="00171A2C">
              <w:rPr>
                <w:sz w:val="20"/>
                <w:szCs w:val="20"/>
                <w:lang w:val="en-GB"/>
              </w:rPr>
              <w:t>1.36</w:t>
            </w:r>
          </w:p>
          <w:p w14:paraId="1DD98D99" w14:textId="77777777" w:rsidR="00F13BE3" w:rsidRPr="00171A2C" w:rsidRDefault="00F13BE3" w:rsidP="00B16199">
            <w:pPr>
              <w:spacing w:before="60" w:after="60"/>
              <w:rPr>
                <w:sz w:val="20"/>
                <w:szCs w:val="20"/>
                <w:lang w:val="en-GB"/>
              </w:rPr>
            </w:pPr>
            <w:r w:rsidRPr="00171A2C">
              <w:rPr>
                <w:sz w:val="20"/>
                <w:szCs w:val="20"/>
                <w:lang w:val="en-GB"/>
              </w:rPr>
              <w:t>2.67</w:t>
            </w:r>
          </w:p>
        </w:tc>
        <w:tc>
          <w:tcPr>
            <w:tcW w:w="1119" w:type="dxa"/>
            <w:tcBorders>
              <w:bottom w:val="single" w:sz="4" w:space="0" w:color="000000"/>
            </w:tcBorders>
          </w:tcPr>
          <w:p w14:paraId="3E19E85F" w14:textId="77777777" w:rsidR="00F13BE3" w:rsidRPr="00171A2C" w:rsidRDefault="00F13BE3" w:rsidP="00B16199">
            <w:pPr>
              <w:spacing w:before="60" w:after="60"/>
              <w:rPr>
                <w:sz w:val="20"/>
                <w:szCs w:val="20"/>
                <w:lang w:val="en-GB"/>
              </w:rPr>
            </w:pPr>
          </w:p>
          <w:p w14:paraId="02F44A6D" w14:textId="77777777" w:rsidR="00F13BE3" w:rsidRPr="00171A2C" w:rsidRDefault="00F13BE3" w:rsidP="00B16199">
            <w:pPr>
              <w:spacing w:before="60" w:after="60"/>
              <w:rPr>
                <w:sz w:val="20"/>
                <w:szCs w:val="20"/>
                <w:lang w:val="en-GB"/>
              </w:rPr>
            </w:pPr>
            <w:r w:rsidRPr="00171A2C">
              <w:rPr>
                <w:sz w:val="20"/>
                <w:szCs w:val="20"/>
                <w:lang w:val="en-GB"/>
              </w:rPr>
              <w:t>2</w:t>
            </w:r>
          </w:p>
          <w:p w14:paraId="70D7D6C4" w14:textId="77777777" w:rsidR="00F13BE3" w:rsidRPr="00171A2C" w:rsidRDefault="00F13BE3" w:rsidP="00B16199">
            <w:pPr>
              <w:spacing w:before="60" w:after="60"/>
              <w:rPr>
                <w:sz w:val="20"/>
                <w:szCs w:val="20"/>
                <w:lang w:val="en-GB"/>
              </w:rPr>
            </w:pPr>
            <w:r w:rsidRPr="00171A2C">
              <w:rPr>
                <w:sz w:val="20"/>
                <w:szCs w:val="20"/>
                <w:lang w:val="en-GB"/>
              </w:rPr>
              <w:lastRenderedPageBreak/>
              <w:t>2</w:t>
            </w:r>
          </w:p>
          <w:p w14:paraId="23570CA0" w14:textId="77777777" w:rsidR="00F13BE3" w:rsidRPr="00171A2C" w:rsidRDefault="00F13BE3" w:rsidP="00B16199">
            <w:pPr>
              <w:spacing w:before="60" w:after="60"/>
              <w:rPr>
                <w:sz w:val="20"/>
                <w:szCs w:val="20"/>
                <w:lang w:val="en-GB"/>
              </w:rPr>
            </w:pPr>
            <w:r w:rsidRPr="00171A2C">
              <w:rPr>
                <w:sz w:val="20"/>
                <w:szCs w:val="20"/>
                <w:lang w:val="en-GB"/>
              </w:rPr>
              <w:t>2</w:t>
            </w:r>
          </w:p>
          <w:p w14:paraId="5D8C246C" w14:textId="77777777" w:rsidR="00F13BE3" w:rsidRPr="00171A2C" w:rsidRDefault="00F13BE3" w:rsidP="00B16199">
            <w:pPr>
              <w:spacing w:before="60" w:after="60"/>
              <w:rPr>
                <w:sz w:val="20"/>
                <w:szCs w:val="20"/>
                <w:lang w:val="en-GB"/>
              </w:rPr>
            </w:pPr>
            <w:r w:rsidRPr="00171A2C">
              <w:rPr>
                <w:sz w:val="20"/>
                <w:szCs w:val="20"/>
                <w:lang w:val="en-GB"/>
              </w:rPr>
              <w:t>3</w:t>
            </w:r>
          </w:p>
        </w:tc>
        <w:tc>
          <w:tcPr>
            <w:tcW w:w="1105" w:type="dxa"/>
            <w:tcBorders>
              <w:bottom w:val="single" w:sz="4" w:space="0" w:color="000000"/>
            </w:tcBorders>
          </w:tcPr>
          <w:p w14:paraId="645E3C51" w14:textId="77777777" w:rsidR="00F13BE3" w:rsidRPr="00171A2C" w:rsidRDefault="00F13BE3" w:rsidP="00B16199">
            <w:pPr>
              <w:spacing w:before="60" w:after="60"/>
              <w:rPr>
                <w:sz w:val="20"/>
                <w:szCs w:val="20"/>
                <w:lang w:val="en-GB"/>
              </w:rPr>
            </w:pPr>
          </w:p>
          <w:p w14:paraId="0E3CDDA6" w14:textId="77777777" w:rsidR="00F13BE3" w:rsidRPr="00171A2C" w:rsidRDefault="00F13BE3" w:rsidP="00B16199">
            <w:pPr>
              <w:spacing w:before="60" w:after="60"/>
              <w:rPr>
                <w:sz w:val="20"/>
                <w:szCs w:val="20"/>
                <w:lang w:val="en-GB"/>
              </w:rPr>
            </w:pPr>
            <w:r w:rsidRPr="00171A2C">
              <w:rPr>
                <w:sz w:val="20"/>
                <w:szCs w:val="20"/>
                <w:lang w:val="en-GB"/>
              </w:rPr>
              <w:t xml:space="preserve">0 – 12 </w:t>
            </w:r>
          </w:p>
          <w:p w14:paraId="500FE433" w14:textId="77777777" w:rsidR="00F13BE3" w:rsidRPr="00171A2C" w:rsidRDefault="00F13BE3" w:rsidP="00B16199">
            <w:pPr>
              <w:spacing w:before="60" w:after="60"/>
              <w:rPr>
                <w:sz w:val="20"/>
                <w:szCs w:val="20"/>
                <w:lang w:val="en-GB"/>
              </w:rPr>
            </w:pPr>
            <w:r w:rsidRPr="00171A2C">
              <w:rPr>
                <w:sz w:val="20"/>
                <w:szCs w:val="20"/>
                <w:lang w:val="en-GB"/>
              </w:rPr>
              <w:lastRenderedPageBreak/>
              <w:t xml:space="preserve">0 – 6 </w:t>
            </w:r>
          </w:p>
          <w:p w14:paraId="0CB24987" w14:textId="77777777" w:rsidR="00F13BE3" w:rsidRPr="00171A2C" w:rsidRDefault="00F13BE3" w:rsidP="00B16199">
            <w:pPr>
              <w:spacing w:before="60" w:after="60"/>
              <w:rPr>
                <w:sz w:val="20"/>
                <w:szCs w:val="20"/>
                <w:lang w:val="en-GB"/>
              </w:rPr>
            </w:pPr>
            <w:r w:rsidRPr="00171A2C">
              <w:rPr>
                <w:sz w:val="20"/>
                <w:szCs w:val="20"/>
                <w:lang w:val="en-GB"/>
              </w:rPr>
              <w:t xml:space="preserve">0 – 6 </w:t>
            </w:r>
          </w:p>
          <w:p w14:paraId="2EBB8115" w14:textId="77777777" w:rsidR="00F13BE3" w:rsidRPr="00171A2C" w:rsidRDefault="00F13BE3" w:rsidP="00B16199">
            <w:pPr>
              <w:spacing w:before="60" w:after="60"/>
              <w:rPr>
                <w:sz w:val="20"/>
                <w:szCs w:val="20"/>
                <w:lang w:val="en-GB"/>
              </w:rPr>
            </w:pPr>
            <w:r w:rsidRPr="00171A2C">
              <w:rPr>
                <w:sz w:val="20"/>
                <w:szCs w:val="20"/>
                <w:lang w:val="en-GB"/>
              </w:rPr>
              <w:t>0 – 12</w:t>
            </w:r>
          </w:p>
        </w:tc>
      </w:tr>
      <w:tr w:rsidR="00F13BE3" w:rsidRPr="00171A2C" w14:paraId="298BF566" w14:textId="77777777" w:rsidTr="00DD4913">
        <w:tc>
          <w:tcPr>
            <w:tcW w:w="4182" w:type="dxa"/>
            <w:tcBorders>
              <w:top w:val="single" w:sz="4" w:space="0" w:color="000000"/>
            </w:tcBorders>
          </w:tcPr>
          <w:p w14:paraId="2C4F4F83" w14:textId="77777777" w:rsidR="00F13BE3" w:rsidRPr="00171A2C" w:rsidRDefault="00F13BE3" w:rsidP="00B16199">
            <w:pPr>
              <w:spacing w:before="60" w:after="60"/>
              <w:rPr>
                <w:sz w:val="20"/>
                <w:szCs w:val="20"/>
                <w:lang w:val="en-GB"/>
              </w:rPr>
            </w:pPr>
            <w:r w:rsidRPr="00171A2C">
              <w:rPr>
                <w:sz w:val="20"/>
                <w:szCs w:val="20"/>
                <w:lang w:val="en-GB"/>
              </w:rPr>
              <w:lastRenderedPageBreak/>
              <w:t>SCOPA-Motor Total score</w:t>
            </w:r>
          </w:p>
        </w:tc>
        <w:tc>
          <w:tcPr>
            <w:tcW w:w="1222" w:type="dxa"/>
            <w:tcBorders>
              <w:top w:val="single" w:sz="4" w:space="0" w:color="000000"/>
            </w:tcBorders>
          </w:tcPr>
          <w:p w14:paraId="79AA19E5" w14:textId="77777777" w:rsidR="00F13BE3" w:rsidRPr="00171A2C" w:rsidRDefault="00F13BE3" w:rsidP="00B16199">
            <w:pPr>
              <w:spacing w:before="60" w:after="60"/>
              <w:rPr>
                <w:sz w:val="20"/>
                <w:szCs w:val="20"/>
                <w:lang w:val="en-GB"/>
              </w:rPr>
            </w:pPr>
            <w:r w:rsidRPr="00171A2C">
              <w:rPr>
                <w:sz w:val="20"/>
                <w:szCs w:val="20"/>
                <w:lang w:val="en-GB"/>
              </w:rPr>
              <w:t>21.07</w:t>
            </w:r>
          </w:p>
        </w:tc>
        <w:tc>
          <w:tcPr>
            <w:tcW w:w="1092" w:type="dxa"/>
            <w:tcBorders>
              <w:top w:val="single" w:sz="4" w:space="0" w:color="000000"/>
            </w:tcBorders>
          </w:tcPr>
          <w:p w14:paraId="0DB06712" w14:textId="77777777" w:rsidR="00F13BE3" w:rsidRPr="00171A2C" w:rsidRDefault="00F13BE3" w:rsidP="00B16199">
            <w:pPr>
              <w:spacing w:before="60" w:after="60"/>
              <w:rPr>
                <w:sz w:val="20"/>
                <w:szCs w:val="20"/>
                <w:lang w:val="en-GB"/>
              </w:rPr>
            </w:pPr>
            <w:r w:rsidRPr="00171A2C">
              <w:rPr>
                <w:sz w:val="20"/>
                <w:szCs w:val="20"/>
                <w:lang w:val="en-GB"/>
              </w:rPr>
              <w:t>12.06</w:t>
            </w:r>
          </w:p>
        </w:tc>
        <w:tc>
          <w:tcPr>
            <w:tcW w:w="1119" w:type="dxa"/>
            <w:tcBorders>
              <w:top w:val="single" w:sz="4" w:space="0" w:color="000000"/>
            </w:tcBorders>
          </w:tcPr>
          <w:p w14:paraId="436EE133" w14:textId="77777777" w:rsidR="00F13BE3" w:rsidRPr="00171A2C" w:rsidRDefault="00F13BE3" w:rsidP="00B16199">
            <w:pPr>
              <w:spacing w:before="60" w:after="60"/>
              <w:rPr>
                <w:sz w:val="20"/>
                <w:szCs w:val="20"/>
                <w:lang w:val="en-GB"/>
              </w:rPr>
            </w:pPr>
            <w:r w:rsidRPr="00171A2C">
              <w:rPr>
                <w:sz w:val="20"/>
                <w:szCs w:val="20"/>
                <w:lang w:val="en-GB"/>
              </w:rPr>
              <w:t>19</w:t>
            </w:r>
          </w:p>
        </w:tc>
        <w:tc>
          <w:tcPr>
            <w:tcW w:w="1105" w:type="dxa"/>
            <w:tcBorders>
              <w:top w:val="single" w:sz="4" w:space="0" w:color="000000"/>
            </w:tcBorders>
          </w:tcPr>
          <w:p w14:paraId="0FC23C32" w14:textId="77777777" w:rsidR="00F13BE3" w:rsidRPr="00171A2C" w:rsidRDefault="00F13BE3" w:rsidP="00B16199">
            <w:pPr>
              <w:spacing w:before="60" w:after="60"/>
              <w:rPr>
                <w:sz w:val="20"/>
                <w:szCs w:val="20"/>
                <w:lang w:val="en-GB"/>
              </w:rPr>
            </w:pPr>
            <w:r w:rsidRPr="00171A2C">
              <w:rPr>
                <w:sz w:val="20"/>
                <w:szCs w:val="20"/>
                <w:lang w:val="en-GB"/>
              </w:rPr>
              <w:t xml:space="preserve">1 – 72 </w:t>
            </w:r>
          </w:p>
        </w:tc>
      </w:tr>
      <w:tr w:rsidR="00F13BE3" w:rsidRPr="00171A2C" w14:paraId="30C667AD" w14:textId="77777777" w:rsidTr="00DD4913">
        <w:trPr>
          <w:trHeight w:val="961"/>
        </w:trPr>
        <w:tc>
          <w:tcPr>
            <w:tcW w:w="4182" w:type="dxa"/>
            <w:tcBorders>
              <w:bottom w:val="single" w:sz="4" w:space="0" w:color="000000"/>
            </w:tcBorders>
          </w:tcPr>
          <w:p w14:paraId="79521C79" w14:textId="77777777" w:rsidR="00F13BE3" w:rsidRPr="00171A2C" w:rsidRDefault="00F13BE3" w:rsidP="00B16199">
            <w:pPr>
              <w:spacing w:before="60" w:after="60"/>
              <w:rPr>
                <w:sz w:val="20"/>
                <w:szCs w:val="20"/>
                <w:lang w:val="en-GB"/>
              </w:rPr>
            </w:pPr>
            <w:r w:rsidRPr="00171A2C">
              <w:rPr>
                <w:sz w:val="20"/>
                <w:szCs w:val="20"/>
                <w:lang w:val="en-GB"/>
              </w:rPr>
              <w:t xml:space="preserve">     A. Examination</w:t>
            </w:r>
          </w:p>
          <w:p w14:paraId="5E1B46AA" w14:textId="77777777" w:rsidR="00F13BE3" w:rsidRPr="00171A2C" w:rsidRDefault="00F13BE3" w:rsidP="00B16199">
            <w:pPr>
              <w:spacing w:before="60" w:after="60"/>
              <w:rPr>
                <w:sz w:val="20"/>
                <w:szCs w:val="20"/>
                <w:lang w:val="en-GB"/>
              </w:rPr>
            </w:pPr>
            <w:r w:rsidRPr="00171A2C">
              <w:rPr>
                <w:sz w:val="20"/>
                <w:szCs w:val="20"/>
                <w:lang w:val="en-GB"/>
              </w:rPr>
              <w:t xml:space="preserve">     B. Activities of daily living</w:t>
            </w:r>
          </w:p>
          <w:p w14:paraId="5772D993" w14:textId="77777777" w:rsidR="00F13BE3" w:rsidRPr="00171A2C" w:rsidRDefault="00F13BE3" w:rsidP="00B16199">
            <w:pPr>
              <w:spacing w:before="60" w:after="60"/>
              <w:rPr>
                <w:sz w:val="20"/>
                <w:szCs w:val="20"/>
                <w:lang w:val="en-GB"/>
              </w:rPr>
            </w:pPr>
            <w:r w:rsidRPr="00171A2C">
              <w:rPr>
                <w:sz w:val="20"/>
                <w:szCs w:val="20"/>
                <w:lang w:val="en-GB"/>
              </w:rPr>
              <w:t xml:space="preserve">     C. Complications</w:t>
            </w:r>
          </w:p>
        </w:tc>
        <w:tc>
          <w:tcPr>
            <w:tcW w:w="1222" w:type="dxa"/>
            <w:tcBorders>
              <w:bottom w:val="single" w:sz="4" w:space="0" w:color="000000"/>
            </w:tcBorders>
          </w:tcPr>
          <w:p w14:paraId="6C11B2DE" w14:textId="77777777" w:rsidR="00F13BE3" w:rsidRPr="00171A2C" w:rsidRDefault="00F13BE3" w:rsidP="00B16199">
            <w:pPr>
              <w:spacing w:before="60" w:after="60"/>
              <w:rPr>
                <w:sz w:val="20"/>
                <w:szCs w:val="20"/>
                <w:lang w:val="en-GB"/>
              </w:rPr>
            </w:pPr>
            <w:r w:rsidRPr="00171A2C">
              <w:rPr>
                <w:sz w:val="20"/>
                <w:szCs w:val="20"/>
                <w:lang w:val="en-GB"/>
              </w:rPr>
              <w:t>11.54</w:t>
            </w:r>
          </w:p>
          <w:p w14:paraId="7E07E003" w14:textId="77777777" w:rsidR="00F13BE3" w:rsidRPr="00171A2C" w:rsidRDefault="00F13BE3" w:rsidP="00B16199">
            <w:pPr>
              <w:spacing w:before="60" w:after="60"/>
              <w:rPr>
                <w:sz w:val="20"/>
                <w:szCs w:val="20"/>
                <w:lang w:val="en-GB"/>
              </w:rPr>
            </w:pPr>
            <w:r w:rsidRPr="00171A2C">
              <w:rPr>
                <w:sz w:val="20"/>
                <w:szCs w:val="20"/>
                <w:lang w:val="en-GB"/>
              </w:rPr>
              <w:t>6.80</w:t>
            </w:r>
          </w:p>
          <w:p w14:paraId="0F29CC8D" w14:textId="77777777" w:rsidR="00F13BE3" w:rsidRPr="00171A2C" w:rsidRDefault="00F13BE3" w:rsidP="00B16199">
            <w:pPr>
              <w:spacing w:before="60" w:after="60"/>
              <w:rPr>
                <w:sz w:val="20"/>
                <w:szCs w:val="20"/>
                <w:lang w:val="en-GB"/>
              </w:rPr>
            </w:pPr>
            <w:r w:rsidRPr="00171A2C">
              <w:rPr>
                <w:sz w:val="20"/>
                <w:szCs w:val="20"/>
                <w:lang w:val="en-GB"/>
              </w:rPr>
              <w:t>2.73</w:t>
            </w:r>
          </w:p>
        </w:tc>
        <w:tc>
          <w:tcPr>
            <w:tcW w:w="1092" w:type="dxa"/>
            <w:tcBorders>
              <w:bottom w:val="single" w:sz="4" w:space="0" w:color="000000"/>
            </w:tcBorders>
          </w:tcPr>
          <w:p w14:paraId="519901A2" w14:textId="77777777" w:rsidR="00F13BE3" w:rsidRPr="00171A2C" w:rsidRDefault="00F13BE3" w:rsidP="00B16199">
            <w:pPr>
              <w:spacing w:before="60" w:after="60"/>
              <w:rPr>
                <w:sz w:val="20"/>
                <w:szCs w:val="20"/>
                <w:lang w:val="en-GB"/>
              </w:rPr>
            </w:pPr>
            <w:r w:rsidRPr="00171A2C">
              <w:rPr>
                <w:sz w:val="20"/>
                <w:szCs w:val="20"/>
                <w:lang w:val="en-GB"/>
              </w:rPr>
              <w:t>6.56</w:t>
            </w:r>
          </w:p>
          <w:p w14:paraId="75E07778" w14:textId="77777777" w:rsidR="00F13BE3" w:rsidRPr="00171A2C" w:rsidRDefault="00F13BE3" w:rsidP="00B16199">
            <w:pPr>
              <w:spacing w:before="60" w:after="60"/>
              <w:rPr>
                <w:sz w:val="20"/>
                <w:szCs w:val="20"/>
                <w:lang w:val="en-GB"/>
              </w:rPr>
            </w:pPr>
            <w:r w:rsidRPr="00171A2C">
              <w:rPr>
                <w:sz w:val="20"/>
                <w:szCs w:val="20"/>
                <w:lang w:val="en-GB"/>
              </w:rPr>
              <w:t>4.19</w:t>
            </w:r>
          </w:p>
          <w:p w14:paraId="3F542BB5" w14:textId="77777777" w:rsidR="00F13BE3" w:rsidRPr="00171A2C" w:rsidRDefault="00F13BE3" w:rsidP="00B16199">
            <w:pPr>
              <w:spacing w:before="60" w:after="60"/>
              <w:rPr>
                <w:sz w:val="20"/>
                <w:szCs w:val="20"/>
                <w:lang w:val="en-GB"/>
              </w:rPr>
            </w:pPr>
            <w:r w:rsidRPr="00171A2C">
              <w:rPr>
                <w:sz w:val="20"/>
                <w:szCs w:val="20"/>
                <w:lang w:val="en-GB"/>
              </w:rPr>
              <w:t>3.01</w:t>
            </w:r>
          </w:p>
        </w:tc>
        <w:tc>
          <w:tcPr>
            <w:tcW w:w="1119" w:type="dxa"/>
            <w:tcBorders>
              <w:bottom w:val="single" w:sz="4" w:space="0" w:color="000000"/>
            </w:tcBorders>
          </w:tcPr>
          <w:p w14:paraId="1B1D9500" w14:textId="77777777" w:rsidR="00F13BE3" w:rsidRPr="00171A2C" w:rsidRDefault="00F13BE3" w:rsidP="00B16199">
            <w:pPr>
              <w:spacing w:before="60" w:after="60"/>
              <w:rPr>
                <w:sz w:val="20"/>
                <w:szCs w:val="20"/>
                <w:lang w:val="en-GB"/>
              </w:rPr>
            </w:pPr>
            <w:r w:rsidRPr="00171A2C">
              <w:rPr>
                <w:sz w:val="20"/>
                <w:szCs w:val="20"/>
                <w:lang w:val="en-GB"/>
              </w:rPr>
              <w:t>10</w:t>
            </w:r>
          </w:p>
          <w:p w14:paraId="58E9D719" w14:textId="77777777" w:rsidR="00F13BE3" w:rsidRPr="00171A2C" w:rsidRDefault="00F13BE3" w:rsidP="00B16199">
            <w:pPr>
              <w:spacing w:before="60" w:after="60"/>
              <w:rPr>
                <w:sz w:val="20"/>
                <w:szCs w:val="20"/>
                <w:lang w:val="en-GB"/>
              </w:rPr>
            </w:pPr>
            <w:r w:rsidRPr="00171A2C">
              <w:rPr>
                <w:sz w:val="20"/>
                <w:szCs w:val="20"/>
                <w:lang w:val="en-GB"/>
              </w:rPr>
              <w:t>7</w:t>
            </w:r>
          </w:p>
          <w:p w14:paraId="1DEDB978" w14:textId="77777777" w:rsidR="00F13BE3" w:rsidRPr="00171A2C" w:rsidRDefault="00F13BE3" w:rsidP="00B16199">
            <w:pPr>
              <w:spacing w:before="60" w:after="60"/>
              <w:rPr>
                <w:sz w:val="20"/>
                <w:szCs w:val="20"/>
                <w:lang w:val="en-GB"/>
              </w:rPr>
            </w:pPr>
            <w:r w:rsidRPr="00171A2C">
              <w:rPr>
                <w:sz w:val="20"/>
                <w:szCs w:val="20"/>
                <w:lang w:val="en-GB"/>
              </w:rPr>
              <w:t>2</w:t>
            </w:r>
          </w:p>
        </w:tc>
        <w:tc>
          <w:tcPr>
            <w:tcW w:w="1105" w:type="dxa"/>
            <w:tcBorders>
              <w:bottom w:val="single" w:sz="4" w:space="0" w:color="000000"/>
            </w:tcBorders>
          </w:tcPr>
          <w:p w14:paraId="43F0ECD6" w14:textId="77777777" w:rsidR="00F13BE3" w:rsidRPr="00171A2C" w:rsidRDefault="00F13BE3" w:rsidP="00B16199">
            <w:pPr>
              <w:spacing w:before="60" w:after="60"/>
              <w:rPr>
                <w:sz w:val="20"/>
                <w:szCs w:val="20"/>
                <w:lang w:val="en-GB"/>
              </w:rPr>
            </w:pPr>
            <w:r w:rsidRPr="00171A2C">
              <w:rPr>
                <w:sz w:val="20"/>
                <w:szCs w:val="20"/>
                <w:lang w:val="en-GB"/>
              </w:rPr>
              <w:t xml:space="preserve">0 – 41 </w:t>
            </w:r>
          </w:p>
          <w:p w14:paraId="0CBAA915" w14:textId="77777777" w:rsidR="00F13BE3" w:rsidRPr="00171A2C" w:rsidRDefault="00F13BE3" w:rsidP="00B16199">
            <w:pPr>
              <w:spacing w:before="60" w:after="60"/>
              <w:rPr>
                <w:sz w:val="20"/>
                <w:szCs w:val="20"/>
                <w:lang w:val="en-GB"/>
              </w:rPr>
            </w:pPr>
            <w:r w:rsidRPr="00171A2C">
              <w:rPr>
                <w:sz w:val="20"/>
                <w:szCs w:val="20"/>
                <w:lang w:val="en-GB"/>
              </w:rPr>
              <w:t xml:space="preserve">0 – 21 </w:t>
            </w:r>
          </w:p>
          <w:p w14:paraId="6FF54E36" w14:textId="77777777" w:rsidR="00F13BE3" w:rsidRPr="00171A2C" w:rsidRDefault="00F13BE3" w:rsidP="00B16199">
            <w:pPr>
              <w:spacing w:before="60" w:after="60"/>
              <w:rPr>
                <w:sz w:val="20"/>
                <w:szCs w:val="20"/>
                <w:lang w:val="en-GB"/>
              </w:rPr>
            </w:pPr>
            <w:r w:rsidRPr="00171A2C">
              <w:rPr>
                <w:sz w:val="20"/>
                <w:szCs w:val="20"/>
                <w:lang w:val="en-GB"/>
              </w:rPr>
              <w:t xml:space="preserve">0 – 12 </w:t>
            </w:r>
          </w:p>
        </w:tc>
      </w:tr>
      <w:tr w:rsidR="00171A2C" w:rsidRPr="00171A2C" w14:paraId="6A491811" w14:textId="77777777" w:rsidTr="00E34BFA">
        <w:tc>
          <w:tcPr>
            <w:tcW w:w="4182" w:type="dxa"/>
            <w:tcBorders>
              <w:top w:val="single" w:sz="4" w:space="0" w:color="000000"/>
              <w:bottom w:val="single" w:sz="4" w:space="0" w:color="000000"/>
            </w:tcBorders>
          </w:tcPr>
          <w:p w14:paraId="46842DA4" w14:textId="66DB5FB3" w:rsidR="00171A2C" w:rsidRPr="00171A2C" w:rsidRDefault="0026264C" w:rsidP="00B16199">
            <w:pPr>
              <w:spacing w:before="60" w:after="60"/>
              <w:rPr>
                <w:sz w:val="20"/>
                <w:szCs w:val="20"/>
                <w:lang w:val="en-GB"/>
              </w:rPr>
            </w:pPr>
            <w:r>
              <w:rPr>
                <w:sz w:val="20"/>
                <w:szCs w:val="20"/>
                <w:lang w:val="en-GB"/>
              </w:rPr>
              <w:softHyphen/>
            </w:r>
            <w:r>
              <w:rPr>
                <w:sz w:val="20"/>
                <w:szCs w:val="20"/>
                <w:lang w:val="en-GB"/>
              </w:rPr>
              <w:softHyphen/>
            </w:r>
            <w:r>
              <w:rPr>
                <w:sz w:val="20"/>
                <w:szCs w:val="20"/>
                <w:lang w:val="en-GB"/>
              </w:rPr>
              <w:softHyphen/>
            </w:r>
            <w:r>
              <w:rPr>
                <w:sz w:val="20"/>
                <w:szCs w:val="20"/>
                <w:lang w:val="en-GB"/>
              </w:rPr>
              <w:softHyphen/>
            </w:r>
            <w:r w:rsidR="00171A2C" w:rsidRPr="00171A2C">
              <w:rPr>
                <w:sz w:val="20"/>
                <w:szCs w:val="20"/>
                <w:lang w:val="en-GB"/>
              </w:rPr>
              <w:t>Clinical Impression of Severity Index</w:t>
            </w:r>
          </w:p>
        </w:tc>
        <w:tc>
          <w:tcPr>
            <w:tcW w:w="1222" w:type="dxa"/>
            <w:tcBorders>
              <w:top w:val="single" w:sz="4" w:space="0" w:color="000000"/>
              <w:bottom w:val="single" w:sz="4" w:space="0" w:color="000000"/>
            </w:tcBorders>
          </w:tcPr>
          <w:p w14:paraId="57D7C598" w14:textId="38A67382" w:rsidR="00171A2C" w:rsidRPr="00171A2C" w:rsidRDefault="00171A2C" w:rsidP="00B16199">
            <w:pPr>
              <w:spacing w:before="60" w:after="60"/>
              <w:rPr>
                <w:sz w:val="20"/>
                <w:szCs w:val="20"/>
                <w:lang w:val="en-GB"/>
              </w:rPr>
            </w:pPr>
            <w:r w:rsidRPr="00171A2C">
              <w:rPr>
                <w:sz w:val="20"/>
                <w:szCs w:val="20"/>
                <w:lang w:val="en-GB"/>
              </w:rPr>
              <w:t>8.29</w:t>
            </w:r>
          </w:p>
        </w:tc>
        <w:tc>
          <w:tcPr>
            <w:tcW w:w="1092" w:type="dxa"/>
            <w:tcBorders>
              <w:top w:val="single" w:sz="4" w:space="0" w:color="000000"/>
              <w:bottom w:val="single" w:sz="4" w:space="0" w:color="000000"/>
            </w:tcBorders>
          </w:tcPr>
          <w:p w14:paraId="0BC429F8" w14:textId="77777777" w:rsidR="00171A2C" w:rsidRPr="00171A2C" w:rsidRDefault="00171A2C" w:rsidP="00B16199">
            <w:pPr>
              <w:spacing w:before="60" w:after="60"/>
              <w:rPr>
                <w:sz w:val="20"/>
                <w:szCs w:val="20"/>
                <w:lang w:val="en-GB"/>
              </w:rPr>
            </w:pPr>
            <w:r w:rsidRPr="00171A2C">
              <w:rPr>
                <w:sz w:val="20"/>
                <w:szCs w:val="20"/>
                <w:lang w:val="en-GB"/>
              </w:rPr>
              <w:t>4.61</w:t>
            </w:r>
          </w:p>
        </w:tc>
        <w:tc>
          <w:tcPr>
            <w:tcW w:w="1119" w:type="dxa"/>
            <w:tcBorders>
              <w:top w:val="single" w:sz="4" w:space="0" w:color="000000"/>
              <w:bottom w:val="single" w:sz="4" w:space="0" w:color="000000"/>
            </w:tcBorders>
          </w:tcPr>
          <w:p w14:paraId="7F8AC916" w14:textId="77777777" w:rsidR="00171A2C" w:rsidRPr="00171A2C" w:rsidRDefault="00171A2C" w:rsidP="00B16199">
            <w:pPr>
              <w:spacing w:before="60" w:after="60"/>
              <w:rPr>
                <w:sz w:val="20"/>
                <w:szCs w:val="20"/>
                <w:lang w:val="en-GB"/>
              </w:rPr>
            </w:pPr>
            <w:r w:rsidRPr="00171A2C">
              <w:rPr>
                <w:sz w:val="20"/>
                <w:szCs w:val="20"/>
                <w:lang w:val="en-GB"/>
              </w:rPr>
              <w:t>8</w:t>
            </w:r>
          </w:p>
        </w:tc>
        <w:tc>
          <w:tcPr>
            <w:tcW w:w="1105" w:type="dxa"/>
            <w:tcBorders>
              <w:top w:val="single" w:sz="4" w:space="0" w:color="000000"/>
              <w:bottom w:val="single" w:sz="4" w:space="0" w:color="000000"/>
            </w:tcBorders>
          </w:tcPr>
          <w:p w14:paraId="0A514177" w14:textId="77777777" w:rsidR="00171A2C" w:rsidRPr="00171A2C" w:rsidRDefault="00171A2C" w:rsidP="00B16199">
            <w:pPr>
              <w:spacing w:before="60" w:after="60"/>
              <w:rPr>
                <w:sz w:val="20"/>
                <w:szCs w:val="20"/>
                <w:lang w:val="en-GB"/>
              </w:rPr>
            </w:pPr>
            <w:r w:rsidRPr="00171A2C">
              <w:rPr>
                <w:sz w:val="20"/>
                <w:szCs w:val="20"/>
                <w:lang w:val="en-GB"/>
              </w:rPr>
              <w:t xml:space="preserve">0 – 24 </w:t>
            </w:r>
          </w:p>
        </w:tc>
      </w:tr>
      <w:tr w:rsidR="00E34BFA" w:rsidRPr="00171A2C" w14:paraId="46FE5B3B" w14:textId="77777777" w:rsidTr="00FE044E">
        <w:tc>
          <w:tcPr>
            <w:tcW w:w="8720" w:type="dxa"/>
            <w:gridSpan w:val="5"/>
            <w:tcBorders>
              <w:top w:val="single" w:sz="4" w:space="0" w:color="000000"/>
              <w:bottom w:val="single" w:sz="4" w:space="0" w:color="000000"/>
            </w:tcBorders>
            <w:vAlign w:val="center"/>
          </w:tcPr>
          <w:p w14:paraId="112D39F7" w14:textId="72063DF4" w:rsidR="00E34BFA" w:rsidRPr="00E34BFA" w:rsidRDefault="00E34BFA" w:rsidP="00B16199">
            <w:pPr>
              <w:spacing w:before="60" w:after="60"/>
              <w:rPr>
                <w:sz w:val="20"/>
                <w:szCs w:val="20"/>
                <w:lang w:val="en-GB"/>
              </w:rPr>
            </w:pPr>
            <w:r w:rsidRPr="00E34BFA">
              <w:rPr>
                <w:sz w:val="20"/>
                <w:szCs w:val="20"/>
                <w:lang w:val="en-GB"/>
              </w:rPr>
              <w:t xml:space="preserve">SD: Standard </w:t>
            </w:r>
            <w:r w:rsidR="001966C5" w:rsidRPr="00E34BFA">
              <w:rPr>
                <w:sz w:val="20"/>
                <w:szCs w:val="20"/>
                <w:lang w:val="en-GB"/>
              </w:rPr>
              <w:t>deviation</w:t>
            </w:r>
            <w:r w:rsidR="001966C5">
              <w:rPr>
                <w:sz w:val="20"/>
                <w:szCs w:val="20"/>
                <w:lang w:val="en-GB"/>
              </w:rPr>
              <w:t>.</w:t>
            </w:r>
            <w:r w:rsidR="001966C5" w:rsidRPr="00E34BFA">
              <w:rPr>
                <w:sz w:val="20"/>
                <w:szCs w:val="20"/>
                <w:lang w:val="en-GB"/>
              </w:rPr>
              <w:t xml:space="preserve"> SCOPA</w:t>
            </w:r>
            <w:r w:rsidRPr="00E34BFA">
              <w:rPr>
                <w:sz w:val="20"/>
                <w:szCs w:val="20"/>
                <w:lang w:val="en-GB"/>
              </w:rPr>
              <w:t>: Scales for Outcomes in Parkinson’s Disease.</w:t>
            </w:r>
          </w:p>
          <w:p w14:paraId="0F1580E4" w14:textId="6F5FAAE2" w:rsidR="00E34BFA" w:rsidRPr="00171A2C" w:rsidRDefault="00E34BFA" w:rsidP="00B16199">
            <w:pPr>
              <w:spacing w:before="60" w:after="60"/>
              <w:rPr>
                <w:sz w:val="20"/>
                <w:szCs w:val="20"/>
                <w:lang w:val="en-GB"/>
              </w:rPr>
            </w:pPr>
            <w:r w:rsidRPr="00E34BFA">
              <w:rPr>
                <w:sz w:val="20"/>
                <w:szCs w:val="20"/>
                <w:lang w:val="en-GB"/>
              </w:rPr>
              <w:t>* Scores derived from items of the SCOPA-Motor A. Examination.</w:t>
            </w:r>
          </w:p>
        </w:tc>
      </w:tr>
    </w:tbl>
    <w:p w14:paraId="26FECD50" w14:textId="210AE8F9" w:rsidR="00C0617B" w:rsidRPr="00E75106" w:rsidRDefault="00C0617B" w:rsidP="00B16199">
      <w:pPr>
        <w:pStyle w:val="Heading2"/>
        <w:jc w:val="both"/>
        <w:rPr>
          <w:rFonts w:cs="Times New Roman"/>
          <w:i/>
        </w:rPr>
      </w:pPr>
      <w:r w:rsidRPr="00E75106">
        <w:rPr>
          <w:rFonts w:cs="Times New Roman"/>
          <w:i/>
        </w:rPr>
        <w:t>Domains clustering</w:t>
      </w:r>
    </w:p>
    <w:p w14:paraId="1817389A" w14:textId="5F003A8F" w:rsidR="00C0617B" w:rsidRPr="008614C4" w:rsidRDefault="00C0617B" w:rsidP="00B16199">
      <w:pPr>
        <w:ind w:firstLine="720"/>
        <w:rPr>
          <w:rFonts w:cs="Times New Roman"/>
        </w:rPr>
      </w:pPr>
      <w:r w:rsidRPr="008614C4">
        <w:rPr>
          <w:rFonts w:cs="Times New Roman"/>
        </w:rPr>
        <w:t>Results from the</w:t>
      </w:r>
      <w:r w:rsidR="0091038D">
        <w:rPr>
          <w:rFonts w:cs="Times New Roman"/>
        </w:rPr>
        <w:t xml:space="preserve"> </w:t>
      </w:r>
      <w:r w:rsidR="00CE102E" w:rsidRPr="00CE102E">
        <w:rPr>
          <w:rFonts w:cs="Times New Roman"/>
          <w:i/>
        </w:rPr>
        <w:t>k</w:t>
      </w:r>
      <w:r w:rsidR="00CE102E">
        <w:rPr>
          <w:rFonts w:cs="Times New Roman"/>
        </w:rPr>
        <w:t xml:space="preserve">-means </w:t>
      </w:r>
      <w:r w:rsidRPr="00CE102E">
        <w:rPr>
          <w:rFonts w:cs="Times New Roman"/>
        </w:rPr>
        <w:t>clustering</w:t>
      </w:r>
      <w:r w:rsidRPr="008614C4">
        <w:rPr>
          <w:rFonts w:cs="Times New Roman"/>
        </w:rPr>
        <w:t xml:space="preserve"> on the nine </w:t>
      </w:r>
      <w:r w:rsidR="00571C87">
        <w:rPr>
          <w:rFonts w:cs="Times New Roman"/>
        </w:rPr>
        <w:t>non-motor</w:t>
      </w:r>
      <w:r w:rsidR="0091038D">
        <w:rPr>
          <w:rFonts w:cs="Times New Roman"/>
        </w:rPr>
        <w:t xml:space="preserve"> </w:t>
      </w:r>
      <w:r w:rsidR="001966C5" w:rsidRPr="008614C4">
        <w:rPr>
          <w:rFonts w:cs="Times New Roman"/>
        </w:rPr>
        <w:t>domains</w:t>
      </w:r>
      <w:r w:rsidR="001966C5">
        <w:rPr>
          <w:rFonts w:cs="Times New Roman"/>
        </w:rPr>
        <w:t>,</w:t>
      </w:r>
      <w:r w:rsidR="001966C5" w:rsidRPr="008614C4">
        <w:rPr>
          <w:rFonts w:cs="Times New Roman"/>
        </w:rPr>
        <w:t xml:space="preserve"> the</w:t>
      </w:r>
      <w:r w:rsidR="0091038D">
        <w:rPr>
          <w:rFonts w:cs="Times New Roman"/>
        </w:rPr>
        <w:t xml:space="preserve"> </w:t>
      </w:r>
      <w:r w:rsidR="001966C5">
        <w:rPr>
          <w:rFonts w:cs="Times New Roman"/>
        </w:rPr>
        <w:t>four cardinal</w:t>
      </w:r>
      <w:r w:rsidR="00905741">
        <w:rPr>
          <w:rFonts w:cs="Times New Roman"/>
        </w:rPr>
        <w:t xml:space="preserve"> motor</w:t>
      </w:r>
      <w:r w:rsidR="0091038D">
        <w:rPr>
          <w:rFonts w:cs="Times New Roman"/>
        </w:rPr>
        <w:t xml:space="preserve"> </w:t>
      </w:r>
      <w:r w:rsidR="00905741">
        <w:rPr>
          <w:rFonts w:cs="Times New Roman"/>
        </w:rPr>
        <w:t>signs</w:t>
      </w:r>
      <w:r w:rsidRPr="008614C4">
        <w:rPr>
          <w:rFonts w:cs="Times New Roman"/>
        </w:rPr>
        <w:t xml:space="preserve">, </w:t>
      </w:r>
      <w:r w:rsidR="005D761D">
        <w:rPr>
          <w:rFonts w:cs="Times New Roman"/>
        </w:rPr>
        <w:t xml:space="preserve">the motor complications, </w:t>
      </w:r>
      <w:r w:rsidRPr="008614C4">
        <w:rPr>
          <w:rFonts w:cs="Times New Roman"/>
        </w:rPr>
        <w:t>as well as additional variables not used in the a</w:t>
      </w:r>
      <w:r w:rsidR="00E34BFA">
        <w:rPr>
          <w:rFonts w:cs="Times New Roman"/>
        </w:rPr>
        <w:t>nalysis, are reported in Table 2</w:t>
      </w:r>
      <w:r w:rsidR="0091038D">
        <w:rPr>
          <w:rFonts w:cs="Times New Roman"/>
        </w:rPr>
        <w:t xml:space="preserve"> </w:t>
      </w:r>
      <w:r w:rsidR="00A06514">
        <w:rPr>
          <w:rFonts w:cs="Times New Roman"/>
        </w:rPr>
        <w:t>(heatmap in Fig.</w:t>
      </w:r>
      <w:r w:rsidR="005F5402">
        <w:rPr>
          <w:rFonts w:cs="Times New Roman"/>
        </w:rPr>
        <w:t xml:space="preserve"> </w:t>
      </w:r>
      <w:r w:rsidR="00A06514">
        <w:rPr>
          <w:rFonts w:cs="Times New Roman"/>
        </w:rPr>
        <w:t xml:space="preserve">1; </w:t>
      </w:r>
      <w:r w:rsidRPr="008614C4">
        <w:rPr>
          <w:rFonts w:cs="Times New Roman"/>
        </w:rPr>
        <w:t xml:space="preserve">boxplots in </w:t>
      </w:r>
      <w:r w:rsidR="00DC6A0E">
        <w:rPr>
          <w:rFonts w:cs="Times New Roman"/>
        </w:rPr>
        <w:t xml:space="preserve">Supplementary </w:t>
      </w:r>
      <w:r w:rsidR="002C325E">
        <w:rPr>
          <w:rFonts w:cs="Times New Roman"/>
        </w:rPr>
        <w:t>Fig.</w:t>
      </w:r>
      <w:r w:rsidR="00DC6A0E">
        <w:rPr>
          <w:rFonts w:cs="Times New Roman"/>
        </w:rPr>
        <w:t xml:space="preserve"> 2</w:t>
      </w:r>
      <w:r w:rsidR="00A06514">
        <w:rPr>
          <w:rFonts w:cs="Times New Roman"/>
        </w:rPr>
        <w:t>)</w:t>
      </w:r>
      <w:r w:rsidRPr="008614C4">
        <w:rPr>
          <w:rFonts w:cs="Times New Roman"/>
        </w:rPr>
        <w:t xml:space="preserve">. Cluster means for all </w:t>
      </w:r>
      <w:r w:rsidR="00157552">
        <w:rPr>
          <w:rFonts w:cs="Times New Roman"/>
        </w:rPr>
        <w:t>variables were found to be sta</w:t>
      </w:r>
      <w:r w:rsidR="00A132A4">
        <w:rPr>
          <w:rFonts w:cs="Times New Roman"/>
        </w:rPr>
        <w:t>tistically different</w:t>
      </w:r>
      <w:r w:rsidRPr="008614C4">
        <w:rPr>
          <w:rFonts w:cs="Times New Roman"/>
        </w:rPr>
        <w:t xml:space="preserve"> except for </w:t>
      </w:r>
      <w:r w:rsidR="0049072B">
        <w:rPr>
          <w:rFonts w:cs="Times New Roman"/>
        </w:rPr>
        <w:t xml:space="preserve">age at </w:t>
      </w:r>
      <w:r w:rsidR="00137374">
        <w:rPr>
          <w:rFonts w:cs="Times New Roman"/>
        </w:rPr>
        <w:t>disease</w:t>
      </w:r>
      <w:r w:rsidRPr="008614C4">
        <w:rPr>
          <w:rFonts w:cs="Times New Roman"/>
        </w:rPr>
        <w:t xml:space="preserve"> onset </w:t>
      </w:r>
      <w:r w:rsidR="0085428C">
        <w:rPr>
          <w:rFonts w:cs="Times New Roman"/>
        </w:rPr>
        <w:t xml:space="preserve">and </w:t>
      </w:r>
      <w:r w:rsidR="00963FD7">
        <w:rPr>
          <w:rFonts w:cs="Times New Roman"/>
        </w:rPr>
        <w:t>sex</w:t>
      </w:r>
      <w:r w:rsidR="00963FD7" w:rsidRPr="008614C4">
        <w:rPr>
          <w:rFonts w:cs="Times New Roman"/>
        </w:rPr>
        <w:t xml:space="preserve"> (</w:t>
      </w:r>
      <m:oMath>
        <m:r>
          <w:rPr>
            <w:rFonts w:ascii="Cambria Math" w:hAnsi="Cambria Math" w:cs="Times New Roman"/>
          </w:rPr>
          <m:t>p&lt;0.0026</m:t>
        </m:r>
      </m:oMath>
      <w:r w:rsidRPr="008614C4">
        <w:rPr>
          <w:rFonts w:cs="Times New Roman"/>
        </w:rPr>
        <w:t xml:space="preserve"> after correcting for the comparisons of the </w:t>
      </w:r>
      <w:r w:rsidR="006B0A4F">
        <w:rPr>
          <w:rFonts w:cs="Times New Roman"/>
        </w:rPr>
        <w:t>19</w:t>
      </w:r>
      <w:r w:rsidRPr="008614C4">
        <w:rPr>
          <w:rFonts w:cs="Times New Roman"/>
        </w:rPr>
        <w:t xml:space="preserve"> variables). Specific pairwise differences are noted</w:t>
      </w:r>
      <w:r w:rsidR="0091038D">
        <w:rPr>
          <w:rFonts w:cs="Times New Roman"/>
        </w:rPr>
        <w:t xml:space="preserve"> </w:t>
      </w:r>
      <w:r w:rsidR="00E4394C">
        <w:rPr>
          <w:rFonts w:cs="Times New Roman"/>
        </w:rPr>
        <w:t>i</w:t>
      </w:r>
      <w:r w:rsidR="00E4394C" w:rsidRPr="008614C4">
        <w:rPr>
          <w:rFonts w:cs="Times New Roman"/>
        </w:rPr>
        <w:t xml:space="preserve">n </w:t>
      </w:r>
      <w:r w:rsidRPr="008614C4">
        <w:rPr>
          <w:rFonts w:cs="Times New Roman"/>
        </w:rPr>
        <w:t>the table.</w:t>
      </w:r>
    </w:p>
    <w:p w14:paraId="4DE32ACF" w14:textId="3608E754" w:rsidR="00C0617B" w:rsidRPr="008614C4" w:rsidRDefault="00C0617B" w:rsidP="00B16199">
      <w:pPr>
        <w:ind w:firstLine="720"/>
        <w:rPr>
          <w:rFonts w:cs="Times New Roman"/>
        </w:rPr>
      </w:pPr>
      <w:r w:rsidRPr="008614C4">
        <w:rPr>
          <w:rFonts w:cs="Times New Roman"/>
        </w:rPr>
        <w:t>Cluster 1 (</w:t>
      </w:r>
      <w:r w:rsidR="001541C0">
        <w:rPr>
          <w:rFonts w:cs="Times New Roman"/>
        </w:rPr>
        <w:t xml:space="preserve">D1, </w:t>
      </w:r>
      <m:oMath>
        <m:r>
          <w:rPr>
            <w:rFonts w:ascii="Cambria Math" w:hAnsi="Cambria Math" w:cs="Times New Roman"/>
          </w:rPr>
          <m:t>n=428</m:t>
        </m:r>
      </m:oMath>
      <w:r w:rsidRPr="008614C4">
        <w:rPr>
          <w:rFonts w:cs="Times New Roman"/>
        </w:rPr>
        <w:t xml:space="preserve">) patients </w:t>
      </w:r>
      <w:r w:rsidR="00AC4999">
        <w:rPr>
          <w:rFonts w:cs="Times New Roman"/>
        </w:rPr>
        <w:t>were mildly affected in all do</w:t>
      </w:r>
      <w:r w:rsidRPr="008614C4">
        <w:rPr>
          <w:rFonts w:cs="Times New Roman"/>
        </w:rPr>
        <w:t>mains. This cluster was</w:t>
      </w:r>
      <w:r w:rsidR="0091038D">
        <w:rPr>
          <w:rFonts w:cs="Times New Roman"/>
        </w:rPr>
        <w:t xml:space="preserve"> </w:t>
      </w:r>
      <w:r w:rsidRPr="008614C4">
        <w:rPr>
          <w:rFonts w:cs="Times New Roman"/>
        </w:rPr>
        <w:t>characterized by relatively lower disease durations and ages.</w:t>
      </w:r>
    </w:p>
    <w:p w14:paraId="1EEE3040" w14:textId="78F07AB0" w:rsidR="00C0617B" w:rsidRPr="008614C4" w:rsidRDefault="00C0617B" w:rsidP="00B16199">
      <w:pPr>
        <w:ind w:firstLine="720"/>
        <w:rPr>
          <w:rFonts w:cs="Times New Roman"/>
        </w:rPr>
      </w:pPr>
      <w:r w:rsidRPr="008614C4">
        <w:rPr>
          <w:rFonts w:cs="Times New Roman"/>
        </w:rPr>
        <w:t>Cluster 2 (</w:t>
      </w:r>
      <w:r w:rsidR="001541C0">
        <w:rPr>
          <w:rFonts w:cs="Times New Roman"/>
        </w:rPr>
        <w:t xml:space="preserve">D2, </w:t>
      </w:r>
      <m:oMath>
        <m:r>
          <w:rPr>
            <w:rFonts w:ascii="Cambria Math" w:hAnsi="Cambria Math" w:cs="Times New Roman"/>
          </w:rPr>
          <m:t>n=180</m:t>
        </m:r>
      </m:oMath>
      <w:r w:rsidRPr="008614C4">
        <w:rPr>
          <w:rFonts w:cs="Times New Roman"/>
        </w:rPr>
        <w:t xml:space="preserve">) patients were severely affected in </w:t>
      </w:r>
      <w:r w:rsidR="00571C87">
        <w:rPr>
          <w:rFonts w:cs="Times New Roman"/>
        </w:rPr>
        <w:t>non-motor</w:t>
      </w:r>
      <w:r w:rsidRPr="008614C4">
        <w:rPr>
          <w:rFonts w:cs="Times New Roman"/>
        </w:rPr>
        <w:t xml:space="preserve"> domains but mildly affected in mot</w:t>
      </w:r>
      <w:r w:rsidR="00571C87">
        <w:rPr>
          <w:rFonts w:cs="Times New Roman"/>
        </w:rPr>
        <w:t xml:space="preserve">or domains. This cluster had a severity </w:t>
      </w:r>
      <w:r w:rsidRPr="008614C4">
        <w:rPr>
          <w:rFonts w:cs="Times New Roman"/>
        </w:rPr>
        <w:t xml:space="preserve">of motor </w:t>
      </w:r>
      <w:r w:rsidR="00571C87">
        <w:rPr>
          <w:rFonts w:cs="Times New Roman"/>
        </w:rPr>
        <w:t>variables</w:t>
      </w:r>
      <w:r w:rsidR="00A0764C">
        <w:rPr>
          <w:rFonts w:cs="Times New Roman"/>
        </w:rPr>
        <w:t xml:space="preserve"> relatively similar to the c</w:t>
      </w:r>
      <w:r w:rsidRPr="008614C4">
        <w:rPr>
          <w:rFonts w:cs="Times New Roman"/>
        </w:rPr>
        <w:t>luster 1 (mild) subtype especially in tremor, but generally expressed significantly higher sco</w:t>
      </w:r>
      <w:r w:rsidR="00A0764C">
        <w:rPr>
          <w:rFonts w:cs="Times New Roman"/>
        </w:rPr>
        <w:t xml:space="preserve">res for </w:t>
      </w:r>
      <w:r w:rsidR="00571C87">
        <w:rPr>
          <w:rFonts w:cs="Times New Roman"/>
        </w:rPr>
        <w:t>non-motor</w:t>
      </w:r>
      <w:r w:rsidR="0091038D">
        <w:rPr>
          <w:rFonts w:cs="Times New Roman"/>
        </w:rPr>
        <w:t xml:space="preserve"> </w:t>
      </w:r>
      <w:r w:rsidR="00571C87">
        <w:rPr>
          <w:rFonts w:cs="Times New Roman"/>
        </w:rPr>
        <w:t>domains</w:t>
      </w:r>
      <w:r w:rsidR="00A0764C">
        <w:rPr>
          <w:rFonts w:cs="Times New Roman"/>
        </w:rPr>
        <w:t xml:space="preserve"> than c</w:t>
      </w:r>
      <w:r w:rsidRPr="008614C4">
        <w:rPr>
          <w:rFonts w:cs="Times New Roman"/>
        </w:rPr>
        <w:t>lusters 1 and 3, especially in the sleep/fatigue, mood/apathy</w:t>
      </w:r>
      <w:r w:rsidR="00560DF7">
        <w:rPr>
          <w:rFonts w:cs="Times New Roman"/>
        </w:rPr>
        <w:t>, urinary,</w:t>
      </w:r>
      <w:r w:rsidRPr="008614C4">
        <w:rPr>
          <w:rFonts w:cs="Times New Roman"/>
        </w:rPr>
        <w:t xml:space="preserve"> and miscellaneous domains.</w:t>
      </w:r>
      <w:r w:rsidR="00A0764C">
        <w:rPr>
          <w:rFonts w:cs="Times New Roman"/>
        </w:rPr>
        <w:t xml:space="preserve"> In motor complications uniquely, scores were not statistically different from cluster 3.</w:t>
      </w:r>
    </w:p>
    <w:p w14:paraId="32BDD40D" w14:textId="3904EC7C" w:rsidR="00C0617B" w:rsidRPr="008614C4" w:rsidRDefault="00C0617B" w:rsidP="00B16199">
      <w:pPr>
        <w:ind w:firstLine="720"/>
        <w:rPr>
          <w:rFonts w:cs="Times New Roman"/>
        </w:rPr>
      </w:pPr>
      <w:r w:rsidRPr="008614C4">
        <w:rPr>
          <w:rFonts w:cs="Times New Roman"/>
        </w:rPr>
        <w:t>Cluster 3 (</w:t>
      </w:r>
      <w:r w:rsidR="001541C0">
        <w:rPr>
          <w:rFonts w:cs="Times New Roman"/>
        </w:rPr>
        <w:t xml:space="preserve">D3, </w:t>
      </w:r>
      <m:oMath>
        <m:r>
          <w:rPr>
            <w:rFonts w:ascii="Cambria Math" w:hAnsi="Cambria Math" w:cs="Times New Roman"/>
          </w:rPr>
          <m:t>n=232</m:t>
        </m:r>
      </m:oMath>
      <w:r w:rsidRPr="008614C4">
        <w:rPr>
          <w:rFonts w:cs="Times New Roman"/>
        </w:rPr>
        <w:t xml:space="preserve">) patients were severely affected in motor domains but mildly affected in </w:t>
      </w:r>
      <w:r w:rsidR="00571C87">
        <w:rPr>
          <w:rFonts w:cs="Times New Roman"/>
        </w:rPr>
        <w:t>non-motor</w:t>
      </w:r>
      <w:r w:rsidRPr="008614C4">
        <w:rPr>
          <w:rFonts w:cs="Times New Roman"/>
        </w:rPr>
        <w:t xml:space="preserve"> domains. Mean motor scores were greater than the means of clusters 1 and 2,</w:t>
      </w:r>
      <w:r w:rsidR="00A0764C">
        <w:rPr>
          <w:rFonts w:cs="Times New Roman"/>
        </w:rPr>
        <w:t xml:space="preserve"> with the exception of motor complications. Additionally, mean motor scores were</w:t>
      </w:r>
      <w:r w:rsidRPr="008614C4">
        <w:rPr>
          <w:rFonts w:cs="Times New Roman"/>
        </w:rPr>
        <w:t xml:space="preserve"> less than 4, with the exception of tremor, which was especially high.</w:t>
      </w:r>
      <w:r w:rsidR="003F662E">
        <w:rPr>
          <w:rFonts w:cs="Times New Roman"/>
        </w:rPr>
        <w:t xml:space="preserve"> Importantly, CISI</w:t>
      </w:r>
      <w:r w:rsidR="00197FAA">
        <w:rPr>
          <w:rFonts w:cs="Times New Roman"/>
        </w:rPr>
        <w:t>-PD</w:t>
      </w:r>
      <w:r w:rsidR="003F662E">
        <w:rPr>
          <w:rFonts w:cs="Times New Roman"/>
        </w:rPr>
        <w:t xml:space="preserve"> scores of clusters </w:t>
      </w:r>
      <w:r w:rsidR="003F662E">
        <w:rPr>
          <w:rFonts w:cs="Times New Roman"/>
        </w:rPr>
        <w:lastRenderedPageBreak/>
        <w:t xml:space="preserve">2 and 3 were not </w:t>
      </w:r>
      <w:r w:rsidR="007B2C4E">
        <w:rPr>
          <w:rFonts w:cs="Times New Roman"/>
        </w:rPr>
        <w:t xml:space="preserve">statistically </w:t>
      </w:r>
      <w:r w:rsidR="00E77228">
        <w:rPr>
          <w:rFonts w:cs="Times New Roman"/>
        </w:rPr>
        <w:t>significantly different</w:t>
      </w:r>
      <w:r w:rsidR="001057E1">
        <w:rPr>
          <w:rFonts w:cs="Times New Roman"/>
        </w:rPr>
        <w:t xml:space="preserve">, and no differences were observed in cluster 2 and cluster 3 age or </w:t>
      </w:r>
      <w:r w:rsidR="00137374">
        <w:rPr>
          <w:rFonts w:cs="Times New Roman"/>
        </w:rPr>
        <w:t>disease</w:t>
      </w:r>
      <w:r w:rsidR="001057E1">
        <w:rPr>
          <w:rFonts w:cs="Times New Roman"/>
        </w:rPr>
        <w:t xml:space="preserve"> duration.</w:t>
      </w:r>
    </w:p>
    <w:p w14:paraId="07D315C6" w14:textId="72CD08DA" w:rsidR="008614C4" w:rsidRPr="006777E6" w:rsidRDefault="00C0617B" w:rsidP="00B16199">
      <w:pPr>
        <w:ind w:firstLine="720"/>
        <w:rPr>
          <w:rFonts w:cs="Times New Roman"/>
        </w:rPr>
      </w:pPr>
      <w:r w:rsidRPr="008614C4">
        <w:rPr>
          <w:rFonts w:cs="Times New Roman"/>
        </w:rPr>
        <w:t>Cluster 4</w:t>
      </w:r>
      <w:r w:rsidR="0091038D">
        <w:rPr>
          <w:rFonts w:cs="Times New Roman"/>
        </w:rPr>
        <w:t xml:space="preserve"> </w:t>
      </w:r>
      <w:r w:rsidR="008614C4" w:rsidRPr="008614C4">
        <w:rPr>
          <w:rFonts w:cs="Times New Roman"/>
        </w:rPr>
        <w:t>(</w:t>
      </w:r>
      <w:r w:rsidR="001541C0">
        <w:rPr>
          <w:rFonts w:cs="Times New Roman"/>
        </w:rPr>
        <w:t xml:space="preserve">D4, </w:t>
      </w:r>
      <m:oMath>
        <m:r>
          <w:rPr>
            <w:rFonts w:ascii="Cambria Math" w:hAnsi="Cambria Math" w:cs="Times New Roman"/>
          </w:rPr>
          <m:t>n=64</m:t>
        </m:r>
      </m:oMath>
      <w:r w:rsidRPr="008614C4">
        <w:rPr>
          <w:rFonts w:cs="Times New Roman"/>
        </w:rPr>
        <w:t>) patients were severely affected in all domains, having the greatest sym</w:t>
      </w:r>
      <w:r w:rsidR="008614C4" w:rsidRPr="008614C4">
        <w:rPr>
          <w:rFonts w:cs="Times New Roman"/>
        </w:rPr>
        <w:t>ptom mean out of all four clus</w:t>
      </w:r>
      <w:r w:rsidRPr="008614C4">
        <w:rPr>
          <w:rFonts w:cs="Times New Roman"/>
        </w:rPr>
        <w:t xml:space="preserve">ters with the exception of tremor. Consequently, patients in Cluster 4 had the longest average </w:t>
      </w:r>
      <w:r w:rsidR="00137374">
        <w:rPr>
          <w:rFonts w:cs="Times New Roman"/>
        </w:rPr>
        <w:t>disease</w:t>
      </w:r>
      <w:r w:rsidRPr="008614C4">
        <w:rPr>
          <w:rFonts w:cs="Times New Roman"/>
        </w:rPr>
        <w:t xml:space="preserve"> duration and olde</w:t>
      </w:r>
      <w:r w:rsidR="009C1335">
        <w:rPr>
          <w:rFonts w:cs="Times New Roman"/>
        </w:rPr>
        <w:t>r</w:t>
      </w:r>
      <w:r w:rsidRPr="008614C4">
        <w:rPr>
          <w:rFonts w:cs="Times New Roman"/>
        </w:rPr>
        <w:t xml:space="preserve"> ages, but did not have a significantly different age of </w:t>
      </w:r>
      <w:r w:rsidR="00137374">
        <w:rPr>
          <w:rFonts w:cs="Times New Roman"/>
        </w:rPr>
        <w:t>disease</w:t>
      </w:r>
      <w:r w:rsidRPr="008614C4">
        <w:rPr>
          <w:rFonts w:cs="Times New Roman"/>
        </w:rPr>
        <w:t xml:space="preserve"> onset</w:t>
      </w:r>
      <w:r w:rsidR="006777E6">
        <w:rPr>
          <w:rFonts w:cs="Times New Roman"/>
        </w:rPr>
        <w:t>.</w:t>
      </w:r>
    </w:p>
    <w:p w14:paraId="2B3427B5" w14:textId="46712CE1" w:rsidR="000A20E2" w:rsidRPr="000A20E2" w:rsidRDefault="000A20E2" w:rsidP="00B16199">
      <w:pPr>
        <w:pStyle w:val="Caption"/>
        <w:keepNext/>
        <w:rPr>
          <w:i w:val="0"/>
          <w:color w:val="000000" w:themeColor="text1"/>
          <w:sz w:val="20"/>
          <w:szCs w:val="20"/>
        </w:rPr>
      </w:pPr>
      <w:r>
        <w:t xml:space="preserve">Table </w:t>
      </w:r>
      <w:fldSimple w:instr=" SEQ Table \* ARABIC ">
        <w:r>
          <w:rPr>
            <w:noProof/>
          </w:rPr>
          <w:t>2</w:t>
        </w:r>
      </w:fldSimple>
      <w:r w:rsidRPr="00250EA8">
        <w:rPr>
          <w:color w:val="000000" w:themeColor="text1"/>
          <w:sz w:val="20"/>
          <w:szCs w:val="20"/>
        </w:rPr>
        <w:t>.</w:t>
      </w:r>
      <w:r>
        <w:rPr>
          <w:color w:val="000000" w:themeColor="text1"/>
          <w:sz w:val="20"/>
          <w:szCs w:val="20"/>
        </w:rPr>
        <w:t xml:space="preserve"> </w:t>
      </w:r>
      <w:r>
        <w:rPr>
          <w:i w:val="0"/>
          <w:color w:val="000000" w:themeColor="text1"/>
          <w:sz w:val="20"/>
          <w:szCs w:val="20"/>
        </w:rPr>
        <w:t>Domains</w:t>
      </w:r>
      <w:r w:rsidRPr="00250EA8">
        <w:rPr>
          <w:i w:val="0"/>
          <w:color w:val="000000" w:themeColor="text1"/>
          <w:sz w:val="20"/>
          <w:szCs w:val="20"/>
        </w:rPr>
        <w:t xml:space="preserve"> clustering summary.</w:t>
      </w:r>
      <w:r>
        <w:rPr>
          <w:i w:val="0"/>
          <w:color w:val="000000" w:themeColor="text1"/>
          <w:sz w:val="20"/>
          <w:szCs w:val="20"/>
        </w:rPr>
        <w:t xml:space="preserve"> </w:t>
      </w:r>
      <w:r w:rsidRPr="00250EA8">
        <w:rPr>
          <w:i w:val="0"/>
          <w:color w:val="000000" w:themeColor="text1"/>
          <w:sz w:val="20"/>
          <w:szCs w:val="20"/>
        </w:rPr>
        <w:t>Unless otherwise specified, statistics are reported as mean(sd).</w:t>
      </w:r>
    </w:p>
    <w:tbl>
      <w:tblPr>
        <w:tblStyle w:val="TableGrid"/>
        <w:tblW w:w="0" w:type="auto"/>
        <w:jc w:val="center"/>
        <w:tblLook w:val="04A0" w:firstRow="1" w:lastRow="0" w:firstColumn="1" w:lastColumn="0" w:noHBand="0" w:noVBand="1"/>
      </w:tblPr>
      <w:tblGrid>
        <w:gridCol w:w="1589"/>
        <w:gridCol w:w="2371"/>
        <w:gridCol w:w="1210"/>
        <w:gridCol w:w="1262"/>
        <w:gridCol w:w="1165"/>
        <w:gridCol w:w="1360"/>
      </w:tblGrid>
      <w:tr w:rsidR="00B547D2" w:rsidRPr="008614C4" w14:paraId="5AEEF333" w14:textId="77777777" w:rsidTr="00B16589">
        <w:trPr>
          <w:jc w:val="center"/>
        </w:trPr>
        <w:tc>
          <w:tcPr>
            <w:tcW w:w="0" w:type="auto"/>
            <w:tcBorders>
              <w:top w:val="single" w:sz="4" w:space="0" w:color="auto"/>
              <w:left w:val="nil"/>
              <w:bottom w:val="nil"/>
              <w:right w:val="nil"/>
            </w:tcBorders>
          </w:tcPr>
          <w:p w14:paraId="47F6F145" w14:textId="77777777" w:rsidR="000B3B9A" w:rsidRPr="008614C4" w:rsidRDefault="000B3B9A" w:rsidP="00B16199">
            <w:pPr>
              <w:rPr>
                <w:rFonts w:cs="Times New Roman"/>
                <w:sz w:val="20"/>
                <w:szCs w:val="20"/>
              </w:rPr>
            </w:pPr>
          </w:p>
        </w:tc>
        <w:tc>
          <w:tcPr>
            <w:tcW w:w="0" w:type="auto"/>
            <w:tcBorders>
              <w:top w:val="single" w:sz="4" w:space="0" w:color="auto"/>
              <w:left w:val="nil"/>
              <w:bottom w:val="nil"/>
              <w:right w:val="nil"/>
            </w:tcBorders>
          </w:tcPr>
          <w:p w14:paraId="6792C193" w14:textId="77777777" w:rsidR="000B3B9A" w:rsidRPr="008614C4" w:rsidRDefault="000B3B9A" w:rsidP="00B16199">
            <w:pPr>
              <w:rPr>
                <w:rFonts w:cs="Times New Roman"/>
                <w:sz w:val="20"/>
                <w:szCs w:val="20"/>
              </w:rPr>
            </w:pPr>
            <w:r w:rsidRPr="008614C4">
              <w:rPr>
                <w:rFonts w:cs="Times New Roman"/>
                <w:sz w:val="20"/>
                <w:szCs w:val="20"/>
              </w:rPr>
              <w:t>Cluster</w:t>
            </w:r>
          </w:p>
        </w:tc>
        <w:tc>
          <w:tcPr>
            <w:tcW w:w="0" w:type="auto"/>
            <w:tcBorders>
              <w:top w:val="single" w:sz="4" w:space="0" w:color="auto"/>
              <w:left w:val="nil"/>
              <w:bottom w:val="nil"/>
              <w:right w:val="nil"/>
            </w:tcBorders>
          </w:tcPr>
          <w:p w14:paraId="0419189F" w14:textId="77777777" w:rsidR="000B3B9A" w:rsidRPr="008614C4" w:rsidRDefault="000B3B9A" w:rsidP="00B16199">
            <w:pPr>
              <w:rPr>
                <w:rFonts w:cs="Times New Roman"/>
                <w:sz w:val="20"/>
                <w:szCs w:val="20"/>
              </w:rPr>
            </w:pPr>
            <w:r w:rsidRPr="008614C4">
              <w:rPr>
                <w:rFonts w:cs="Times New Roman"/>
                <w:sz w:val="20"/>
                <w:szCs w:val="20"/>
              </w:rPr>
              <w:t>1</w:t>
            </w:r>
          </w:p>
        </w:tc>
        <w:tc>
          <w:tcPr>
            <w:tcW w:w="0" w:type="auto"/>
            <w:tcBorders>
              <w:top w:val="single" w:sz="4" w:space="0" w:color="auto"/>
              <w:left w:val="nil"/>
              <w:bottom w:val="nil"/>
              <w:right w:val="nil"/>
            </w:tcBorders>
          </w:tcPr>
          <w:p w14:paraId="51D234AC" w14:textId="77777777" w:rsidR="000B3B9A" w:rsidRPr="008614C4" w:rsidRDefault="000B3B9A" w:rsidP="00B16199">
            <w:pPr>
              <w:rPr>
                <w:rFonts w:cs="Times New Roman"/>
                <w:sz w:val="20"/>
                <w:szCs w:val="20"/>
              </w:rPr>
            </w:pPr>
            <w:r w:rsidRPr="008614C4">
              <w:rPr>
                <w:rFonts w:cs="Times New Roman"/>
                <w:sz w:val="20"/>
                <w:szCs w:val="20"/>
              </w:rPr>
              <w:t>2</w:t>
            </w:r>
          </w:p>
        </w:tc>
        <w:tc>
          <w:tcPr>
            <w:tcW w:w="0" w:type="auto"/>
            <w:tcBorders>
              <w:top w:val="single" w:sz="4" w:space="0" w:color="auto"/>
              <w:left w:val="nil"/>
              <w:bottom w:val="nil"/>
              <w:right w:val="nil"/>
            </w:tcBorders>
          </w:tcPr>
          <w:p w14:paraId="083B8B12" w14:textId="77777777" w:rsidR="000B3B9A" w:rsidRPr="008614C4" w:rsidRDefault="000B3B9A" w:rsidP="00B16199">
            <w:pPr>
              <w:rPr>
                <w:rFonts w:cs="Times New Roman"/>
                <w:sz w:val="20"/>
                <w:szCs w:val="20"/>
              </w:rPr>
            </w:pPr>
            <w:r w:rsidRPr="008614C4">
              <w:rPr>
                <w:rFonts w:cs="Times New Roman"/>
                <w:sz w:val="20"/>
                <w:szCs w:val="20"/>
              </w:rPr>
              <w:t>3</w:t>
            </w:r>
          </w:p>
        </w:tc>
        <w:tc>
          <w:tcPr>
            <w:tcW w:w="0" w:type="auto"/>
            <w:tcBorders>
              <w:top w:val="single" w:sz="4" w:space="0" w:color="auto"/>
              <w:left w:val="nil"/>
              <w:bottom w:val="nil"/>
              <w:right w:val="nil"/>
            </w:tcBorders>
          </w:tcPr>
          <w:p w14:paraId="6F52EA2F" w14:textId="77777777" w:rsidR="000B3B9A" w:rsidRPr="008614C4" w:rsidRDefault="000B3B9A" w:rsidP="00B16199">
            <w:pPr>
              <w:rPr>
                <w:rFonts w:cs="Times New Roman"/>
                <w:sz w:val="20"/>
                <w:szCs w:val="20"/>
              </w:rPr>
            </w:pPr>
            <w:r w:rsidRPr="008614C4">
              <w:rPr>
                <w:rFonts w:cs="Times New Roman"/>
                <w:sz w:val="20"/>
                <w:szCs w:val="20"/>
              </w:rPr>
              <w:t>4</w:t>
            </w:r>
          </w:p>
        </w:tc>
      </w:tr>
      <w:tr w:rsidR="00B547D2" w:rsidRPr="008614C4" w14:paraId="08EAE79D" w14:textId="77777777" w:rsidTr="00B16589">
        <w:trPr>
          <w:trHeight w:val="449"/>
          <w:jc w:val="center"/>
        </w:trPr>
        <w:tc>
          <w:tcPr>
            <w:tcW w:w="0" w:type="auto"/>
            <w:tcBorders>
              <w:top w:val="nil"/>
              <w:left w:val="nil"/>
              <w:bottom w:val="single" w:sz="4" w:space="0" w:color="auto"/>
              <w:right w:val="nil"/>
            </w:tcBorders>
          </w:tcPr>
          <w:p w14:paraId="1BF4DB8C" w14:textId="77777777" w:rsidR="000B3B9A" w:rsidRPr="008614C4" w:rsidRDefault="000B3B9A" w:rsidP="00B16199">
            <w:pPr>
              <w:rPr>
                <w:rFonts w:cs="Times New Roman"/>
                <w:sz w:val="20"/>
                <w:szCs w:val="20"/>
              </w:rPr>
            </w:pPr>
          </w:p>
        </w:tc>
        <w:tc>
          <w:tcPr>
            <w:tcW w:w="0" w:type="auto"/>
            <w:tcBorders>
              <w:top w:val="nil"/>
              <w:left w:val="nil"/>
              <w:bottom w:val="single" w:sz="4" w:space="0" w:color="auto"/>
              <w:right w:val="nil"/>
            </w:tcBorders>
          </w:tcPr>
          <w:p w14:paraId="1B97528B" w14:textId="77777777" w:rsidR="000B3B9A" w:rsidRPr="008614C4" w:rsidRDefault="000B3B9A" w:rsidP="00B16199">
            <w:pPr>
              <w:rPr>
                <w:rFonts w:cs="Times New Roman"/>
                <w:sz w:val="20"/>
                <w:szCs w:val="20"/>
              </w:rPr>
            </w:pPr>
            <w:r w:rsidRPr="008614C4">
              <w:rPr>
                <w:rFonts w:cs="Times New Roman"/>
                <w:i/>
                <w:sz w:val="20"/>
                <w:szCs w:val="20"/>
              </w:rPr>
              <w:t>n</w:t>
            </w:r>
            <w:r w:rsidR="00D51DFF" w:rsidRPr="008614C4">
              <w:rPr>
                <w:rFonts w:cs="Times New Roman"/>
                <w:sz w:val="20"/>
                <w:szCs w:val="20"/>
              </w:rPr>
              <w:t>(%)</w:t>
            </w:r>
          </w:p>
        </w:tc>
        <w:tc>
          <w:tcPr>
            <w:tcW w:w="0" w:type="auto"/>
            <w:tcBorders>
              <w:top w:val="nil"/>
              <w:left w:val="nil"/>
              <w:bottom w:val="single" w:sz="4" w:space="0" w:color="auto"/>
              <w:right w:val="nil"/>
            </w:tcBorders>
          </w:tcPr>
          <w:p w14:paraId="17465951" w14:textId="77777777" w:rsidR="000B3B9A" w:rsidRPr="008614C4" w:rsidRDefault="006B0A4F" w:rsidP="00B16199">
            <w:pPr>
              <w:rPr>
                <w:rFonts w:cs="Times New Roman"/>
                <w:sz w:val="20"/>
                <w:szCs w:val="20"/>
              </w:rPr>
            </w:pPr>
            <w:r>
              <w:rPr>
                <w:rFonts w:cs="Times New Roman"/>
                <w:sz w:val="20"/>
                <w:szCs w:val="20"/>
              </w:rPr>
              <w:t>428 (47</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00DD4276" w14:textId="77777777" w:rsidR="000B3B9A" w:rsidRPr="008614C4" w:rsidRDefault="006B0A4F" w:rsidP="00B16199">
            <w:pPr>
              <w:rPr>
                <w:rFonts w:cs="Times New Roman"/>
                <w:sz w:val="20"/>
                <w:szCs w:val="20"/>
              </w:rPr>
            </w:pPr>
            <w:r>
              <w:rPr>
                <w:rFonts w:cs="Times New Roman"/>
                <w:sz w:val="20"/>
                <w:szCs w:val="20"/>
              </w:rPr>
              <w:t>180 (20</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434B47AA" w14:textId="77777777" w:rsidR="000B3B9A" w:rsidRPr="008614C4" w:rsidRDefault="006B0A4F" w:rsidP="00B16199">
            <w:pPr>
              <w:rPr>
                <w:rFonts w:cs="Times New Roman"/>
                <w:sz w:val="20"/>
                <w:szCs w:val="20"/>
              </w:rPr>
            </w:pPr>
            <w:r>
              <w:rPr>
                <w:rFonts w:cs="Times New Roman"/>
                <w:sz w:val="20"/>
                <w:szCs w:val="20"/>
              </w:rPr>
              <w:t>232</w:t>
            </w:r>
            <w:r w:rsidR="000B3B9A" w:rsidRPr="008614C4">
              <w:rPr>
                <w:rFonts w:cs="Times New Roman"/>
                <w:sz w:val="20"/>
                <w:szCs w:val="20"/>
              </w:rPr>
              <w:t xml:space="preserve"> (</w:t>
            </w:r>
            <w:r>
              <w:rPr>
                <w:rFonts w:cs="Times New Roman"/>
                <w:sz w:val="20"/>
                <w:szCs w:val="20"/>
              </w:rPr>
              <w:t>26</w:t>
            </w:r>
            <w:r w:rsidR="000B3B9A" w:rsidRPr="008614C4">
              <w:rPr>
                <w:rFonts w:cs="Times New Roman"/>
                <w:sz w:val="20"/>
                <w:szCs w:val="20"/>
              </w:rPr>
              <w:t xml:space="preserve">%) </w:t>
            </w:r>
          </w:p>
        </w:tc>
        <w:tc>
          <w:tcPr>
            <w:tcW w:w="0" w:type="auto"/>
            <w:tcBorders>
              <w:top w:val="nil"/>
              <w:left w:val="nil"/>
              <w:bottom w:val="single" w:sz="4" w:space="0" w:color="auto"/>
              <w:right w:val="nil"/>
            </w:tcBorders>
          </w:tcPr>
          <w:p w14:paraId="3A091156" w14:textId="77777777" w:rsidR="000B3B9A" w:rsidRPr="008614C4" w:rsidRDefault="006B0A4F" w:rsidP="00B16199">
            <w:pPr>
              <w:rPr>
                <w:rFonts w:cs="Times New Roman"/>
                <w:sz w:val="20"/>
                <w:szCs w:val="20"/>
              </w:rPr>
            </w:pPr>
            <w:r>
              <w:rPr>
                <w:rFonts w:cs="Times New Roman"/>
                <w:sz w:val="20"/>
                <w:szCs w:val="20"/>
              </w:rPr>
              <w:t>64</w:t>
            </w:r>
            <w:r w:rsidR="000B3B9A" w:rsidRPr="008614C4">
              <w:rPr>
                <w:rFonts w:cs="Times New Roman"/>
                <w:sz w:val="20"/>
                <w:szCs w:val="20"/>
              </w:rPr>
              <w:t xml:space="preserve"> (</w:t>
            </w:r>
            <w:r>
              <w:rPr>
                <w:rFonts w:cs="Times New Roman"/>
                <w:sz w:val="20"/>
                <w:szCs w:val="20"/>
              </w:rPr>
              <w:t>7</w:t>
            </w:r>
            <w:r w:rsidR="000B3B9A" w:rsidRPr="008614C4">
              <w:rPr>
                <w:rFonts w:cs="Times New Roman"/>
                <w:sz w:val="20"/>
                <w:szCs w:val="20"/>
              </w:rPr>
              <w:t>%)</w:t>
            </w:r>
          </w:p>
        </w:tc>
      </w:tr>
      <w:tr w:rsidR="00B547D2" w:rsidRPr="008614C4" w14:paraId="4DEC91AA" w14:textId="77777777" w:rsidTr="00B16589">
        <w:trPr>
          <w:jc w:val="center"/>
        </w:trPr>
        <w:tc>
          <w:tcPr>
            <w:tcW w:w="0" w:type="auto"/>
            <w:tcBorders>
              <w:top w:val="single" w:sz="4" w:space="0" w:color="auto"/>
              <w:left w:val="nil"/>
              <w:bottom w:val="nil"/>
              <w:right w:val="nil"/>
            </w:tcBorders>
          </w:tcPr>
          <w:p w14:paraId="36C41D92" w14:textId="77777777" w:rsidR="000B3B9A" w:rsidRPr="008614C4" w:rsidRDefault="00571C87" w:rsidP="00B16199">
            <w:pPr>
              <w:rPr>
                <w:rFonts w:cs="Times New Roman"/>
                <w:sz w:val="20"/>
                <w:szCs w:val="20"/>
              </w:rPr>
            </w:pPr>
            <w:r>
              <w:rPr>
                <w:rFonts w:cs="Times New Roman"/>
                <w:sz w:val="20"/>
                <w:szCs w:val="20"/>
              </w:rPr>
              <w:t>Non-motor</w:t>
            </w:r>
          </w:p>
        </w:tc>
        <w:tc>
          <w:tcPr>
            <w:tcW w:w="0" w:type="auto"/>
            <w:tcBorders>
              <w:top w:val="single" w:sz="4" w:space="0" w:color="auto"/>
              <w:left w:val="nil"/>
              <w:bottom w:val="nil"/>
              <w:right w:val="nil"/>
            </w:tcBorders>
          </w:tcPr>
          <w:p w14:paraId="1CAF31F9" w14:textId="77777777" w:rsidR="000B3B9A" w:rsidRPr="008614C4" w:rsidRDefault="00B16589" w:rsidP="00B16199">
            <w:pPr>
              <w:rPr>
                <w:rFonts w:cs="Times New Roman"/>
                <w:sz w:val="20"/>
                <w:szCs w:val="20"/>
              </w:rPr>
            </w:pPr>
            <w:r>
              <w:rPr>
                <w:rFonts w:cs="Times New Roman"/>
                <w:sz w:val="20"/>
                <w:szCs w:val="20"/>
              </w:rPr>
              <w:t xml:space="preserve">1. </w:t>
            </w:r>
            <w:r w:rsidR="000B3B9A" w:rsidRPr="008614C4">
              <w:rPr>
                <w:rFonts w:cs="Times New Roman"/>
                <w:sz w:val="20"/>
                <w:szCs w:val="20"/>
              </w:rPr>
              <w:t xml:space="preserve">Cardiovascular </w:t>
            </w:r>
          </w:p>
        </w:tc>
        <w:tc>
          <w:tcPr>
            <w:tcW w:w="0" w:type="auto"/>
            <w:tcBorders>
              <w:top w:val="single" w:sz="4" w:space="0" w:color="auto"/>
              <w:left w:val="nil"/>
              <w:bottom w:val="nil"/>
              <w:right w:val="nil"/>
            </w:tcBorders>
          </w:tcPr>
          <w:p w14:paraId="081CDF53" w14:textId="77777777" w:rsidR="000B3B9A" w:rsidRPr="008614C4" w:rsidRDefault="00383CC8" w:rsidP="00B16199">
            <w:pPr>
              <w:rPr>
                <w:rFonts w:cs="Times New Roman"/>
                <w:sz w:val="20"/>
                <w:szCs w:val="20"/>
              </w:rPr>
            </w:pPr>
            <w:r>
              <w:rPr>
                <w:rFonts w:cs="Times New Roman"/>
                <w:sz w:val="20"/>
                <w:szCs w:val="20"/>
              </w:rPr>
              <w:t>0.7 (1.5</w:t>
            </w:r>
            <w:r w:rsidR="000B3B9A" w:rsidRPr="008614C4">
              <w:rPr>
                <w:rFonts w:cs="Times New Roman"/>
                <w:sz w:val="20"/>
                <w:szCs w:val="20"/>
              </w:rPr>
              <w:t>)</w:t>
            </w:r>
            <w:r w:rsidR="00D51DFF" w:rsidRPr="008614C4">
              <w:rPr>
                <w:rFonts w:cs="Times New Roman"/>
                <w:sz w:val="20"/>
                <w:szCs w:val="20"/>
                <w:vertAlign w:val="superscript"/>
              </w:rPr>
              <w:t>2</w:t>
            </w:r>
            <w:r w:rsidR="008F522D">
              <w:rPr>
                <w:rFonts w:cs="Times New Roman"/>
                <w:sz w:val="20"/>
                <w:szCs w:val="20"/>
                <w:vertAlign w:val="superscript"/>
              </w:rPr>
              <w:t>,</w:t>
            </w:r>
            <w:r w:rsidR="00D51DFF" w:rsidRPr="008614C4">
              <w:rPr>
                <w:rFonts w:cs="Times New Roman"/>
                <w:sz w:val="20"/>
                <w:szCs w:val="20"/>
                <w:vertAlign w:val="superscript"/>
              </w:rPr>
              <w:t>4</w:t>
            </w:r>
          </w:p>
        </w:tc>
        <w:tc>
          <w:tcPr>
            <w:tcW w:w="0" w:type="auto"/>
            <w:tcBorders>
              <w:top w:val="single" w:sz="4" w:space="0" w:color="auto"/>
              <w:left w:val="nil"/>
              <w:bottom w:val="nil"/>
              <w:right w:val="nil"/>
            </w:tcBorders>
          </w:tcPr>
          <w:p w14:paraId="56B019AA" w14:textId="77777777" w:rsidR="000B3B9A" w:rsidRPr="008614C4" w:rsidRDefault="00383CC8" w:rsidP="00B16199">
            <w:pPr>
              <w:rPr>
                <w:rFonts w:cs="Times New Roman"/>
                <w:sz w:val="20"/>
                <w:szCs w:val="20"/>
              </w:rPr>
            </w:pPr>
            <w:r w:rsidRPr="00E75106">
              <w:rPr>
                <w:rFonts w:cs="Times New Roman"/>
                <w:sz w:val="20"/>
                <w:szCs w:val="20"/>
              </w:rPr>
              <w:t>3.2 (3.7</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single" w:sz="4" w:space="0" w:color="auto"/>
              <w:left w:val="nil"/>
              <w:bottom w:val="nil"/>
              <w:right w:val="nil"/>
            </w:tcBorders>
          </w:tcPr>
          <w:p w14:paraId="3CD57689" w14:textId="77777777" w:rsidR="000B3B9A" w:rsidRPr="008614C4" w:rsidRDefault="00383CC8" w:rsidP="00B16199">
            <w:pPr>
              <w:rPr>
                <w:rFonts w:cs="Times New Roman"/>
                <w:sz w:val="20"/>
                <w:szCs w:val="20"/>
              </w:rPr>
            </w:pPr>
            <w:r>
              <w:rPr>
                <w:rFonts w:cs="Times New Roman"/>
                <w:sz w:val="20"/>
                <w:szCs w:val="20"/>
              </w:rPr>
              <w:t>1.1 (2.1</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single" w:sz="4" w:space="0" w:color="auto"/>
              <w:left w:val="nil"/>
              <w:bottom w:val="nil"/>
              <w:right w:val="nil"/>
            </w:tcBorders>
          </w:tcPr>
          <w:p w14:paraId="64312F33" w14:textId="77777777" w:rsidR="000B3B9A" w:rsidRPr="008614C4" w:rsidRDefault="00383CC8" w:rsidP="00B16199">
            <w:pPr>
              <w:rPr>
                <w:rFonts w:cs="Times New Roman"/>
                <w:sz w:val="20"/>
                <w:szCs w:val="20"/>
              </w:rPr>
            </w:pPr>
            <w:r>
              <w:rPr>
                <w:rFonts w:cs="Times New Roman"/>
                <w:sz w:val="20"/>
                <w:szCs w:val="20"/>
              </w:rPr>
              <w:t>6.9 (6.4</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16B939B4" w14:textId="77777777" w:rsidTr="00B16589">
        <w:trPr>
          <w:trHeight w:val="404"/>
          <w:jc w:val="center"/>
        </w:trPr>
        <w:tc>
          <w:tcPr>
            <w:tcW w:w="0" w:type="auto"/>
            <w:tcBorders>
              <w:top w:val="nil"/>
              <w:left w:val="nil"/>
              <w:bottom w:val="nil"/>
              <w:right w:val="nil"/>
            </w:tcBorders>
          </w:tcPr>
          <w:p w14:paraId="079D144F" w14:textId="77777777" w:rsidR="000B3B9A" w:rsidRPr="008614C4" w:rsidRDefault="00B16589" w:rsidP="00B16199">
            <w:pPr>
              <w:rPr>
                <w:rFonts w:cs="Times New Roman"/>
                <w:sz w:val="20"/>
                <w:szCs w:val="20"/>
              </w:rPr>
            </w:pPr>
            <w:r>
              <w:rPr>
                <w:rFonts w:cs="Times New Roman"/>
                <w:sz w:val="20"/>
                <w:szCs w:val="20"/>
              </w:rPr>
              <w:t>domains</w:t>
            </w:r>
          </w:p>
        </w:tc>
        <w:tc>
          <w:tcPr>
            <w:tcW w:w="0" w:type="auto"/>
            <w:tcBorders>
              <w:top w:val="nil"/>
              <w:left w:val="nil"/>
              <w:bottom w:val="nil"/>
              <w:right w:val="nil"/>
            </w:tcBorders>
          </w:tcPr>
          <w:p w14:paraId="3020BD3E" w14:textId="77777777" w:rsidR="000B3B9A" w:rsidRPr="008614C4" w:rsidRDefault="00B16589" w:rsidP="00B16199">
            <w:pPr>
              <w:rPr>
                <w:rFonts w:cs="Times New Roman"/>
                <w:sz w:val="20"/>
                <w:szCs w:val="20"/>
              </w:rPr>
            </w:pPr>
            <w:r>
              <w:rPr>
                <w:rFonts w:cs="Times New Roman"/>
                <w:sz w:val="20"/>
                <w:szCs w:val="20"/>
              </w:rPr>
              <w:t xml:space="preserve">2. </w:t>
            </w:r>
            <w:r w:rsidR="000B3B9A" w:rsidRPr="008614C4">
              <w:rPr>
                <w:rFonts w:cs="Times New Roman"/>
                <w:sz w:val="20"/>
                <w:szCs w:val="20"/>
              </w:rPr>
              <w:t xml:space="preserve">Sleep/fatigue </w:t>
            </w:r>
          </w:p>
        </w:tc>
        <w:tc>
          <w:tcPr>
            <w:tcW w:w="0" w:type="auto"/>
            <w:tcBorders>
              <w:top w:val="nil"/>
              <w:left w:val="nil"/>
              <w:bottom w:val="nil"/>
              <w:right w:val="nil"/>
            </w:tcBorders>
          </w:tcPr>
          <w:p w14:paraId="7308C33F" w14:textId="77777777" w:rsidR="000B3B9A" w:rsidRPr="008614C4" w:rsidRDefault="00383CC8" w:rsidP="00B16199">
            <w:pPr>
              <w:rPr>
                <w:rFonts w:cs="Times New Roman"/>
                <w:sz w:val="20"/>
                <w:szCs w:val="20"/>
              </w:rPr>
            </w:pPr>
            <w:r>
              <w:rPr>
                <w:rFonts w:cs="Times New Roman"/>
                <w:sz w:val="20"/>
                <w:szCs w:val="20"/>
              </w:rPr>
              <w:t>4.5(5.0</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2372BEB" w14:textId="77777777" w:rsidR="000B3B9A" w:rsidRPr="008614C4" w:rsidRDefault="00383CC8" w:rsidP="00B16199">
            <w:pPr>
              <w:rPr>
                <w:rFonts w:cs="Times New Roman"/>
                <w:sz w:val="20"/>
                <w:szCs w:val="20"/>
              </w:rPr>
            </w:pPr>
            <w:r w:rsidRPr="00E75106">
              <w:rPr>
                <w:rFonts w:cs="Times New Roman"/>
                <w:sz w:val="20"/>
                <w:szCs w:val="20"/>
              </w:rPr>
              <w:t>16 (8.7</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099C9CBB" w14:textId="77777777" w:rsidR="000B3B9A" w:rsidRPr="008614C4" w:rsidRDefault="00383CC8" w:rsidP="00B16199">
            <w:pPr>
              <w:rPr>
                <w:rFonts w:cs="Times New Roman"/>
                <w:sz w:val="20"/>
                <w:szCs w:val="20"/>
              </w:rPr>
            </w:pPr>
            <w:r>
              <w:rPr>
                <w:rFonts w:cs="Times New Roman"/>
                <w:sz w:val="20"/>
                <w:szCs w:val="20"/>
              </w:rPr>
              <w:t>7.5 (6.6</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58357AEA" w14:textId="77777777" w:rsidR="000B3B9A" w:rsidRPr="008614C4" w:rsidRDefault="00383CC8" w:rsidP="00B16199">
            <w:pPr>
              <w:rPr>
                <w:rFonts w:cs="Times New Roman"/>
                <w:sz w:val="20"/>
                <w:szCs w:val="20"/>
              </w:rPr>
            </w:pPr>
            <w:r>
              <w:rPr>
                <w:rFonts w:cs="Times New Roman"/>
                <w:sz w:val="20"/>
                <w:szCs w:val="20"/>
              </w:rPr>
              <w:t>21.7 (9.7</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4752396" w14:textId="77777777" w:rsidTr="00B16589">
        <w:trPr>
          <w:trHeight w:val="369"/>
          <w:jc w:val="center"/>
        </w:trPr>
        <w:tc>
          <w:tcPr>
            <w:tcW w:w="0" w:type="auto"/>
            <w:tcBorders>
              <w:top w:val="nil"/>
              <w:left w:val="nil"/>
              <w:bottom w:val="nil"/>
              <w:right w:val="nil"/>
            </w:tcBorders>
          </w:tcPr>
          <w:p w14:paraId="5AE767EF"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7A8B28D7" w14:textId="77777777" w:rsidR="000B3B9A" w:rsidRPr="008614C4" w:rsidRDefault="00B16589" w:rsidP="00B16199">
            <w:pPr>
              <w:rPr>
                <w:rFonts w:cs="Times New Roman"/>
                <w:sz w:val="20"/>
                <w:szCs w:val="20"/>
              </w:rPr>
            </w:pPr>
            <w:r>
              <w:rPr>
                <w:rFonts w:cs="Times New Roman"/>
                <w:sz w:val="20"/>
                <w:szCs w:val="20"/>
              </w:rPr>
              <w:t xml:space="preserve">3. </w:t>
            </w:r>
            <w:r w:rsidR="000B3B9A" w:rsidRPr="008614C4">
              <w:rPr>
                <w:rFonts w:cs="Times New Roman"/>
                <w:sz w:val="20"/>
                <w:szCs w:val="20"/>
              </w:rPr>
              <w:t xml:space="preserve">Mood/apathy </w:t>
            </w:r>
          </w:p>
        </w:tc>
        <w:tc>
          <w:tcPr>
            <w:tcW w:w="0" w:type="auto"/>
            <w:tcBorders>
              <w:top w:val="nil"/>
              <w:left w:val="nil"/>
              <w:bottom w:val="nil"/>
              <w:right w:val="nil"/>
            </w:tcBorders>
          </w:tcPr>
          <w:p w14:paraId="47AACB52" w14:textId="77777777" w:rsidR="000B3B9A" w:rsidRPr="008614C4" w:rsidRDefault="00383CC8" w:rsidP="00B16199">
            <w:pPr>
              <w:rPr>
                <w:rFonts w:cs="Times New Roman"/>
                <w:sz w:val="20"/>
                <w:szCs w:val="20"/>
              </w:rPr>
            </w:pPr>
            <w:r>
              <w:rPr>
                <w:rFonts w:cs="Times New Roman"/>
                <w:sz w:val="20"/>
                <w:szCs w:val="20"/>
              </w:rPr>
              <w:t>3.4 (4.8</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7E46F582" w14:textId="77777777" w:rsidR="000B3B9A" w:rsidRPr="008614C4" w:rsidRDefault="00383CC8" w:rsidP="00B16199">
            <w:pPr>
              <w:rPr>
                <w:rFonts w:cs="Times New Roman"/>
                <w:sz w:val="20"/>
                <w:szCs w:val="20"/>
              </w:rPr>
            </w:pPr>
            <w:r w:rsidRPr="00E75106">
              <w:rPr>
                <w:rFonts w:cs="Times New Roman"/>
                <w:sz w:val="20"/>
                <w:szCs w:val="20"/>
              </w:rPr>
              <w:t>19.2 (15</w:t>
            </w:r>
            <w:r w:rsidR="000B3B9A" w:rsidRPr="00E75106">
              <w:rPr>
                <w:rFonts w:cs="Times New Roman"/>
                <w:sz w:val="20"/>
                <w:szCs w:val="20"/>
              </w:rPr>
              <w:t>.0)</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nil"/>
              <w:right w:val="nil"/>
            </w:tcBorders>
          </w:tcPr>
          <w:p w14:paraId="03456B93" w14:textId="77777777" w:rsidR="000B3B9A" w:rsidRPr="008614C4" w:rsidRDefault="00383CC8" w:rsidP="00B16199">
            <w:pPr>
              <w:rPr>
                <w:rFonts w:cs="Times New Roman"/>
                <w:sz w:val="20"/>
                <w:szCs w:val="20"/>
              </w:rPr>
            </w:pPr>
            <w:r>
              <w:rPr>
                <w:rFonts w:cs="Times New Roman"/>
                <w:sz w:val="20"/>
                <w:szCs w:val="20"/>
              </w:rPr>
              <w:t>6.6 (8.0</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193C96E2" w14:textId="77777777" w:rsidR="000B3B9A" w:rsidRPr="008614C4" w:rsidRDefault="00383CC8" w:rsidP="00B16199">
            <w:pPr>
              <w:rPr>
                <w:rFonts w:cs="Times New Roman"/>
                <w:sz w:val="20"/>
                <w:szCs w:val="20"/>
              </w:rPr>
            </w:pPr>
            <w:r>
              <w:rPr>
                <w:rFonts w:cs="Times New Roman"/>
                <w:sz w:val="20"/>
                <w:szCs w:val="20"/>
              </w:rPr>
              <w:t>21.7 (13.5</w:t>
            </w:r>
            <w:r w:rsidR="000B3B9A" w:rsidRPr="008614C4">
              <w:rPr>
                <w:rFonts w:cs="Times New Roman"/>
                <w:sz w:val="20"/>
                <w:szCs w:val="20"/>
              </w:rPr>
              <w:t>)</w:t>
            </w:r>
            <w:r w:rsidR="006B0A4F">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7894EA6E" w14:textId="77777777" w:rsidTr="00B16589">
        <w:trPr>
          <w:jc w:val="center"/>
        </w:trPr>
        <w:tc>
          <w:tcPr>
            <w:tcW w:w="0" w:type="auto"/>
            <w:tcBorders>
              <w:top w:val="nil"/>
              <w:left w:val="nil"/>
              <w:bottom w:val="nil"/>
              <w:right w:val="nil"/>
            </w:tcBorders>
          </w:tcPr>
          <w:p w14:paraId="5CE306E9"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0C8CF52F" w14:textId="77777777" w:rsidR="000B3B9A" w:rsidRPr="008614C4" w:rsidRDefault="00B16589" w:rsidP="00B16199">
            <w:pPr>
              <w:rPr>
                <w:rFonts w:cs="Times New Roman"/>
                <w:sz w:val="20"/>
                <w:szCs w:val="20"/>
              </w:rPr>
            </w:pPr>
            <w:r>
              <w:rPr>
                <w:rFonts w:cs="Times New Roman"/>
                <w:sz w:val="20"/>
                <w:szCs w:val="20"/>
              </w:rPr>
              <w:t xml:space="preserve">4. </w:t>
            </w:r>
            <w:r w:rsidR="000B3B9A" w:rsidRPr="008614C4">
              <w:rPr>
                <w:rFonts w:cs="Times New Roman"/>
                <w:sz w:val="20"/>
                <w:szCs w:val="20"/>
              </w:rPr>
              <w:t xml:space="preserve">Perception/hallucination </w:t>
            </w:r>
          </w:p>
        </w:tc>
        <w:tc>
          <w:tcPr>
            <w:tcW w:w="0" w:type="auto"/>
            <w:tcBorders>
              <w:top w:val="nil"/>
              <w:left w:val="nil"/>
              <w:bottom w:val="nil"/>
              <w:right w:val="nil"/>
            </w:tcBorders>
          </w:tcPr>
          <w:p w14:paraId="16A6CC11" w14:textId="77777777" w:rsidR="000B3B9A" w:rsidRPr="008614C4" w:rsidRDefault="000B3B9A" w:rsidP="00B16199">
            <w:pPr>
              <w:rPr>
                <w:rFonts w:cs="Times New Roman"/>
                <w:sz w:val="20"/>
                <w:szCs w:val="20"/>
              </w:rPr>
            </w:pPr>
            <w:r w:rsidRPr="008614C4">
              <w:rPr>
                <w:rFonts w:cs="Times New Roman"/>
                <w:sz w:val="20"/>
                <w:szCs w:val="20"/>
              </w:rPr>
              <w:t>0.5 (1.7)</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17EF604D" w14:textId="77777777" w:rsidR="000B3B9A" w:rsidRPr="00E75106" w:rsidRDefault="00383CC8" w:rsidP="00B16199">
            <w:pPr>
              <w:rPr>
                <w:rFonts w:cs="Times New Roman"/>
                <w:sz w:val="20"/>
                <w:szCs w:val="20"/>
              </w:rPr>
            </w:pPr>
            <w:r w:rsidRPr="00E75106">
              <w:rPr>
                <w:rFonts w:cs="Times New Roman"/>
                <w:sz w:val="20"/>
                <w:szCs w:val="20"/>
              </w:rPr>
              <w:t>2.7 (4.3</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554E1F52" w14:textId="77777777" w:rsidR="000B3B9A" w:rsidRPr="008614C4" w:rsidRDefault="00383CC8" w:rsidP="00B16199">
            <w:pPr>
              <w:rPr>
                <w:rFonts w:cs="Times New Roman"/>
                <w:sz w:val="20"/>
                <w:szCs w:val="20"/>
              </w:rPr>
            </w:pPr>
            <w:r>
              <w:rPr>
                <w:rFonts w:cs="Times New Roman"/>
                <w:sz w:val="20"/>
                <w:szCs w:val="20"/>
              </w:rPr>
              <w:t>0.8 (1.8</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1147338" w14:textId="77777777" w:rsidR="000B3B9A" w:rsidRPr="008614C4" w:rsidRDefault="00383CC8" w:rsidP="00B16199">
            <w:pPr>
              <w:rPr>
                <w:rFonts w:cs="Times New Roman"/>
                <w:sz w:val="20"/>
                <w:szCs w:val="20"/>
              </w:rPr>
            </w:pPr>
            <w:r>
              <w:rPr>
                <w:rFonts w:cs="Times New Roman"/>
                <w:sz w:val="20"/>
                <w:szCs w:val="20"/>
              </w:rPr>
              <w:t>9.7</w:t>
            </w:r>
            <w:r w:rsidR="000B3B9A" w:rsidRPr="008614C4">
              <w:rPr>
                <w:rFonts w:cs="Times New Roman"/>
                <w:sz w:val="20"/>
                <w:szCs w:val="20"/>
              </w:rPr>
              <w:t xml:space="preserve"> (6.9)</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6313A2A9" w14:textId="77777777" w:rsidTr="00B16589">
        <w:trPr>
          <w:jc w:val="center"/>
        </w:trPr>
        <w:tc>
          <w:tcPr>
            <w:tcW w:w="0" w:type="auto"/>
            <w:tcBorders>
              <w:top w:val="nil"/>
              <w:left w:val="nil"/>
              <w:bottom w:val="nil"/>
              <w:right w:val="nil"/>
            </w:tcBorders>
          </w:tcPr>
          <w:p w14:paraId="03F27BEB"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0888A6E3" w14:textId="77777777" w:rsidR="000B3B9A" w:rsidRPr="008614C4" w:rsidRDefault="00B16589" w:rsidP="00B16199">
            <w:pPr>
              <w:rPr>
                <w:rFonts w:cs="Times New Roman"/>
                <w:sz w:val="20"/>
                <w:szCs w:val="20"/>
              </w:rPr>
            </w:pPr>
            <w:r>
              <w:rPr>
                <w:rFonts w:cs="Times New Roman"/>
                <w:sz w:val="20"/>
                <w:szCs w:val="20"/>
              </w:rPr>
              <w:t xml:space="preserve">5. </w:t>
            </w:r>
            <w:r w:rsidR="000B3B9A" w:rsidRPr="008614C4">
              <w:rPr>
                <w:rFonts w:cs="Times New Roman"/>
                <w:sz w:val="20"/>
                <w:szCs w:val="20"/>
              </w:rPr>
              <w:t xml:space="preserve">Attention/memory </w:t>
            </w:r>
          </w:p>
        </w:tc>
        <w:tc>
          <w:tcPr>
            <w:tcW w:w="0" w:type="auto"/>
            <w:tcBorders>
              <w:top w:val="nil"/>
              <w:left w:val="nil"/>
              <w:bottom w:val="nil"/>
              <w:right w:val="nil"/>
            </w:tcBorders>
          </w:tcPr>
          <w:p w14:paraId="7D7714FF" w14:textId="77777777" w:rsidR="000B3B9A" w:rsidRPr="008614C4" w:rsidRDefault="00383CC8" w:rsidP="00B16199">
            <w:pPr>
              <w:rPr>
                <w:rFonts w:cs="Times New Roman"/>
                <w:sz w:val="20"/>
                <w:szCs w:val="20"/>
              </w:rPr>
            </w:pPr>
            <w:r>
              <w:rPr>
                <w:rFonts w:cs="Times New Roman"/>
                <w:sz w:val="20"/>
                <w:szCs w:val="20"/>
              </w:rPr>
              <w:t>3.0 (4.5</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5C6D863A" w14:textId="77777777" w:rsidR="000B3B9A" w:rsidRPr="008614C4" w:rsidRDefault="00383CC8" w:rsidP="00B16199">
            <w:pPr>
              <w:rPr>
                <w:rFonts w:cs="Times New Roman"/>
                <w:sz w:val="20"/>
                <w:szCs w:val="20"/>
              </w:rPr>
            </w:pPr>
            <w:r w:rsidRPr="00E75106">
              <w:rPr>
                <w:rFonts w:cs="Times New Roman"/>
                <w:sz w:val="20"/>
                <w:szCs w:val="20"/>
              </w:rPr>
              <w:t>10.5 (9.2</w:t>
            </w:r>
            <w:r w:rsidR="000B3B9A"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70C34831" w14:textId="77777777" w:rsidR="000B3B9A" w:rsidRPr="008614C4" w:rsidRDefault="00383CC8" w:rsidP="00B16199">
            <w:pPr>
              <w:rPr>
                <w:rFonts w:cs="Times New Roman"/>
                <w:sz w:val="20"/>
                <w:szCs w:val="20"/>
              </w:rPr>
            </w:pPr>
            <w:r>
              <w:rPr>
                <w:rFonts w:cs="Times New Roman"/>
                <w:sz w:val="20"/>
                <w:szCs w:val="20"/>
              </w:rPr>
              <w:t>3.3</w:t>
            </w:r>
            <w:r w:rsidR="000B3B9A" w:rsidRPr="008614C4">
              <w:rPr>
                <w:rFonts w:cs="Times New Roman"/>
                <w:sz w:val="20"/>
                <w:szCs w:val="20"/>
              </w:rPr>
              <w:t xml:space="preserve"> (4.4)</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0EB579F0" w14:textId="77777777" w:rsidR="000B3B9A" w:rsidRPr="008614C4" w:rsidRDefault="00383CC8" w:rsidP="00B16199">
            <w:pPr>
              <w:rPr>
                <w:rFonts w:cs="Times New Roman"/>
                <w:sz w:val="20"/>
                <w:szCs w:val="20"/>
              </w:rPr>
            </w:pPr>
            <w:r>
              <w:rPr>
                <w:rFonts w:cs="Times New Roman"/>
                <w:sz w:val="20"/>
                <w:szCs w:val="20"/>
              </w:rPr>
              <w:t>14.5 (11.0</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6C8EF87" w14:textId="77777777" w:rsidTr="00B16589">
        <w:trPr>
          <w:jc w:val="center"/>
        </w:trPr>
        <w:tc>
          <w:tcPr>
            <w:tcW w:w="0" w:type="auto"/>
            <w:tcBorders>
              <w:top w:val="nil"/>
              <w:left w:val="nil"/>
              <w:bottom w:val="nil"/>
              <w:right w:val="nil"/>
            </w:tcBorders>
          </w:tcPr>
          <w:p w14:paraId="03540943" w14:textId="77777777" w:rsidR="000B3B9A" w:rsidRPr="008614C4" w:rsidRDefault="000B3B9A" w:rsidP="00B16199">
            <w:pPr>
              <w:rPr>
                <w:rFonts w:cs="Times New Roman"/>
                <w:sz w:val="20"/>
                <w:szCs w:val="20"/>
              </w:rPr>
            </w:pPr>
          </w:p>
        </w:tc>
        <w:tc>
          <w:tcPr>
            <w:tcW w:w="0" w:type="auto"/>
            <w:tcBorders>
              <w:top w:val="nil"/>
              <w:left w:val="nil"/>
              <w:bottom w:val="nil"/>
              <w:right w:val="nil"/>
            </w:tcBorders>
          </w:tcPr>
          <w:p w14:paraId="49F3F6FA" w14:textId="77777777" w:rsidR="000B3B9A" w:rsidRPr="008614C4" w:rsidRDefault="00B16589" w:rsidP="00B16199">
            <w:pPr>
              <w:rPr>
                <w:rFonts w:cs="Times New Roman"/>
                <w:sz w:val="20"/>
                <w:szCs w:val="20"/>
              </w:rPr>
            </w:pPr>
            <w:r>
              <w:rPr>
                <w:rFonts w:cs="Times New Roman"/>
                <w:sz w:val="20"/>
                <w:szCs w:val="20"/>
              </w:rPr>
              <w:t xml:space="preserve">6. </w:t>
            </w:r>
            <w:r w:rsidR="000B3B9A" w:rsidRPr="008614C4">
              <w:rPr>
                <w:rFonts w:cs="Times New Roman"/>
                <w:sz w:val="20"/>
                <w:szCs w:val="20"/>
              </w:rPr>
              <w:t xml:space="preserve">Gastrointestinal </w:t>
            </w:r>
          </w:p>
        </w:tc>
        <w:tc>
          <w:tcPr>
            <w:tcW w:w="0" w:type="auto"/>
            <w:tcBorders>
              <w:top w:val="nil"/>
              <w:left w:val="nil"/>
              <w:bottom w:val="nil"/>
              <w:right w:val="nil"/>
            </w:tcBorders>
          </w:tcPr>
          <w:p w14:paraId="2F56B209" w14:textId="77777777" w:rsidR="000B3B9A" w:rsidRPr="008614C4" w:rsidRDefault="00383CC8" w:rsidP="00B16199">
            <w:pPr>
              <w:rPr>
                <w:rFonts w:cs="Times New Roman"/>
                <w:sz w:val="20"/>
                <w:szCs w:val="20"/>
              </w:rPr>
            </w:pPr>
            <w:r>
              <w:rPr>
                <w:rFonts w:cs="Times New Roman"/>
                <w:sz w:val="20"/>
                <w:szCs w:val="20"/>
              </w:rPr>
              <w:t>2.9 (4.1</w:t>
            </w:r>
            <w:r w:rsidR="000B3B9A"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BF8CC40" w14:textId="77777777" w:rsidR="000B3B9A" w:rsidRPr="00E75106" w:rsidRDefault="00383CC8" w:rsidP="00B16199">
            <w:pPr>
              <w:rPr>
                <w:rFonts w:cs="Times New Roman"/>
                <w:sz w:val="20"/>
                <w:szCs w:val="20"/>
              </w:rPr>
            </w:pPr>
            <w:r w:rsidRPr="00E75106">
              <w:rPr>
                <w:rFonts w:cs="Times New Roman"/>
                <w:sz w:val="20"/>
                <w:szCs w:val="20"/>
              </w:rPr>
              <w:t>8.5</w:t>
            </w:r>
            <w:r w:rsidR="000B3B9A" w:rsidRPr="00E75106">
              <w:rPr>
                <w:rFonts w:cs="Times New Roman"/>
                <w:sz w:val="20"/>
                <w:szCs w:val="20"/>
              </w:rPr>
              <w:t xml:space="preserve"> (7.1)</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02C089F2" w14:textId="77777777" w:rsidR="000B3B9A" w:rsidRPr="008614C4" w:rsidRDefault="00383CC8" w:rsidP="00B16199">
            <w:pPr>
              <w:rPr>
                <w:rFonts w:cs="Times New Roman"/>
                <w:sz w:val="20"/>
                <w:szCs w:val="20"/>
              </w:rPr>
            </w:pPr>
            <w:r>
              <w:rPr>
                <w:rFonts w:cs="Times New Roman"/>
                <w:sz w:val="20"/>
                <w:szCs w:val="20"/>
              </w:rPr>
              <w:t>4.7 (5.3</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F78C276" w14:textId="77777777" w:rsidR="000B3B9A" w:rsidRPr="008614C4" w:rsidRDefault="00383CC8" w:rsidP="00B16199">
            <w:pPr>
              <w:rPr>
                <w:rFonts w:cs="Times New Roman"/>
                <w:sz w:val="20"/>
                <w:szCs w:val="20"/>
              </w:rPr>
            </w:pPr>
            <w:r>
              <w:rPr>
                <w:rFonts w:cs="Times New Roman"/>
                <w:sz w:val="20"/>
                <w:szCs w:val="20"/>
              </w:rPr>
              <w:t>17.4 (9.2</w:t>
            </w:r>
            <w:r w:rsidR="000B3B9A"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6E859823" w14:textId="77777777" w:rsidTr="00B16589">
        <w:trPr>
          <w:jc w:val="center"/>
        </w:trPr>
        <w:tc>
          <w:tcPr>
            <w:tcW w:w="0" w:type="auto"/>
            <w:tcBorders>
              <w:top w:val="nil"/>
              <w:left w:val="nil"/>
              <w:bottom w:val="nil"/>
              <w:right w:val="nil"/>
            </w:tcBorders>
          </w:tcPr>
          <w:p w14:paraId="2599E38A" w14:textId="77777777" w:rsidR="00D51DFF" w:rsidRPr="008614C4" w:rsidRDefault="00D51DFF" w:rsidP="00B16199">
            <w:pPr>
              <w:rPr>
                <w:rFonts w:cs="Times New Roman"/>
                <w:sz w:val="20"/>
                <w:szCs w:val="20"/>
              </w:rPr>
            </w:pPr>
          </w:p>
        </w:tc>
        <w:tc>
          <w:tcPr>
            <w:tcW w:w="0" w:type="auto"/>
            <w:tcBorders>
              <w:top w:val="nil"/>
              <w:left w:val="nil"/>
              <w:bottom w:val="nil"/>
              <w:right w:val="nil"/>
            </w:tcBorders>
          </w:tcPr>
          <w:p w14:paraId="1BBAE247" w14:textId="77777777" w:rsidR="00D51DFF" w:rsidRPr="008614C4" w:rsidRDefault="00B16589" w:rsidP="00B16199">
            <w:pPr>
              <w:rPr>
                <w:rFonts w:cs="Times New Roman"/>
                <w:sz w:val="20"/>
                <w:szCs w:val="20"/>
              </w:rPr>
            </w:pPr>
            <w:r>
              <w:rPr>
                <w:rFonts w:cs="Times New Roman"/>
                <w:sz w:val="20"/>
                <w:szCs w:val="20"/>
              </w:rPr>
              <w:t xml:space="preserve">7. </w:t>
            </w:r>
            <w:r w:rsidR="00D51DFF" w:rsidRPr="008614C4">
              <w:rPr>
                <w:rFonts w:cs="Times New Roman"/>
                <w:sz w:val="20"/>
                <w:szCs w:val="20"/>
              </w:rPr>
              <w:t xml:space="preserve">Urinary </w:t>
            </w:r>
          </w:p>
        </w:tc>
        <w:tc>
          <w:tcPr>
            <w:tcW w:w="0" w:type="auto"/>
            <w:tcBorders>
              <w:top w:val="nil"/>
              <w:left w:val="nil"/>
              <w:bottom w:val="nil"/>
              <w:right w:val="nil"/>
            </w:tcBorders>
          </w:tcPr>
          <w:p w14:paraId="6B8779A9" w14:textId="77777777" w:rsidR="00D51DFF" w:rsidRPr="008614C4" w:rsidRDefault="00383CC8" w:rsidP="00B16199">
            <w:pPr>
              <w:rPr>
                <w:rFonts w:cs="Times New Roman"/>
                <w:sz w:val="20"/>
                <w:szCs w:val="20"/>
              </w:rPr>
            </w:pPr>
            <w:r>
              <w:rPr>
                <w:rFonts w:cs="Times New Roman"/>
                <w:sz w:val="20"/>
                <w:szCs w:val="20"/>
              </w:rPr>
              <w:t>4.7 (6.2</w:t>
            </w:r>
            <w:r w:rsidR="00D51DFF" w:rsidRPr="008614C4">
              <w:rPr>
                <w:rFonts w:cs="Times New Roman"/>
                <w:sz w:val="20"/>
                <w:szCs w:val="20"/>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7532741" w14:textId="77777777" w:rsidR="00D51DFF" w:rsidRPr="00E75106" w:rsidRDefault="00383CC8" w:rsidP="00B16199">
            <w:pPr>
              <w:rPr>
                <w:rFonts w:cs="Times New Roman"/>
                <w:sz w:val="20"/>
                <w:szCs w:val="20"/>
              </w:rPr>
            </w:pPr>
            <w:r w:rsidRPr="00E75106">
              <w:rPr>
                <w:rFonts w:cs="Times New Roman"/>
                <w:sz w:val="20"/>
                <w:szCs w:val="20"/>
              </w:rPr>
              <w:t>14.0 (9.9</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5C15C0F4" w14:textId="77777777" w:rsidR="00D51DFF" w:rsidRPr="008614C4" w:rsidRDefault="00383CC8" w:rsidP="00B16199">
            <w:pPr>
              <w:rPr>
                <w:rFonts w:cs="Times New Roman"/>
                <w:sz w:val="20"/>
                <w:szCs w:val="20"/>
              </w:rPr>
            </w:pPr>
            <w:r>
              <w:rPr>
                <w:rFonts w:cs="Times New Roman"/>
                <w:sz w:val="20"/>
                <w:szCs w:val="20"/>
              </w:rPr>
              <w:t>6.2 (6.7</w:t>
            </w:r>
            <w:r w:rsidR="00D51DFF"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9983066" w14:textId="77777777" w:rsidR="00D51DFF" w:rsidRPr="008614C4" w:rsidRDefault="00383CC8" w:rsidP="00B16199">
            <w:pPr>
              <w:rPr>
                <w:rFonts w:cs="Times New Roman"/>
                <w:sz w:val="20"/>
                <w:szCs w:val="20"/>
              </w:rPr>
            </w:pPr>
            <w:r>
              <w:rPr>
                <w:rFonts w:cs="Times New Roman"/>
                <w:sz w:val="20"/>
                <w:szCs w:val="20"/>
              </w:rPr>
              <w:t>20.3 (9.7</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4F9BCE37" w14:textId="77777777" w:rsidTr="00B16589">
        <w:trPr>
          <w:jc w:val="center"/>
        </w:trPr>
        <w:tc>
          <w:tcPr>
            <w:tcW w:w="0" w:type="auto"/>
            <w:tcBorders>
              <w:top w:val="nil"/>
              <w:left w:val="nil"/>
              <w:bottom w:val="nil"/>
              <w:right w:val="nil"/>
            </w:tcBorders>
          </w:tcPr>
          <w:p w14:paraId="162A63D0" w14:textId="77777777" w:rsidR="00D51DFF" w:rsidRPr="008614C4" w:rsidRDefault="00D51DFF" w:rsidP="00B16199">
            <w:pPr>
              <w:rPr>
                <w:rFonts w:cs="Times New Roman"/>
                <w:sz w:val="20"/>
                <w:szCs w:val="20"/>
              </w:rPr>
            </w:pPr>
          </w:p>
        </w:tc>
        <w:tc>
          <w:tcPr>
            <w:tcW w:w="0" w:type="auto"/>
            <w:tcBorders>
              <w:top w:val="nil"/>
              <w:left w:val="nil"/>
              <w:bottom w:val="nil"/>
              <w:right w:val="nil"/>
            </w:tcBorders>
          </w:tcPr>
          <w:p w14:paraId="7343E805" w14:textId="77777777" w:rsidR="00D51DFF" w:rsidRPr="008614C4" w:rsidRDefault="00B16589" w:rsidP="00B16199">
            <w:pPr>
              <w:rPr>
                <w:rFonts w:cs="Times New Roman"/>
                <w:sz w:val="20"/>
                <w:szCs w:val="20"/>
              </w:rPr>
            </w:pPr>
            <w:r>
              <w:rPr>
                <w:rFonts w:cs="Times New Roman"/>
                <w:sz w:val="20"/>
                <w:szCs w:val="20"/>
              </w:rPr>
              <w:t xml:space="preserve">8. </w:t>
            </w:r>
            <w:r w:rsidR="00D51DFF" w:rsidRPr="008614C4">
              <w:rPr>
                <w:rFonts w:cs="Times New Roman"/>
                <w:sz w:val="20"/>
                <w:szCs w:val="20"/>
              </w:rPr>
              <w:t xml:space="preserve">Sexual function </w:t>
            </w:r>
          </w:p>
        </w:tc>
        <w:tc>
          <w:tcPr>
            <w:tcW w:w="0" w:type="auto"/>
            <w:tcBorders>
              <w:top w:val="nil"/>
              <w:left w:val="nil"/>
              <w:bottom w:val="nil"/>
              <w:right w:val="nil"/>
            </w:tcBorders>
          </w:tcPr>
          <w:p w14:paraId="0F28F045" w14:textId="77777777" w:rsidR="00D51DFF" w:rsidRPr="008614C4" w:rsidRDefault="00383CC8" w:rsidP="00B16199">
            <w:pPr>
              <w:rPr>
                <w:rFonts w:cs="Times New Roman"/>
                <w:sz w:val="20"/>
                <w:szCs w:val="20"/>
              </w:rPr>
            </w:pPr>
            <w:r>
              <w:rPr>
                <w:rFonts w:cs="Times New Roman"/>
                <w:sz w:val="20"/>
                <w:szCs w:val="20"/>
              </w:rPr>
              <w:t>1.7 (3.4</w:t>
            </w:r>
            <w:r w:rsidR="00D51DFF" w:rsidRPr="008614C4">
              <w:rPr>
                <w:rFonts w:cs="Times New Roman"/>
                <w:sz w:val="20"/>
                <w:szCs w:val="20"/>
              </w:rPr>
              <w:t>)</w:t>
            </w:r>
            <w:r w:rsidR="00B547D2" w:rsidRPr="008614C4">
              <w:rPr>
                <w:rFonts w:cs="Times New Roman"/>
                <w:sz w:val="20"/>
                <w:szCs w:val="20"/>
                <w:vertAlign w:val="superscript"/>
              </w:rPr>
              <w:t>2</w:t>
            </w:r>
            <w:r w:rsidR="008F522D">
              <w:rPr>
                <w:rFonts w:cs="Times New Roman"/>
                <w:sz w:val="20"/>
                <w:szCs w:val="20"/>
                <w:vertAlign w:val="superscript"/>
              </w:rPr>
              <w:t>,</w:t>
            </w:r>
            <w:r w:rsidR="006B0A4F">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09642A3" w14:textId="77777777" w:rsidR="00D51DFF" w:rsidRPr="00E75106" w:rsidRDefault="00383CC8" w:rsidP="00B16199">
            <w:pPr>
              <w:rPr>
                <w:rFonts w:cs="Times New Roman"/>
                <w:sz w:val="20"/>
                <w:szCs w:val="20"/>
              </w:rPr>
            </w:pPr>
            <w:r w:rsidRPr="00E75106">
              <w:rPr>
                <w:rFonts w:cs="Times New Roman"/>
                <w:sz w:val="20"/>
                <w:szCs w:val="20"/>
              </w:rPr>
              <w:t>7.3 (7.8</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nil"/>
              <w:right w:val="nil"/>
            </w:tcBorders>
          </w:tcPr>
          <w:p w14:paraId="0F872A34" w14:textId="77777777" w:rsidR="00D51DFF" w:rsidRPr="008614C4" w:rsidRDefault="00383CC8" w:rsidP="00B16199">
            <w:pPr>
              <w:rPr>
                <w:rFonts w:cs="Times New Roman"/>
                <w:sz w:val="20"/>
                <w:szCs w:val="20"/>
              </w:rPr>
            </w:pPr>
            <w:r>
              <w:rPr>
                <w:rFonts w:cs="Times New Roman"/>
                <w:sz w:val="20"/>
                <w:szCs w:val="20"/>
              </w:rPr>
              <w:t>2.4</w:t>
            </w:r>
            <w:r w:rsidR="00D51DFF" w:rsidRPr="008614C4">
              <w:rPr>
                <w:rFonts w:cs="Times New Roman"/>
                <w:sz w:val="20"/>
                <w:szCs w:val="20"/>
              </w:rPr>
              <w:t xml:space="preserve"> (4.1)</w:t>
            </w:r>
            <w:r w:rsidR="006B0A4F">
              <w:rPr>
                <w:rFonts w:cs="Times New Roman"/>
                <w:sz w:val="20"/>
                <w:szCs w:val="20"/>
                <w:vertAlign w:val="superscript"/>
              </w:rPr>
              <w:t>1</w:t>
            </w:r>
            <w:r w:rsidR="008F522D">
              <w:rPr>
                <w:rFonts w:cs="Times New Roman"/>
                <w:sz w:val="20"/>
                <w:szCs w:val="20"/>
                <w:vertAlign w:val="superscript"/>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F6ACF34" w14:textId="77777777" w:rsidR="00D51DFF" w:rsidRPr="008614C4" w:rsidRDefault="00383CC8" w:rsidP="00B16199">
            <w:pPr>
              <w:rPr>
                <w:rFonts w:cs="Times New Roman"/>
                <w:sz w:val="20"/>
                <w:szCs w:val="20"/>
              </w:rPr>
            </w:pPr>
            <w:r>
              <w:rPr>
                <w:rFonts w:cs="Times New Roman"/>
                <w:sz w:val="20"/>
                <w:szCs w:val="20"/>
              </w:rPr>
              <w:t>9.0 (9.9</w:t>
            </w:r>
            <w:r w:rsidR="00D51DFF" w:rsidRPr="008614C4">
              <w:rPr>
                <w:rFonts w:cs="Times New Roman"/>
                <w:sz w:val="20"/>
                <w:szCs w:val="20"/>
              </w:rPr>
              <w:t>)</w:t>
            </w:r>
            <w:r w:rsidR="006B0A4F">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0D04CB84" w14:textId="77777777" w:rsidTr="00B16589">
        <w:trPr>
          <w:jc w:val="center"/>
        </w:trPr>
        <w:tc>
          <w:tcPr>
            <w:tcW w:w="0" w:type="auto"/>
            <w:tcBorders>
              <w:top w:val="nil"/>
              <w:left w:val="nil"/>
              <w:bottom w:val="single" w:sz="4" w:space="0" w:color="auto"/>
              <w:right w:val="nil"/>
            </w:tcBorders>
          </w:tcPr>
          <w:p w14:paraId="2742E308" w14:textId="77777777" w:rsidR="00D51DFF" w:rsidRPr="008614C4" w:rsidRDefault="00D51DFF" w:rsidP="00B16199">
            <w:pPr>
              <w:rPr>
                <w:rFonts w:cs="Times New Roman"/>
                <w:sz w:val="20"/>
                <w:szCs w:val="20"/>
              </w:rPr>
            </w:pPr>
          </w:p>
        </w:tc>
        <w:tc>
          <w:tcPr>
            <w:tcW w:w="0" w:type="auto"/>
            <w:tcBorders>
              <w:top w:val="nil"/>
              <w:left w:val="nil"/>
              <w:bottom w:val="single" w:sz="4" w:space="0" w:color="auto"/>
              <w:right w:val="nil"/>
            </w:tcBorders>
          </w:tcPr>
          <w:p w14:paraId="4C0C7595" w14:textId="77777777" w:rsidR="00D51DFF" w:rsidRPr="008614C4" w:rsidRDefault="00B16589" w:rsidP="00B16199">
            <w:pPr>
              <w:rPr>
                <w:rFonts w:cs="Times New Roman"/>
                <w:sz w:val="20"/>
                <w:szCs w:val="20"/>
              </w:rPr>
            </w:pPr>
            <w:r>
              <w:rPr>
                <w:rFonts w:cs="Times New Roman"/>
                <w:sz w:val="20"/>
                <w:szCs w:val="20"/>
              </w:rPr>
              <w:t xml:space="preserve">9. </w:t>
            </w:r>
            <w:r w:rsidR="00D51DFF" w:rsidRPr="008614C4">
              <w:rPr>
                <w:rFonts w:cs="Times New Roman"/>
                <w:sz w:val="20"/>
                <w:szCs w:val="20"/>
              </w:rPr>
              <w:t xml:space="preserve">Miscellaneous </w:t>
            </w:r>
          </w:p>
        </w:tc>
        <w:tc>
          <w:tcPr>
            <w:tcW w:w="0" w:type="auto"/>
            <w:tcBorders>
              <w:top w:val="nil"/>
              <w:left w:val="nil"/>
              <w:bottom w:val="single" w:sz="4" w:space="0" w:color="auto"/>
              <w:right w:val="nil"/>
            </w:tcBorders>
          </w:tcPr>
          <w:p w14:paraId="1507C081" w14:textId="77777777" w:rsidR="00D51DFF" w:rsidRPr="008614C4" w:rsidRDefault="00383CC8" w:rsidP="00B16199">
            <w:pPr>
              <w:rPr>
                <w:rFonts w:cs="Times New Roman"/>
                <w:sz w:val="20"/>
                <w:szCs w:val="20"/>
              </w:rPr>
            </w:pPr>
            <w:r>
              <w:rPr>
                <w:rFonts w:cs="Times New Roman"/>
                <w:sz w:val="20"/>
                <w:szCs w:val="20"/>
              </w:rPr>
              <w:t>4.0 (4.8</w:t>
            </w:r>
            <w:r w:rsidR="00D51DFF" w:rsidRPr="008614C4">
              <w:rPr>
                <w:rFonts w:cs="Times New Roman"/>
                <w:sz w:val="20"/>
                <w:szCs w:val="20"/>
              </w:rPr>
              <w:t>)</w:t>
            </w:r>
            <w:r w:rsidR="006B0A4F">
              <w:rPr>
                <w:rFonts w:cs="Times New Roman"/>
                <w:sz w:val="20"/>
                <w:szCs w:val="20"/>
                <w:vertAlign w:val="superscript"/>
              </w:rPr>
              <w:t>2</w:t>
            </w:r>
            <w:r w:rsidR="008F522D">
              <w:rPr>
                <w:rFonts w:cs="Times New Roman"/>
                <w:sz w:val="20"/>
                <w:szCs w:val="20"/>
                <w:vertAlign w:val="superscript"/>
              </w:rPr>
              <w:t>,</w:t>
            </w:r>
            <w:r w:rsidR="006B0A4F">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single" w:sz="4" w:space="0" w:color="auto"/>
              <w:right w:val="nil"/>
            </w:tcBorders>
          </w:tcPr>
          <w:p w14:paraId="6570D380" w14:textId="77777777" w:rsidR="00D51DFF" w:rsidRPr="00E75106" w:rsidRDefault="00383CC8" w:rsidP="00B16199">
            <w:pPr>
              <w:rPr>
                <w:rFonts w:cs="Times New Roman"/>
                <w:sz w:val="20"/>
                <w:szCs w:val="20"/>
              </w:rPr>
            </w:pPr>
            <w:r w:rsidRPr="00E75106">
              <w:rPr>
                <w:rFonts w:cs="Times New Roman"/>
                <w:sz w:val="20"/>
                <w:szCs w:val="20"/>
              </w:rPr>
              <w:t>13.2 (8.7</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3</w:t>
            </w:r>
          </w:p>
        </w:tc>
        <w:tc>
          <w:tcPr>
            <w:tcW w:w="0" w:type="auto"/>
            <w:tcBorders>
              <w:top w:val="nil"/>
              <w:left w:val="nil"/>
              <w:bottom w:val="single" w:sz="4" w:space="0" w:color="auto"/>
              <w:right w:val="nil"/>
            </w:tcBorders>
          </w:tcPr>
          <w:p w14:paraId="346ED002" w14:textId="77777777" w:rsidR="00D51DFF" w:rsidRPr="008614C4" w:rsidRDefault="00383CC8" w:rsidP="00B16199">
            <w:pPr>
              <w:rPr>
                <w:rFonts w:cs="Times New Roman"/>
                <w:sz w:val="20"/>
                <w:szCs w:val="20"/>
              </w:rPr>
            </w:pPr>
            <w:r>
              <w:rPr>
                <w:rFonts w:cs="Times New Roman"/>
                <w:sz w:val="20"/>
                <w:szCs w:val="20"/>
              </w:rPr>
              <w:t>6.2 (6</w:t>
            </w:r>
            <w:r w:rsidR="00D51DFF" w:rsidRPr="008614C4">
              <w:rPr>
                <w:rFonts w:cs="Times New Roman"/>
                <w:sz w:val="20"/>
                <w:szCs w:val="20"/>
              </w:rPr>
              <w:t>.8)</w:t>
            </w:r>
            <w:r w:rsidR="006B0A4F">
              <w:rPr>
                <w:rFonts w:cs="Times New Roman"/>
                <w:sz w:val="20"/>
                <w:szCs w:val="20"/>
                <w:vertAlign w:val="superscript"/>
              </w:rPr>
              <w:t>1</w:t>
            </w:r>
            <w:r w:rsidR="008F522D">
              <w:rPr>
                <w:rFonts w:cs="Times New Roman"/>
                <w:sz w:val="20"/>
                <w:szCs w:val="20"/>
                <w:vertAlign w:val="superscript"/>
              </w:rPr>
              <w:t>,</w:t>
            </w:r>
            <w:r w:rsidR="006B0A4F">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single" w:sz="4" w:space="0" w:color="auto"/>
              <w:right w:val="nil"/>
            </w:tcBorders>
          </w:tcPr>
          <w:p w14:paraId="1A2EB5E5" w14:textId="77777777" w:rsidR="00D51DFF" w:rsidRPr="008614C4" w:rsidRDefault="00383CC8" w:rsidP="00B16199">
            <w:pPr>
              <w:rPr>
                <w:rFonts w:cs="Times New Roman"/>
                <w:sz w:val="20"/>
                <w:szCs w:val="20"/>
              </w:rPr>
            </w:pPr>
            <w:r>
              <w:rPr>
                <w:rFonts w:cs="Times New Roman"/>
                <w:sz w:val="20"/>
                <w:szCs w:val="20"/>
              </w:rPr>
              <w:t>14.5 (10.1</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p>
        </w:tc>
      </w:tr>
      <w:tr w:rsidR="00B16589" w:rsidRPr="008614C4" w14:paraId="023379D8" w14:textId="77777777" w:rsidTr="00B16589">
        <w:trPr>
          <w:jc w:val="center"/>
        </w:trPr>
        <w:tc>
          <w:tcPr>
            <w:tcW w:w="0" w:type="auto"/>
            <w:tcBorders>
              <w:top w:val="single" w:sz="4" w:space="0" w:color="auto"/>
              <w:left w:val="nil"/>
              <w:bottom w:val="nil"/>
              <w:right w:val="nil"/>
            </w:tcBorders>
          </w:tcPr>
          <w:p w14:paraId="0C0038B6" w14:textId="77777777" w:rsidR="00B16589" w:rsidRPr="008614C4" w:rsidRDefault="00B16589" w:rsidP="00B16199">
            <w:pPr>
              <w:rPr>
                <w:rFonts w:cs="Times New Roman"/>
                <w:sz w:val="20"/>
                <w:szCs w:val="20"/>
              </w:rPr>
            </w:pPr>
            <w:r w:rsidRPr="008614C4">
              <w:rPr>
                <w:rFonts w:cs="Times New Roman"/>
                <w:sz w:val="20"/>
                <w:szCs w:val="20"/>
              </w:rPr>
              <w:t xml:space="preserve">Motor symptoms </w:t>
            </w:r>
          </w:p>
        </w:tc>
        <w:tc>
          <w:tcPr>
            <w:tcW w:w="0" w:type="auto"/>
            <w:tcBorders>
              <w:top w:val="single" w:sz="4" w:space="0" w:color="auto"/>
              <w:left w:val="nil"/>
              <w:bottom w:val="nil"/>
              <w:right w:val="nil"/>
            </w:tcBorders>
          </w:tcPr>
          <w:p w14:paraId="7F8C429B" w14:textId="77777777" w:rsidR="00B16589" w:rsidRPr="008614C4" w:rsidRDefault="00B16589" w:rsidP="00B16199">
            <w:pPr>
              <w:tabs>
                <w:tab w:val="left" w:pos="1234"/>
                <w:tab w:val="right" w:pos="2155"/>
              </w:tabs>
              <w:rPr>
                <w:rFonts w:cs="Times New Roman"/>
                <w:sz w:val="20"/>
                <w:szCs w:val="20"/>
              </w:rPr>
            </w:pPr>
            <w:r w:rsidRPr="008614C4">
              <w:rPr>
                <w:rFonts w:cs="Times New Roman"/>
                <w:sz w:val="20"/>
                <w:szCs w:val="20"/>
              </w:rPr>
              <w:t xml:space="preserve">Axial </w:t>
            </w:r>
            <w:r>
              <w:rPr>
                <w:rFonts w:cs="Times New Roman"/>
                <w:sz w:val="20"/>
                <w:szCs w:val="20"/>
              </w:rPr>
              <w:tab/>
            </w:r>
          </w:p>
        </w:tc>
        <w:tc>
          <w:tcPr>
            <w:tcW w:w="0" w:type="auto"/>
            <w:tcBorders>
              <w:top w:val="single" w:sz="4" w:space="0" w:color="auto"/>
              <w:left w:val="nil"/>
              <w:bottom w:val="nil"/>
              <w:right w:val="nil"/>
            </w:tcBorders>
          </w:tcPr>
          <w:p w14:paraId="42E41FC2" w14:textId="77777777" w:rsidR="00B16589" w:rsidRPr="008614C4" w:rsidRDefault="00B16589" w:rsidP="00B16199">
            <w:pPr>
              <w:rPr>
                <w:rFonts w:cs="Times New Roman"/>
                <w:sz w:val="20"/>
                <w:szCs w:val="20"/>
              </w:rPr>
            </w:pPr>
            <w:r>
              <w:rPr>
                <w:rFonts w:cs="Times New Roman"/>
                <w:sz w:val="20"/>
                <w:szCs w:val="20"/>
              </w:rPr>
              <w:t>1.7 (1.5</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44A31B3C" w14:textId="77777777" w:rsidR="00B16589" w:rsidRPr="008614C4" w:rsidRDefault="00B16589" w:rsidP="00B16199">
            <w:pPr>
              <w:rPr>
                <w:rFonts w:cs="Times New Roman"/>
                <w:sz w:val="20"/>
                <w:szCs w:val="20"/>
              </w:rPr>
            </w:pPr>
            <w:r>
              <w:rPr>
                <w:rFonts w:cs="Times New Roman"/>
                <w:sz w:val="20"/>
                <w:szCs w:val="20"/>
              </w:rPr>
              <w:t>3.6 (2.2</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single" w:sz="4" w:space="0" w:color="auto"/>
              <w:left w:val="nil"/>
              <w:bottom w:val="nil"/>
              <w:right w:val="nil"/>
            </w:tcBorders>
          </w:tcPr>
          <w:p w14:paraId="4058AAC2" w14:textId="77777777" w:rsidR="00B16589" w:rsidRPr="00E75106" w:rsidRDefault="00B16589" w:rsidP="00B16199">
            <w:pPr>
              <w:rPr>
                <w:rFonts w:cs="Times New Roman"/>
                <w:sz w:val="20"/>
                <w:szCs w:val="20"/>
              </w:rPr>
            </w:pPr>
            <w:r w:rsidRPr="00E75106">
              <w:rPr>
                <w:rFonts w:cs="Times New Roman"/>
                <w:sz w:val="20"/>
                <w:szCs w:val="20"/>
              </w:rPr>
              <w:t>4.5 (2.3)</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2</w:t>
            </w:r>
            <w:r w:rsidR="008F522D">
              <w:rPr>
                <w:rFonts w:cs="Times New Roman"/>
                <w:sz w:val="20"/>
                <w:szCs w:val="20"/>
                <w:vertAlign w:val="superscript"/>
              </w:rPr>
              <w:t>,</w:t>
            </w:r>
            <w:r w:rsidRPr="00E75106">
              <w:rPr>
                <w:rFonts w:cs="Times New Roman"/>
                <w:sz w:val="20"/>
                <w:szCs w:val="20"/>
                <w:vertAlign w:val="superscript"/>
              </w:rPr>
              <w:t>4</w:t>
            </w:r>
          </w:p>
        </w:tc>
        <w:tc>
          <w:tcPr>
            <w:tcW w:w="0" w:type="auto"/>
            <w:tcBorders>
              <w:top w:val="single" w:sz="4" w:space="0" w:color="auto"/>
              <w:left w:val="nil"/>
              <w:bottom w:val="nil"/>
              <w:right w:val="nil"/>
            </w:tcBorders>
          </w:tcPr>
          <w:p w14:paraId="249BA5C7" w14:textId="77777777" w:rsidR="00B16589" w:rsidRPr="008614C4" w:rsidRDefault="00B16589" w:rsidP="00B16199">
            <w:pPr>
              <w:rPr>
                <w:rFonts w:cs="Times New Roman"/>
                <w:sz w:val="20"/>
                <w:szCs w:val="20"/>
              </w:rPr>
            </w:pPr>
            <w:r>
              <w:rPr>
                <w:rFonts w:cs="Times New Roman"/>
                <w:sz w:val="20"/>
                <w:szCs w:val="20"/>
              </w:rPr>
              <w:t>8.2 (2.7</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547D2" w:rsidRPr="008614C4" w14:paraId="0A26E8DB" w14:textId="77777777" w:rsidTr="00B16589">
        <w:trPr>
          <w:trHeight w:val="378"/>
          <w:jc w:val="center"/>
        </w:trPr>
        <w:tc>
          <w:tcPr>
            <w:tcW w:w="0" w:type="auto"/>
            <w:tcBorders>
              <w:top w:val="nil"/>
              <w:left w:val="nil"/>
              <w:bottom w:val="nil"/>
              <w:right w:val="nil"/>
            </w:tcBorders>
          </w:tcPr>
          <w:p w14:paraId="0BD60FF0" w14:textId="77777777" w:rsidR="00D51DFF" w:rsidRPr="008614C4" w:rsidRDefault="00D51DFF" w:rsidP="00B16199">
            <w:pPr>
              <w:rPr>
                <w:rFonts w:cs="Times New Roman"/>
                <w:sz w:val="20"/>
                <w:szCs w:val="20"/>
              </w:rPr>
            </w:pPr>
          </w:p>
        </w:tc>
        <w:tc>
          <w:tcPr>
            <w:tcW w:w="0" w:type="auto"/>
            <w:tcBorders>
              <w:top w:val="nil"/>
              <w:left w:val="nil"/>
              <w:bottom w:val="nil"/>
              <w:right w:val="nil"/>
            </w:tcBorders>
          </w:tcPr>
          <w:p w14:paraId="2E2E3412" w14:textId="77777777" w:rsidR="00D51DFF" w:rsidRPr="008614C4" w:rsidRDefault="00D51DFF" w:rsidP="00B16199">
            <w:pPr>
              <w:rPr>
                <w:rFonts w:cs="Times New Roman"/>
                <w:sz w:val="20"/>
                <w:szCs w:val="20"/>
              </w:rPr>
            </w:pPr>
            <w:r w:rsidRPr="008614C4">
              <w:rPr>
                <w:rFonts w:cs="Times New Roman"/>
                <w:sz w:val="20"/>
                <w:szCs w:val="20"/>
              </w:rPr>
              <w:t xml:space="preserve">Bradykinesia </w:t>
            </w:r>
          </w:p>
        </w:tc>
        <w:tc>
          <w:tcPr>
            <w:tcW w:w="0" w:type="auto"/>
            <w:tcBorders>
              <w:top w:val="nil"/>
              <w:left w:val="nil"/>
              <w:bottom w:val="nil"/>
              <w:right w:val="nil"/>
            </w:tcBorders>
          </w:tcPr>
          <w:p w14:paraId="3D9064C1" w14:textId="77777777" w:rsidR="00D51DFF" w:rsidRPr="008614C4" w:rsidRDefault="00383CC8" w:rsidP="00B16199">
            <w:pPr>
              <w:rPr>
                <w:rFonts w:cs="Times New Roman"/>
                <w:sz w:val="20"/>
                <w:szCs w:val="20"/>
              </w:rPr>
            </w:pPr>
            <w:r>
              <w:rPr>
                <w:rFonts w:cs="Times New Roman"/>
                <w:sz w:val="20"/>
                <w:szCs w:val="20"/>
              </w:rPr>
              <w:t>1.6</w:t>
            </w:r>
            <w:r w:rsidR="00D51DFF" w:rsidRPr="008614C4">
              <w:rPr>
                <w:rFonts w:cs="Times New Roman"/>
                <w:sz w:val="20"/>
                <w:szCs w:val="20"/>
              </w:rPr>
              <w:t xml:space="preserve"> (0.9)</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677622FB" w14:textId="77777777" w:rsidR="00D51DFF" w:rsidRPr="008614C4" w:rsidRDefault="00383CC8" w:rsidP="00B16199">
            <w:pPr>
              <w:rPr>
                <w:rFonts w:cs="Times New Roman"/>
                <w:sz w:val="20"/>
                <w:szCs w:val="20"/>
              </w:rPr>
            </w:pPr>
            <w:r>
              <w:rPr>
                <w:rFonts w:cs="Times New Roman"/>
                <w:sz w:val="20"/>
                <w:szCs w:val="20"/>
              </w:rPr>
              <w:t>2.2</w:t>
            </w:r>
            <w:r w:rsidR="00D51DFF" w:rsidRPr="008614C4">
              <w:rPr>
                <w:rFonts w:cs="Times New Roman"/>
                <w:sz w:val="20"/>
                <w:szCs w:val="20"/>
              </w:rPr>
              <w:t xml:space="preserve"> (1.1)</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3A28D7B1" w14:textId="77777777" w:rsidR="00D51DFF" w:rsidRPr="00E75106" w:rsidRDefault="00383CC8" w:rsidP="00B16199">
            <w:pPr>
              <w:rPr>
                <w:rFonts w:cs="Times New Roman"/>
                <w:sz w:val="20"/>
                <w:szCs w:val="20"/>
              </w:rPr>
            </w:pPr>
            <w:r w:rsidRPr="00E75106">
              <w:rPr>
                <w:rFonts w:cs="Times New Roman"/>
                <w:sz w:val="20"/>
                <w:szCs w:val="20"/>
              </w:rPr>
              <w:t>3.5 (1.0</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2</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4BE77957" w14:textId="77777777" w:rsidR="00D51DFF" w:rsidRPr="008614C4" w:rsidRDefault="00383CC8" w:rsidP="00B16199">
            <w:pPr>
              <w:rPr>
                <w:rFonts w:cs="Times New Roman"/>
                <w:sz w:val="20"/>
                <w:szCs w:val="20"/>
              </w:rPr>
            </w:pPr>
            <w:r>
              <w:rPr>
                <w:rFonts w:cs="Times New Roman"/>
                <w:sz w:val="20"/>
                <w:szCs w:val="20"/>
              </w:rPr>
              <w:t>4.5 (1.3</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547D2" w:rsidRPr="008614C4" w14:paraId="39E0DEB3" w14:textId="77777777" w:rsidTr="00B16589">
        <w:trPr>
          <w:trHeight w:val="341"/>
          <w:jc w:val="center"/>
        </w:trPr>
        <w:tc>
          <w:tcPr>
            <w:tcW w:w="0" w:type="auto"/>
            <w:tcBorders>
              <w:top w:val="nil"/>
              <w:left w:val="nil"/>
              <w:bottom w:val="nil"/>
              <w:right w:val="nil"/>
            </w:tcBorders>
          </w:tcPr>
          <w:p w14:paraId="11BFE2C4" w14:textId="77777777" w:rsidR="00D51DFF" w:rsidRPr="008614C4" w:rsidRDefault="00D51DFF" w:rsidP="00B16199">
            <w:pPr>
              <w:tabs>
                <w:tab w:val="left" w:pos="1652"/>
              </w:tabs>
              <w:rPr>
                <w:rFonts w:cs="Times New Roman"/>
                <w:sz w:val="20"/>
                <w:szCs w:val="20"/>
              </w:rPr>
            </w:pPr>
          </w:p>
        </w:tc>
        <w:tc>
          <w:tcPr>
            <w:tcW w:w="0" w:type="auto"/>
            <w:tcBorders>
              <w:top w:val="nil"/>
              <w:left w:val="nil"/>
              <w:bottom w:val="nil"/>
              <w:right w:val="nil"/>
            </w:tcBorders>
          </w:tcPr>
          <w:p w14:paraId="096B3E71" w14:textId="77777777" w:rsidR="00D51DFF" w:rsidRPr="008614C4" w:rsidRDefault="00B547D2" w:rsidP="00B16199">
            <w:pPr>
              <w:rPr>
                <w:rFonts w:cs="Times New Roman"/>
                <w:sz w:val="20"/>
                <w:szCs w:val="20"/>
              </w:rPr>
            </w:pPr>
            <w:r w:rsidRPr="008614C4">
              <w:rPr>
                <w:rFonts w:cs="Times New Roman"/>
                <w:sz w:val="20"/>
                <w:szCs w:val="20"/>
              </w:rPr>
              <w:t>Rigidity</w:t>
            </w:r>
          </w:p>
        </w:tc>
        <w:tc>
          <w:tcPr>
            <w:tcW w:w="0" w:type="auto"/>
            <w:tcBorders>
              <w:top w:val="nil"/>
              <w:left w:val="nil"/>
              <w:bottom w:val="nil"/>
              <w:right w:val="nil"/>
            </w:tcBorders>
          </w:tcPr>
          <w:p w14:paraId="7247223B" w14:textId="77777777" w:rsidR="00D51DFF" w:rsidRPr="008614C4" w:rsidRDefault="00D51DFF" w:rsidP="00B16199">
            <w:pPr>
              <w:rPr>
                <w:rFonts w:cs="Times New Roman"/>
                <w:sz w:val="20"/>
                <w:szCs w:val="20"/>
              </w:rPr>
            </w:pPr>
            <w:r w:rsidRPr="008614C4">
              <w:rPr>
                <w:rFonts w:cs="Times New Roman"/>
                <w:sz w:val="20"/>
                <w:szCs w:val="20"/>
              </w:rPr>
              <w:t>1.5 (0.9)</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2DF91F94" w14:textId="77777777" w:rsidR="00D51DFF" w:rsidRPr="008614C4" w:rsidRDefault="00383CC8" w:rsidP="00B16199">
            <w:pPr>
              <w:rPr>
                <w:rFonts w:cs="Times New Roman"/>
                <w:sz w:val="20"/>
                <w:szCs w:val="20"/>
              </w:rPr>
            </w:pPr>
            <w:r>
              <w:rPr>
                <w:rFonts w:cs="Times New Roman"/>
                <w:sz w:val="20"/>
                <w:szCs w:val="20"/>
              </w:rPr>
              <w:t>1.8 (1.2</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3</w:t>
            </w:r>
            <w:r w:rsidR="008F522D">
              <w:rPr>
                <w:rFonts w:cs="Times New Roman"/>
                <w:sz w:val="20"/>
                <w:szCs w:val="20"/>
                <w:vertAlign w:val="superscript"/>
              </w:rPr>
              <w:t>,</w:t>
            </w:r>
            <w:r w:rsidR="00B547D2" w:rsidRPr="008614C4">
              <w:rPr>
                <w:rFonts w:cs="Times New Roman"/>
                <w:sz w:val="20"/>
                <w:szCs w:val="20"/>
                <w:vertAlign w:val="superscript"/>
              </w:rPr>
              <w:t>4</w:t>
            </w:r>
          </w:p>
        </w:tc>
        <w:tc>
          <w:tcPr>
            <w:tcW w:w="0" w:type="auto"/>
            <w:tcBorders>
              <w:top w:val="nil"/>
              <w:left w:val="nil"/>
              <w:bottom w:val="nil"/>
              <w:right w:val="nil"/>
            </w:tcBorders>
          </w:tcPr>
          <w:p w14:paraId="493D4B34" w14:textId="77777777" w:rsidR="00D51DFF" w:rsidRPr="00E75106" w:rsidRDefault="00383CC8" w:rsidP="00B16199">
            <w:pPr>
              <w:rPr>
                <w:rFonts w:cs="Times New Roman"/>
                <w:sz w:val="20"/>
                <w:szCs w:val="20"/>
              </w:rPr>
            </w:pPr>
            <w:r w:rsidRPr="00E75106">
              <w:rPr>
                <w:rFonts w:cs="Times New Roman"/>
                <w:sz w:val="20"/>
                <w:szCs w:val="20"/>
              </w:rPr>
              <w:t>3.3 (1.0</w:t>
            </w:r>
            <w:r w:rsidR="00D51DFF" w:rsidRPr="00E75106">
              <w:rPr>
                <w:rFonts w:cs="Times New Roman"/>
                <w:sz w:val="20"/>
                <w:szCs w:val="20"/>
              </w:rPr>
              <w:t>)</w:t>
            </w:r>
            <w:r w:rsidR="00B547D2" w:rsidRPr="00E75106">
              <w:rPr>
                <w:rFonts w:cs="Times New Roman"/>
                <w:sz w:val="20"/>
                <w:szCs w:val="20"/>
                <w:vertAlign w:val="superscript"/>
              </w:rPr>
              <w:t>1</w:t>
            </w:r>
            <w:r w:rsidR="008F522D">
              <w:rPr>
                <w:rFonts w:cs="Times New Roman"/>
                <w:sz w:val="20"/>
                <w:szCs w:val="20"/>
                <w:vertAlign w:val="superscript"/>
              </w:rPr>
              <w:t>,</w:t>
            </w:r>
            <w:r w:rsidR="00B547D2" w:rsidRPr="00E75106">
              <w:rPr>
                <w:rFonts w:cs="Times New Roman"/>
                <w:sz w:val="20"/>
                <w:szCs w:val="20"/>
                <w:vertAlign w:val="superscript"/>
              </w:rPr>
              <w:t>2</w:t>
            </w:r>
            <w:r w:rsidR="008F522D">
              <w:rPr>
                <w:rFonts w:cs="Times New Roman"/>
                <w:sz w:val="20"/>
                <w:szCs w:val="20"/>
                <w:vertAlign w:val="superscript"/>
              </w:rPr>
              <w:t>,</w:t>
            </w:r>
            <w:r w:rsidR="00B547D2" w:rsidRPr="00E75106">
              <w:rPr>
                <w:rFonts w:cs="Times New Roman"/>
                <w:sz w:val="20"/>
                <w:szCs w:val="20"/>
                <w:vertAlign w:val="superscript"/>
              </w:rPr>
              <w:t>4</w:t>
            </w:r>
          </w:p>
        </w:tc>
        <w:tc>
          <w:tcPr>
            <w:tcW w:w="0" w:type="auto"/>
            <w:tcBorders>
              <w:top w:val="nil"/>
              <w:left w:val="nil"/>
              <w:bottom w:val="nil"/>
              <w:right w:val="nil"/>
            </w:tcBorders>
          </w:tcPr>
          <w:p w14:paraId="4F7AECF2" w14:textId="77777777" w:rsidR="00D51DFF" w:rsidRPr="008614C4" w:rsidRDefault="00383CC8" w:rsidP="00B16199">
            <w:pPr>
              <w:rPr>
                <w:rFonts w:cs="Times New Roman"/>
                <w:sz w:val="20"/>
                <w:szCs w:val="20"/>
              </w:rPr>
            </w:pPr>
            <w:r>
              <w:rPr>
                <w:rFonts w:cs="Times New Roman"/>
                <w:sz w:val="20"/>
                <w:szCs w:val="20"/>
              </w:rPr>
              <w:t>4.2(1.2</w:t>
            </w:r>
            <w:r w:rsidR="00D51DFF" w:rsidRPr="008614C4">
              <w:rPr>
                <w:rFonts w:cs="Times New Roman"/>
                <w:sz w:val="20"/>
                <w:szCs w:val="20"/>
              </w:rPr>
              <w:t>)</w:t>
            </w:r>
            <w:r w:rsidR="00B547D2" w:rsidRPr="008614C4">
              <w:rPr>
                <w:rFonts w:cs="Times New Roman"/>
                <w:sz w:val="20"/>
                <w:szCs w:val="20"/>
                <w:vertAlign w:val="superscript"/>
              </w:rPr>
              <w:t>1</w:t>
            </w:r>
            <w:r w:rsidR="008F522D">
              <w:rPr>
                <w:rFonts w:cs="Times New Roman"/>
                <w:sz w:val="20"/>
                <w:szCs w:val="20"/>
                <w:vertAlign w:val="superscript"/>
              </w:rPr>
              <w:t>,</w:t>
            </w:r>
            <w:r w:rsidR="00B547D2" w:rsidRPr="008614C4">
              <w:rPr>
                <w:rFonts w:cs="Times New Roman"/>
                <w:sz w:val="20"/>
                <w:szCs w:val="20"/>
                <w:vertAlign w:val="superscript"/>
              </w:rPr>
              <w:t>2</w:t>
            </w:r>
            <w:r w:rsidR="008F522D">
              <w:rPr>
                <w:rFonts w:cs="Times New Roman"/>
                <w:sz w:val="20"/>
                <w:szCs w:val="20"/>
                <w:vertAlign w:val="superscript"/>
              </w:rPr>
              <w:t>,</w:t>
            </w:r>
            <w:r w:rsidR="00B547D2" w:rsidRPr="008614C4">
              <w:rPr>
                <w:rFonts w:cs="Times New Roman"/>
                <w:sz w:val="20"/>
                <w:szCs w:val="20"/>
                <w:vertAlign w:val="superscript"/>
              </w:rPr>
              <w:t>3</w:t>
            </w:r>
          </w:p>
        </w:tc>
      </w:tr>
      <w:tr w:rsidR="00B16589" w:rsidRPr="008614C4" w14:paraId="19A778D5" w14:textId="77777777" w:rsidTr="00B16589">
        <w:trPr>
          <w:trHeight w:val="378"/>
          <w:jc w:val="center"/>
        </w:trPr>
        <w:tc>
          <w:tcPr>
            <w:tcW w:w="0" w:type="auto"/>
            <w:tcBorders>
              <w:top w:val="nil"/>
              <w:left w:val="nil"/>
              <w:bottom w:val="nil"/>
              <w:right w:val="nil"/>
            </w:tcBorders>
          </w:tcPr>
          <w:p w14:paraId="02CC4A41" w14:textId="77777777" w:rsidR="00B16589" w:rsidRPr="008614C4" w:rsidRDefault="00B16589" w:rsidP="00B16199">
            <w:pPr>
              <w:rPr>
                <w:rFonts w:cs="Times New Roman"/>
                <w:sz w:val="20"/>
                <w:szCs w:val="20"/>
              </w:rPr>
            </w:pPr>
          </w:p>
        </w:tc>
        <w:tc>
          <w:tcPr>
            <w:tcW w:w="0" w:type="auto"/>
            <w:tcBorders>
              <w:top w:val="nil"/>
              <w:left w:val="nil"/>
              <w:bottom w:val="nil"/>
              <w:right w:val="nil"/>
            </w:tcBorders>
          </w:tcPr>
          <w:p w14:paraId="72494F31" w14:textId="77777777" w:rsidR="00B16589" w:rsidRPr="008614C4" w:rsidRDefault="00B16589" w:rsidP="00B16199">
            <w:pPr>
              <w:rPr>
                <w:rFonts w:cs="Times New Roman"/>
                <w:sz w:val="20"/>
                <w:szCs w:val="20"/>
              </w:rPr>
            </w:pPr>
            <w:r w:rsidRPr="008614C4">
              <w:rPr>
                <w:rFonts w:cs="Times New Roman"/>
                <w:sz w:val="20"/>
                <w:szCs w:val="20"/>
              </w:rPr>
              <w:t xml:space="preserve">Tremor </w:t>
            </w:r>
            <w:r>
              <w:rPr>
                <w:rFonts w:cs="Times New Roman"/>
                <w:sz w:val="20"/>
                <w:szCs w:val="20"/>
              </w:rPr>
              <w:tab/>
            </w:r>
          </w:p>
        </w:tc>
        <w:tc>
          <w:tcPr>
            <w:tcW w:w="0" w:type="auto"/>
            <w:tcBorders>
              <w:top w:val="nil"/>
              <w:left w:val="nil"/>
              <w:bottom w:val="nil"/>
              <w:right w:val="nil"/>
            </w:tcBorders>
          </w:tcPr>
          <w:p w14:paraId="016FF1C2" w14:textId="77777777" w:rsidR="00B16589" w:rsidRDefault="00B16589" w:rsidP="00B16199">
            <w:pPr>
              <w:rPr>
                <w:rFonts w:cs="Times New Roman"/>
                <w:sz w:val="20"/>
                <w:szCs w:val="20"/>
              </w:rPr>
            </w:pPr>
            <w:r>
              <w:rPr>
                <w:rFonts w:cs="Times New Roman"/>
                <w:sz w:val="20"/>
                <w:szCs w:val="20"/>
              </w:rPr>
              <w:t>2.0 (1.9</w:t>
            </w:r>
            <w:r w:rsidRPr="008614C4">
              <w:rPr>
                <w:rFonts w:cs="Times New Roman"/>
                <w:sz w:val="20"/>
                <w:szCs w:val="20"/>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3E9A59B2" w14:textId="77777777" w:rsidR="00B16589" w:rsidRDefault="00B16589" w:rsidP="00B16199">
            <w:pPr>
              <w:rPr>
                <w:rFonts w:cs="Times New Roman"/>
                <w:sz w:val="20"/>
                <w:szCs w:val="20"/>
              </w:rPr>
            </w:pPr>
            <w:r>
              <w:rPr>
                <w:rFonts w:cs="Times New Roman"/>
                <w:sz w:val="20"/>
                <w:szCs w:val="20"/>
              </w:rPr>
              <w:t>1.5 (1.8</w:t>
            </w:r>
            <w:r w:rsidRPr="008614C4">
              <w:rPr>
                <w:rFonts w:cs="Times New Roman"/>
                <w:sz w:val="20"/>
                <w:szCs w:val="20"/>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26FE0AD" w14:textId="77777777" w:rsidR="00B16589" w:rsidRPr="00E75106" w:rsidRDefault="00B16589" w:rsidP="00B16199">
            <w:pPr>
              <w:rPr>
                <w:rFonts w:cs="Times New Roman"/>
                <w:sz w:val="20"/>
                <w:szCs w:val="20"/>
              </w:rPr>
            </w:pPr>
            <w:r w:rsidRPr="00E75106">
              <w:rPr>
                <w:rFonts w:cs="Times New Roman"/>
                <w:sz w:val="20"/>
                <w:szCs w:val="20"/>
              </w:rPr>
              <w:t>4.1 (2.8)</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2</w:t>
            </w:r>
          </w:p>
        </w:tc>
        <w:tc>
          <w:tcPr>
            <w:tcW w:w="0" w:type="auto"/>
            <w:tcBorders>
              <w:top w:val="nil"/>
              <w:left w:val="nil"/>
              <w:bottom w:val="nil"/>
              <w:right w:val="nil"/>
            </w:tcBorders>
          </w:tcPr>
          <w:p w14:paraId="590B1813" w14:textId="77777777" w:rsidR="00B16589" w:rsidRDefault="00B16589" w:rsidP="00B16199">
            <w:pPr>
              <w:rPr>
                <w:rFonts w:cs="Times New Roman"/>
                <w:sz w:val="20"/>
                <w:szCs w:val="20"/>
              </w:rPr>
            </w:pPr>
            <w:r>
              <w:rPr>
                <w:rFonts w:cs="Times New Roman"/>
                <w:sz w:val="20"/>
                <w:szCs w:val="20"/>
              </w:rPr>
              <w:t>4.1 (4.1</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p>
        </w:tc>
      </w:tr>
      <w:tr w:rsidR="00B16589" w:rsidRPr="008614C4" w14:paraId="7965F86C" w14:textId="77777777" w:rsidTr="00B16589">
        <w:trPr>
          <w:jc w:val="center"/>
        </w:trPr>
        <w:tc>
          <w:tcPr>
            <w:tcW w:w="0" w:type="auto"/>
            <w:tcBorders>
              <w:top w:val="nil"/>
              <w:left w:val="nil"/>
              <w:bottom w:val="single" w:sz="4" w:space="0" w:color="auto"/>
              <w:right w:val="nil"/>
            </w:tcBorders>
          </w:tcPr>
          <w:p w14:paraId="48D33462" w14:textId="77777777" w:rsidR="00B16589" w:rsidRPr="008614C4" w:rsidRDefault="00B16589" w:rsidP="00B16199">
            <w:pPr>
              <w:rPr>
                <w:rFonts w:cs="Times New Roman"/>
                <w:sz w:val="20"/>
                <w:szCs w:val="20"/>
              </w:rPr>
            </w:pPr>
          </w:p>
        </w:tc>
        <w:tc>
          <w:tcPr>
            <w:tcW w:w="0" w:type="auto"/>
            <w:tcBorders>
              <w:top w:val="nil"/>
              <w:left w:val="nil"/>
              <w:bottom w:val="single" w:sz="4" w:space="0" w:color="auto"/>
              <w:right w:val="nil"/>
            </w:tcBorders>
          </w:tcPr>
          <w:p w14:paraId="698D657F" w14:textId="77777777" w:rsidR="00B16589" w:rsidRPr="008614C4" w:rsidRDefault="00B16589" w:rsidP="00B16199">
            <w:pPr>
              <w:rPr>
                <w:rFonts w:cs="Times New Roman"/>
                <w:sz w:val="20"/>
                <w:szCs w:val="20"/>
              </w:rPr>
            </w:pPr>
            <w:r>
              <w:rPr>
                <w:rFonts w:cs="Times New Roman"/>
                <w:sz w:val="20"/>
                <w:szCs w:val="20"/>
              </w:rPr>
              <w:t>Motor complications</w:t>
            </w:r>
          </w:p>
        </w:tc>
        <w:tc>
          <w:tcPr>
            <w:tcW w:w="0" w:type="auto"/>
            <w:tcBorders>
              <w:top w:val="nil"/>
              <w:left w:val="nil"/>
              <w:bottom w:val="single" w:sz="4" w:space="0" w:color="auto"/>
              <w:right w:val="nil"/>
            </w:tcBorders>
          </w:tcPr>
          <w:p w14:paraId="707BA76E" w14:textId="77777777" w:rsidR="00B16589" w:rsidRDefault="00B16589" w:rsidP="00B16199">
            <w:pPr>
              <w:rPr>
                <w:rFonts w:cs="Times New Roman"/>
                <w:sz w:val="20"/>
                <w:szCs w:val="20"/>
              </w:rPr>
            </w:pPr>
            <w:r>
              <w:rPr>
                <w:rFonts w:cs="Times New Roman"/>
                <w:sz w:val="20"/>
                <w:szCs w:val="20"/>
              </w:rPr>
              <w:t>1.4 (2.1)</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52D30F2F" w14:textId="77777777" w:rsidR="00B16589" w:rsidRDefault="00B16589" w:rsidP="00B16199">
            <w:pPr>
              <w:rPr>
                <w:rFonts w:cs="Times New Roman"/>
                <w:sz w:val="20"/>
                <w:szCs w:val="20"/>
              </w:rPr>
            </w:pPr>
            <w:r>
              <w:rPr>
                <w:rFonts w:cs="Times New Roman"/>
                <w:sz w:val="20"/>
                <w:szCs w:val="20"/>
              </w:rPr>
              <w:t>3.1 (2.9)</w:t>
            </w:r>
            <w:r>
              <w:rPr>
                <w:rFonts w:cs="Times New Roman"/>
                <w:sz w:val="20"/>
                <w:szCs w:val="20"/>
                <w:vertAlign w:val="superscript"/>
              </w:rPr>
              <w:t>1</w:t>
            </w:r>
            <w:r w:rsidR="008F522D">
              <w:rPr>
                <w:rFonts w:cs="Times New Roman"/>
                <w:sz w:val="20"/>
                <w:szCs w:val="20"/>
                <w:vertAlign w:val="superscript"/>
              </w:rPr>
              <w:t>,</w:t>
            </w:r>
            <w:r>
              <w:rPr>
                <w:rFonts w:cs="Times New Roman"/>
                <w:sz w:val="20"/>
                <w:szCs w:val="20"/>
                <w:vertAlign w:val="superscript"/>
              </w:rPr>
              <w:t>4</w:t>
            </w:r>
          </w:p>
        </w:tc>
        <w:tc>
          <w:tcPr>
            <w:tcW w:w="0" w:type="auto"/>
            <w:tcBorders>
              <w:top w:val="nil"/>
              <w:left w:val="nil"/>
              <w:bottom w:val="single" w:sz="4" w:space="0" w:color="auto"/>
              <w:right w:val="nil"/>
            </w:tcBorders>
          </w:tcPr>
          <w:p w14:paraId="05FA7165" w14:textId="77777777" w:rsidR="00B16589" w:rsidRPr="00E75106" w:rsidRDefault="00B16589" w:rsidP="00B16199">
            <w:pPr>
              <w:rPr>
                <w:rFonts w:cs="Times New Roman"/>
                <w:sz w:val="20"/>
                <w:szCs w:val="20"/>
              </w:rPr>
            </w:pPr>
            <w:r w:rsidRPr="00E75106">
              <w:rPr>
                <w:rFonts w:cs="Times New Roman"/>
                <w:sz w:val="20"/>
                <w:szCs w:val="20"/>
              </w:rPr>
              <w:t>3.7 (2.9)</w:t>
            </w:r>
            <w:r w:rsidRPr="00E75106">
              <w:rPr>
                <w:rFonts w:cs="Times New Roman"/>
                <w:sz w:val="20"/>
                <w:szCs w:val="20"/>
                <w:vertAlign w:val="superscript"/>
              </w:rPr>
              <w:t>1</w:t>
            </w:r>
            <w:r w:rsidR="008F522D">
              <w:rPr>
                <w:rFonts w:cs="Times New Roman"/>
                <w:sz w:val="20"/>
                <w:szCs w:val="20"/>
                <w:vertAlign w:val="superscript"/>
              </w:rPr>
              <w:t>,</w:t>
            </w:r>
            <w:r w:rsidRPr="00E75106">
              <w:rPr>
                <w:rFonts w:cs="Times New Roman"/>
                <w:sz w:val="20"/>
                <w:szCs w:val="20"/>
                <w:vertAlign w:val="superscript"/>
              </w:rPr>
              <w:t>4</w:t>
            </w:r>
          </w:p>
        </w:tc>
        <w:tc>
          <w:tcPr>
            <w:tcW w:w="0" w:type="auto"/>
            <w:tcBorders>
              <w:top w:val="nil"/>
              <w:left w:val="nil"/>
              <w:bottom w:val="single" w:sz="4" w:space="0" w:color="auto"/>
              <w:right w:val="nil"/>
            </w:tcBorders>
          </w:tcPr>
          <w:p w14:paraId="73DCD1B5" w14:textId="77777777" w:rsidR="00B16589" w:rsidRDefault="00B16589" w:rsidP="00B16199">
            <w:pPr>
              <w:rPr>
                <w:rFonts w:cs="Times New Roman"/>
                <w:sz w:val="20"/>
                <w:szCs w:val="20"/>
              </w:rPr>
            </w:pPr>
            <w:r>
              <w:rPr>
                <w:rFonts w:cs="Times New Roman"/>
                <w:sz w:val="20"/>
                <w:szCs w:val="20"/>
              </w:rPr>
              <w:t>7.0 (3.6)</w:t>
            </w:r>
            <w:r>
              <w:rPr>
                <w:rFonts w:cs="Times New Roman"/>
                <w:sz w:val="20"/>
                <w:szCs w:val="20"/>
                <w:vertAlign w:val="superscript"/>
              </w:rPr>
              <w:t>1</w:t>
            </w:r>
            <w:r w:rsidR="008F522D">
              <w:rPr>
                <w:rFonts w:cs="Times New Roman"/>
                <w:sz w:val="20"/>
                <w:szCs w:val="20"/>
                <w:vertAlign w:val="superscript"/>
              </w:rPr>
              <w:t>,</w:t>
            </w:r>
            <w:r>
              <w:rPr>
                <w:rFonts w:cs="Times New Roman"/>
                <w:sz w:val="20"/>
                <w:szCs w:val="20"/>
                <w:vertAlign w:val="superscript"/>
              </w:rPr>
              <w:t>2</w:t>
            </w:r>
            <w:r w:rsidR="008F522D">
              <w:rPr>
                <w:rFonts w:cs="Times New Roman"/>
                <w:sz w:val="20"/>
                <w:szCs w:val="20"/>
                <w:vertAlign w:val="superscript"/>
              </w:rPr>
              <w:t>,</w:t>
            </w:r>
            <w:r>
              <w:rPr>
                <w:rFonts w:cs="Times New Roman"/>
                <w:sz w:val="20"/>
                <w:szCs w:val="20"/>
                <w:vertAlign w:val="superscript"/>
              </w:rPr>
              <w:t>3</w:t>
            </w:r>
          </w:p>
        </w:tc>
      </w:tr>
      <w:tr w:rsidR="00B16589" w:rsidRPr="008614C4" w14:paraId="5FC93086" w14:textId="77777777" w:rsidTr="00B16589">
        <w:trPr>
          <w:jc w:val="center"/>
        </w:trPr>
        <w:tc>
          <w:tcPr>
            <w:tcW w:w="0" w:type="auto"/>
            <w:tcBorders>
              <w:top w:val="single" w:sz="4" w:space="0" w:color="auto"/>
              <w:left w:val="nil"/>
              <w:bottom w:val="nil"/>
              <w:right w:val="nil"/>
            </w:tcBorders>
          </w:tcPr>
          <w:p w14:paraId="57F8482F" w14:textId="77777777" w:rsidR="00B16589" w:rsidRPr="008614C4" w:rsidRDefault="00B16589" w:rsidP="00B16199">
            <w:pPr>
              <w:rPr>
                <w:rFonts w:cs="Times New Roman"/>
                <w:sz w:val="20"/>
                <w:szCs w:val="20"/>
              </w:rPr>
            </w:pPr>
            <w:r w:rsidRPr="008614C4">
              <w:rPr>
                <w:rFonts w:cs="Times New Roman"/>
                <w:sz w:val="20"/>
                <w:szCs w:val="20"/>
              </w:rPr>
              <w:t xml:space="preserve">Variables not </w:t>
            </w:r>
          </w:p>
        </w:tc>
        <w:tc>
          <w:tcPr>
            <w:tcW w:w="0" w:type="auto"/>
            <w:tcBorders>
              <w:top w:val="single" w:sz="4" w:space="0" w:color="auto"/>
              <w:left w:val="nil"/>
              <w:bottom w:val="nil"/>
              <w:right w:val="nil"/>
            </w:tcBorders>
          </w:tcPr>
          <w:p w14:paraId="6AF62424" w14:textId="77777777" w:rsidR="00B16589" w:rsidRPr="008614C4" w:rsidRDefault="00B16589" w:rsidP="00B16199">
            <w:pPr>
              <w:rPr>
                <w:rFonts w:cs="Times New Roman"/>
                <w:sz w:val="20"/>
                <w:szCs w:val="20"/>
              </w:rPr>
            </w:pPr>
            <w:r w:rsidRPr="008614C4">
              <w:rPr>
                <w:rFonts w:cs="Times New Roman"/>
                <w:sz w:val="20"/>
                <w:szCs w:val="20"/>
              </w:rPr>
              <w:t xml:space="preserve">Sex (% male) </w:t>
            </w:r>
          </w:p>
        </w:tc>
        <w:tc>
          <w:tcPr>
            <w:tcW w:w="0" w:type="auto"/>
            <w:tcBorders>
              <w:top w:val="single" w:sz="4" w:space="0" w:color="auto"/>
              <w:left w:val="nil"/>
              <w:bottom w:val="nil"/>
              <w:right w:val="nil"/>
            </w:tcBorders>
          </w:tcPr>
          <w:p w14:paraId="7FD55696" w14:textId="77777777" w:rsidR="00B16589" w:rsidRPr="008614C4" w:rsidRDefault="00B16589" w:rsidP="00B16199">
            <w:pPr>
              <w:rPr>
                <w:rFonts w:cs="Times New Roman"/>
                <w:sz w:val="20"/>
                <w:szCs w:val="20"/>
              </w:rPr>
            </w:pPr>
            <w:r>
              <w:rPr>
                <w:rFonts w:cs="Times New Roman"/>
                <w:sz w:val="20"/>
                <w:szCs w:val="20"/>
              </w:rPr>
              <w:t>64</w:t>
            </w:r>
          </w:p>
        </w:tc>
        <w:tc>
          <w:tcPr>
            <w:tcW w:w="0" w:type="auto"/>
            <w:tcBorders>
              <w:top w:val="single" w:sz="4" w:space="0" w:color="auto"/>
              <w:left w:val="nil"/>
              <w:bottom w:val="nil"/>
              <w:right w:val="nil"/>
            </w:tcBorders>
          </w:tcPr>
          <w:p w14:paraId="3667ACB5" w14:textId="77777777" w:rsidR="00B16589" w:rsidRPr="008614C4" w:rsidRDefault="00B16589" w:rsidP="00B16199">
            <w:pPr>
              <w:rPr>
                <w:rFonts w:cs="Times New Roman"/>
                <w:sz w:val="20"/>
                <w:szCs w:val="20"/>
              </w:rPr>
            </w:pPr>
            <w:r w:rsidRPr="008614C4">
              <w:rPr>
                <w:rFonts w:cs="Times New Roman"/>
                <w:sz w:val="20"/>
                <w:szCs w:val="20"/>
              </w:rPr>
              <w:t>5</w:t>
            </w:r>
            <w:r>
              <w:rPr>
                <w:rFonts w:cs="Times New Roman"/>
                <w:sz w:val="20"/>
                <w:szCs w:val="20"/>
              </w:rPr>
              <w:t>4</w:t>
            </w:r>
          </w:p>
        </w:tc>
        <w:tc>
          <w:tcPr>
            <w:tcW w:w="0" w:type="auto"/>
            <w:tcBorders>
              <w:top w:val="single" w:sz="4" w:space="0" w:color="auto"/>
              <w:left w:val="nil"/>
              <w:bottom w:val="nil"/>
              <w:right w:val="nil"/>
            </w:tcBorders>
          </w:tcPr>
          <w:p w14:paraId="42596B1A" w14:textId="77777777" w:rsidR="00B16589" w:rsidRPr="008614C4" w:rsidRDefault="00B16589" w:rsidP="00B16199">
            <w:pPr>
              <w:rPr>
                <w:rFonts w:cs="Times New Roman"/>
                <w:sz w:val="20"/>
                <w:szCs w:val="20"/>
              </w:rPr>
            </w:pPr>
            <w:r>
              <w:rPr>
                <w:rFonts w:cs="Times New Roman"/>
                <w:sz w:val="20"/>
                <w:szCs w:val="20"/>
              </w:rPr>
              <w:t>67</w:t>
            </w:r>
          </w:p>
        </w:tc>
        <w:tc>
          <w:tcPr>
            <w:tcW w:w="0" w:type="auto"/>
            <w:tcBorders>
              <w:top w:val="single" w:sz="4" w:space="0" w:color="auto"/>
              <w:left w:val="nil"/>
              <w:bottom w:val="nil"/>
              <w:right w:val="nil"/>
            </w:tcBorders>
          </w:tcPr>
          <w:p w14:paraId="7B6EABFE" w14:textId="77777777" w:rsidR="00B16589" w:rsidRPr="008614C4" w:rsidRDefault="00B16589" w:rsidP="00B16199">
            <w:pPr>
              <w:rPr>
                <w:rFonts w:cs="Times New Roman"/>
                <w:sz w:val="20"/>
                <w:szCs w:val="20"/>
              </w:rPr>
            </w:pPr>
            <w:r w:rsidRPr="008614C4">
              <w:rPr>
                <w:rFonts w:cs="Times New Roman"/>
                <w:sz w:val="20"/>
                <w:szCs w:val="20"/>
              </w:rPr>
              <w:t>58</w:t>
            </w:r>
          </w:p>
        </w:tc>
      </w:tr>
      <w:tr w:rsidR="00B16589" w:rsidRPr="008614C4" w14:paraId="2807ED7E" w14:textId="77777777" w:rsidTr="00B16589">
        <w:trPr>
          <w:trHeight w:val="405"/>
          <w:jc w:val="center"/>
        </w:trPr>
        <w:tc>
          <w:tcPr>
            <w:tcW w:w="0" w:type="auto"/>
            <w:tcBorders>
              <w:top w:val="nil"/>
              <w:left w:val="nil"/>
              <w:bottom w:val="nil"/>
              <w:right w:val="nil"/>
            </w:tcBorders>
          </w:tcPr>
          <w:p w14:paraId="44576B42" w14:textId="77777777" w:rsidR="00B16589" w:rsidRPr="008614C4" w:rsidRDefault="00B16589" w:rsidP="00B16199">
            <w:pPr>
              <w:rPr>
                <w:rFonts w:cs="Times New Roman"/>
                <w:sz w:val="20"/>
                <w:szCs w:val="20"/>
              </w:rPr>
            </w:pPr>
            <w:r w:rsidRPr="008614C4">
              <w:rPr>
                <w:rFonts w:cs="Times New Roman"/>
                <w:sz w:val="20"/>
                <w:szCs w:val="20"/>
              </w:rPr>
              <w:t xml:space="preserve">used in analysis </w:t>
            </w:r>
          </w:p>
        </w:tc>
        <w:tc>
          <w:tcPr>
            <w:tcW w:w="0" w:type="auto"/>
            <w:tcBorders>
              <w:top w:val="nil"/>
              <w:left w:val="nil"/>
              <w:bottom w:val="nil"/>
              <w:right w:val="nil"/>
            </w:tcBorders>
          </w:tcPr>
          <w:p w14:paraId="68BA9000" w14:textId="77777777" w:rsidR="00B16589" w:rsidRPr="008614C4" w:rsidRDefault="00B16589" w:rsidP="00B16199">
            <w:pPr>
              <w:rPr>
                <w:rFonts w:cs="Times New Roman"/>
                <w:sz w:val="20"/>
                <w:szCs w:val="20"/>
              </w:rPr>
            </w:pPr>
            <w:r w:rsidRPr="008614C4">
              <w:rPr>
                <w:rFonts w:cs="Times New Roman"/>
                <w:sz w:val="20"/>
                <w:szCs w:val="20"/>
              </w:rPr>
              <w:t>CISI</w:t>
            </w:r>
            <w:r>
              <w:rPr>
                <w:rFonts w:cs="Times New Roman"/>
                <w:sz w:val="20"/>
                <w:szCs w:val="20"/>
              </w:rPr>
              <w:t>-PD</w:t>
            </w:r>
            <w:r w:rsidRPr="008614C4">
              <w:rPr>
                <w:rFonts w:cs="Times New Roman"/>
                <w:sz w:val="20"/>
                <w:szCs w:val="20"/>
              </w:rPr>
              <w:t xml:space="preserve"> total </w:t>
            </w:r>
          </w:p>
        </w:tc>
        <w:tc>
          <w:tcPr>
            <w:tcW w:w="0" w:type="auto"/>
            <w:tcBorders>
              <w:top w:val="nil"/>
              <w:left w:val="nil"/>
              <w:bottom w:val="nil"/>
              <w:right w:val="nil"/>
            </w:tcBorders>
          </w:tcPr>
          <w:p w14:paraId="583345B6" w14:textId="77777777" w:rsidR="00B16589" w:rsidRPr="008614C4" w:rsidRDefault="00B16589" w:rsidP="00B16199">
            <w:pPr>
              <w:rPr>
                <w:rFonts w:cs="Times New Roman"/>
                <w:sz w:val="20"/>
                <w:szCs w:val="20"/>
              </w:rPr>
            </w:pPr>
            <w:r>
              <w:rPr>
                <w:rFonts w:cs="Times New Roman"/>
                <w:sz w:val="20"/>
                <w:szCs w:val="20"/>
              </w:rPr>
              <w:t>5.5 (3.0</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42063EAB" w14:textId="77777777" w:rsidR="00B16589" w:rsidRPr="008614C4" w:rsidRDefault="00B16589" w:rsidP="00B16199">
            <w:pPr>
              <w:rPr>
                <w:rFonts w:cs="Times New Roman"/>
                <w:sz w:val="20"/>
                <w:szCs w:val="20"/>
              </w:rPr>
            </w:pPr>
            <w:r>
              <w:rPr>
                <w:rFonts w:cs="Times New Roman"/>
                <w:sz w:val="20"/>
                <w:szCs w:val="20"/>
              </w:rPr>
              <w:t>9.6 (3.8</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049F0103" w14:textId="77777777" w:rsidR="00B16589" w:rsidRPr="008614C4" w:rsidRDefault="00B16589" w:rsidP="00B16199">
            <w:pPr>
              <w:rPr>
                <w:rFonts w:cs="Times New Roman"/>
                <w:sz w:val="20"/>
                <w:szCs w:val="20"/>
              </w:rPr>
            </w:pPr>
            <w:r>
              <w:rPr>
                <w:rFonts w:cs="Times New Roman"/>
                <w:sz w:val="20"/>
                <w:szCs w:val="20"/>
              </w:rPr>
              <w:t>10.1</w:t>
            </w:r>
            <w:r w:rsidRPr="008614C4">
              <w:rPr>
                <w:rFonts w:cs="Times New Roman"/>
                <w:sz w:val="20"/>
                <w:szCs w:val="20"/>
              </w:rPr>
              <w:t xml:space="preserve"> (3.5)</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nil"/>
              <w:right w:val="nil"/>
            </w:tcBorders>
          </w:tcPr>
          <w:p w14:paraId="62F6903A" w14:textId="77777777" w:rsidR="00B16589" w:rsidRPr="008614C4" w:rsidRDefault="00B16589" w:rsidP="00B16199">
            <w:pPr>
              <w:rPr>
                <w:rFonts w:cs="Times New Roman"/>
                <w:sz w:val="20"/>
                <w:szCs w:val="20"/>
              </w:rPr>
            </w:pPr>
            <w:r>
              <w:rPr>
                <w:rFonts w:cs="Times New Roman"/>
                <w:sz w:val="20"/>
                <w:szCs w:val="20"/>
              </w:rPr>
              <w:t>16.4 (4.6</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0BD28E74" w14:textId="77777777" w:rsidTr="00B16589">
        <w:trPr>
          <w:jc w:val="center"/>
        </w:trPr>
        <w:tc>
          <w:tcPr>
            <w:tcW w:w="0" w:type="auto"/>
            <w:tcBorders>
              <w:top w:val="nil"/>
              <w:left w:val="nil"/>
              <w:bottom w:val="nil"/>
              <w:right w:val="nil"/>
            </w:tcBorders>
          </w:tcPr>
          <w:p w14:paraId="532ECE3E" w14:textId="77777777" w:rsidR="00B16589" w:rsidRPr="008614C4" w:rsidRDefault="00B16589" w:rsidP="00B16199">
            <w:pPr>
              <w:rPr>
                <w:rFonts w:cs="Times New Roman"/>
                <w:sz w:val="20"/>
                <w:szCs w:val="20"/>
              </w:rPr>
            </w:pPr>
          </w:p>
        </w:tc>
        <w:tc>
          <w:tcPr>
            <w:tcW w:w="0" w:type="auto"/>
            <w:tcBorders>
              <w:top w:val="nil"/>
              <w:left w:val="nil"/>
              <w:bottom w:val="nil"/>
              <w:right w:val="nil"/>
            </w:tcBorders>
          </w:tcPr>
          <w:p w14:paraId="45AB07B3" w14:textId="77777777" w:rsidR="00B16589" w:rsidRPr="008614C4" w:rsidRDefault="00B16589" w:rsidP="00B16199">
            <w:pPr>
              <w:rPr>
                <w:rFonts w:cs="Times New Roman"/>
                <w:sz w:val="20"/>
                <w:szCs w:val="20"/>
              </w:rPr>
            </w:pPr>
            <w:r w:rsidRPr="008614C4">
              <w:rPr>
                <w:rFonts w:cs="Times New Roman"/>
                <w:sz w:val="20"/>
                <w:szCs w:val="20"/>
              </w:rPr>
              <w:t xml:space="preserve">Age </w:t>
            </w:r>
          </w:p>
        </w:tc>
        <w:tc>
          <w:tcPr>
            <w:tcW w:w="0" w:type="auto"/>
            <w:tcBorders>
              <w:top w:val="nil"/>
              <w:left w:val="nil"/>
              <w:bottom w:val="nil"/>
              <w:right w:val="nil"/>
            </w:tcBorders>
          </w:tcPr>
          <w:p w14:paraId="4D533C70" w14:textId="77777777" w:rsidR="00B16589" w:rsidRPr="008614C4" w:rsidRDefault="00B16589" w:rsidP="00B16199">
            <w:pPr>
              <w:rPr>
                <w:rFonts w:cs="Times New Roman"/>
                <w:sz w:val="20"/>
                <w:szCs w:val="20"/>
              </w:rPr>
            </w:pPr>
            <w:r w:rsidRPr="008614C4">
              <w:rPr>
                <w:rFonts w:cs="Times New Roman"/>
                <w:sz w:val="20"/>
                <w:szCs w:val="20"/>
              </w:rPr>
              <w:t xml:space="preserve"> 62.</w:t>
            </w:r>
            <w:r>
              <w:rPr>
                <w:rFonts w:cs="Times New Roman"/>
                <w:sz w:val="20"/>
                <w:szCs w:val="20"/>
              </w:rPr>
              <w:t>5</w:t>
            </w:r>
            <w:r w:rsidRPr="008614C4">
              <w:rPr>
                <w:rFonts w:cs="Times New Roman"/>
                <w:sz w:val="20"/>
                <w:szCs w:val="20"/>
              </w:rPr>
              <w:t xml:space="preserve"> (9.7)</w:t>
            </w:r>
            <w:r>
              <w:rPr>
                <w:rFonts w:cs="Times New Roman"/>
                <w:sz w:val="20"/>
                <w:szCs w:val="20"/>
                <w:vertAlign w:val="superscript"/>
              </w:rPr>
              <w:t>4</w:t>
            </w:r>
          </w:p>
        </w:tc>
        <w:tc>
          <w:tcPr>
            <w:tcW w:w="0" w:type="auto"/>
            <w:tcBorders>
              <w:top w:val="nil"/>
              <w:left w:val="nil"/>
              <w:bottom w:val="nil"/>
              <w:right w:val="nil"/>
            </w:tcBorders>
          </w:tcPr>
          <w:p w14:paraId="0D42696F" w14:textId="77777777" w:rsidR="00B16589" w:rsidRPr="008614C4" w:rsidRDefault="00B16589" w:rsidP="00B16199">
            <w:pPr>
              <w:rPr>
                <w:rFonts w:cs="Times New Roman"/>
                <w:sz w:val="20"/>
                <w:szCs w:val="20"/>
              </w:rPr>
            </w:pPr>
            <w:r w:rsidRPr="008614C4">
              <w:rPr>
                <w:rFonts w:cs="Times New Roman"/>
                <w:sz w:val="20"/>
                <w:szCs w:val="20"/>
              </w:rPr>
              <w:t>6</w:t>
            </w:r>
            <w:r>
              <w:rPr>
                <w:rFonts w:cs="Times New Roman"/>
                <w:sz w:val="20"/>
                <w:szCs w:val="20"/>
              </w:rPr>
              <w:t>5.2 (9.4</w:t>
            </w:r>
            <w:r w:rsidRPr="008614C4">
              <w:rPr>
                <w:rFonts w:cs="Times New Roman"/>
                <w:sz w:val="20"/>
                <w:szCs w:val="20"/>
              </w:rPr>
              <w:t>)</w:t>
            </w:r>
            <w:r>
              <w:rPr>
                <w:rFonts w:cs="Times New Roman"/>
                <w:sz w:val="20"/>
                <w:szCs w:val="20"/>
                <w:vertAlign w:val="superscript"/>
              </w:rPr>
              <w:t>4</w:t>
            </w:r>
          </w:p>
        </w:tc>
        <w:tc>
          <w:tcPr>
            <w:tcW w:w="0" w:type="auto"/>
            <w:tcBorders>
              <w:top w:val="nil"/>
              <w:left w:val="nil"/>
              <w:bottom w:val="nil"/>
              <w:right w:val="nil"/>
            </w:tcBorders>
          </w:tcPr>
          <w:p w14:paraId="47D38B82" w14:textId="77777777" w:rsidR="00B16589" w:rsidRPr="008614C4" w:rsidRDefault="00B16589" w:rsidP="00B16199">
            <w:pPr>
              <w:rPr>
                <w:rFonts w:cs="Times New Roman"/>
                <w:sz w:val="20"/>
                <w:szCs w:val="20"/>
              </w:rPr>
            </w:pPr>
            <w:r>
              <w:rPr>
                <w:rFonts w:cs="Times New Roman"/>
                <w:sz w:val="20"/>
                <w:szCs w:val="20"/>
              </w:rPr>
              <w:t>64.9 (10.1</w:t>
            </w:r>
            <w:r w:rsidRPr="008614C4">
              <w:rPr>
                <w:rFonts w:cs="Times New Roman"/>
                <w:sz w:val="20"/>
                <w:szCs w:val="20"/>
              </w:rPr>
              <w:t>)</w:t>
            </w:r>
            <w:r w:rsidRPr="008614C4">
              <w:rPr>
                <w:rFonts w:cs="Times New Roman"/>
                <w:sz w:val="20"/>
                <w:szCs w:val="20"/>
                <w:vertAlign w:val="superscript"/>
              </w:rPr>
              <w:t>4</w:t>
            </w:r>
          </w:p>
        </w:tc>
        <w:tc>
          <w:tcPr>
            <w:tcW w:w="0" w:type="auto"/>
            <w:tcBorders>
              <w:top w:val="nil"/>
              <w:left w:val="nil"/>
              <w:bottom w:val="nil"/>
              <w:right w:val="nil"/>
            </w:tcBorders>
          </w:tcPr>
          <w:p w14:paraId="199BDF4F" w14:textId="77777777" w:rsidR="00B16589" w:rsidRPr="008614C4" w:rsidRDefault="00B16589" w:rsidP="00B16199">
            <w:pPr>
              <w:rPr>
                <w:rFonts w:cs="Times New Roman"/>
                <w:sz w:val="20"/>
                <w:szCs w:val="20"/>
              </w:rPr>
            </w:pPr>
            <w:r>
              <w:rPr>
                <w:rFonts w:cs="Times New Roman"/>
                <w:sz w:val="20"/>
                <w:szCs w:val="20"/>
              </w:rPr>
              <w:t>71.1 (7</w:t>
            </w:r>
            <w:r w:rsidRPr="008614C4">
              <w:rPr>
                <w:rFonts w:cs="Times New Roman"/>
                <w:sz w:val="20"/>
                <w:szCs w:val="20"/>
              </w:rPr>
              <w:t>.9</w:t>
            </w:r>
            <w:r>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135120CB" w14:textId="77777777" w:rsidTr="00B16589">
        <w:trPr>
          <w:trHeight w:val="378"/>
          <w:jc w:val="center"/>
        </w:trPr>
        <w:tc>
          <w:tcPr>
            <w:tcW w:w="0" w:type="auto"/>
            <w:tcBorders>
              <w:top w:val="nil"/>
              <w:left w:val="nil"/>
              <w:bottom w:val="nil"/>
              <w:right w:val="nil"/>
            </w:tcBorders>
          </w:tcPr>
          <w:p w14:paraId="27AFA6D3" w14:textId="77777777" w:rsidR="00B16589" w:rsidRPr="008614C4" w:rsidRDefault="00B16589" w:rsidP="00B16199">
            <w:pPr>
              <w:rPr>
                <w:rFonts w:cs="Times New Roman"/>
                <w:sz w:val="20"/>
                <w:szCs w:val="20"/>
              </w:rPr>
            </w:pPr>
          </w:p>
        </w:tc>
        <w:tc>
          <w:tcPr>
            <w:tcW w:w="0" w:type="auto"/>
            <w:tcBorders>
              <w:top w:val="nil"/>
              <w:left w:val="nil"/>
              <w:bottom w:val="nil"/>
              <w:right w:val="nil"/>
            </w:tcBorders>
          </w:tcPr>
          <w:p w14:paraId="189FA65A" w14:textId="77777777" w:rsidR="00B16589" w:rsidRPr="008614C4" w:rsidRDefault="00B16589" w:rsidP="00B16199">
            <w:pPr>
              <w:rPr>
                <w:rFonts w:cs="Times New Roman"/>
                <w:sz w:val="20"/>
                <w:szCs w:val="20"/>
              </w:rPr>
            </w:pPr>
            <w:r w:rsidRPr="008614C4">
              <w:rPr>
                <w:rFonts w:cs="Times New Roman"/>
                <w:sz w:val="20"/>
                <w:szCs w:val="20"/>
              </w:rPr>
              <w:t xml:space="preserve">PD onset </w:t>
            </w:r>
          </w:p>
        </w:tc>
        <w:tc>
          <w:tcPr>
            <w:tcW w:w="0" w:type="auto"/>
            <w:tcBorders>
              <w:top w:val="nil"/>
              <w:left w:val="nil"/>
              <w:bottom w:val="nil"/>
              <w:right w:val="nil"/>
            </w:tcBorders>
          </w:tcPr>
          <w:p w14:paraId="3FBD78ED" w14:textId="77777777" w:rsidR="00B16589" w:rsidRPr="008614C4" w:rsidRDefault="00B16589" w:rsidP="00B16199">
            <w:pPr>
              <w:rPr>
                <w:rFonts w:cs="Times New Roman"/>
                <w:sz w:val="20"/>
                <w:szCs w:val="20"/>
              </w:rPr>
            </w:pPr>
            <w:r>
              <w:rPr>
                <w:rFonts w:cs="Times New Roman"/>
                <w:sz w:val="20"/>
                <w:szCs w:val="20"/>
              </w:rPr>
              <w:t xml:space="preserve"> 56 (10.5</w:t>
            </w:r>
            <w:r w:rsidRPr="008614C4">
              <w:rPr>
                <w:rFonts w:cs="Times New Roman"/>
                <w:sz w:val="20"/>
                <w:szCs w:val="20"/>
              </w:rPr>
              <w:t>)</w:t>
            </w:r>
          </w:p>
        </w:tc>
        <w:tc>
          <w:tcPr>
            <w:tcW w:w="0" w:type="auto"/>
            <w:tcBorders>
              <w:top w:val="nil"/>
              <w:left w:val="nil"/>
              <w:bottom w:val="nil"/>
              <w:right w:val="nil"/>
            </w:tcBorders>
          </w:tcPr>
          <w:p w14:paraId="62D4F8B5" w14:textId="77777777" w:rsidR="00B16589" w:rsidRPr="008614C4" w:rsidRDefault="00B16589" w:rsidP="00B16199">
            <w:pPr>
              <w:rPr>
                <w:rFonts w:cs="Times New Roman"/>
                <w:sz w:val="20"/>
                <w:szCs w:val="20"/>
              </w:rPr>
            </w:pPr>
            <w:r>
              <w:rPr>
                <w:rFonts w:cs="Times New Roman"/>
                <w:sz w:val="20"/>
                <w:szCs w:val="20"/>
              </w:rPr>
              <w:t>56.6 (10.6</w:t>
            </w:r>
            <w:r w:rsidRPr="008614C4">
              <w:rPr>
                <w:rFonts w:cs="Times New Roman"/>
                <w:sz w:val="20"/>
                <w:szCs w:val="20"/>
              </w:rPr>
              <w:t xml:space="preserve">) </w:t>
            </w:r>
          </w:p>
        </w:tc>
        <w:tc>
          <w:tcPr>
            <w:tcW w:w="0" w:type="auto"/>
            <w:tcBorders>
              <w:top w:val="nil"/>
              <w:left w:val="nil"/>
              <w:bottom w:val="nil"/>
              <w:right w:val="nil"/>
            </w:tcBorders>
          </w:tcPr>
          <w:p w14:paraId="1F562514" w14:textId="77777777" w:rsidR="00B16589" w:rsidRPr="008614C4" w:rsidRDefault="00B16589" w:rsidP="00B16199">
            <w:pPr>
              <w:rPr>
                <w:rFonts w:cs="Times New Roman"/>
                <w:sz w:val="20"/>
                <w:szCs w:val="20"/>
              </w:rPr>
            </w:pPr>
            <w:r>
              <w:rPr>
                <w:rFonts w:cs="Times New Roman"/>
                <w:sz w:val="20"/>
                <w:szCs w:val="20"/>
              </w:rPr>
              <w:t>56.3 (11.3</w:t>
            </w:r>
            <w:r w:rsidRPr="008614C4">
              <w:rPr>
                <w:rFonts w:cs="Times New Roman"/>
                <w:sz w:val="20"/>
                <w:szCs w:val="20"/>
              </w:rPr>
              <w:t xml:space="preserve">) </w:t>
            </w:r>
          </w:p>
        </w:tc>
        <w:tc>
          <w:tcPr>
            <w:tcW w:w="0" w:type="auto"/>
            <w:tcBorders>
              <w:top w:val="nil"/>
              <w:left w:val="nil"/>
              <w:bottom w:val="nil"/>
              <w:right w:val="nil"/>
            </w:tcBorders>
          </w:tcPr>
          <w:p w14:paraId="46D92444" w14:textId="77777777" w:rsidR="00B16589" w:rsidRPr="008614C4" w:rsidRDefault="00B16589" w:rsidP="00B16199">
            <w:pPr>
              <w:rPr>
                <w:rFonts w:cs="Times New Roman"/>
                <w:sz w:val="20"/>
                <w:szCs w:val="20"/>
              </w:rPr>
            </w:pPr>
            <w:r>
              <w:rPr>
                <w:rFonts w:cs="Times New Roman"/>
                <w:sz w:val="20"/>
                <w:szCs w:val="20"/>
              </w:rPr>
              <w:t>56.7 (10.6</w:t>
            </w:r>
            <w:r w:rsidRPr="008614C4">
              <w:rPr>
                <w:rFonts w:cs="Times New Roman"/>
                <w:sz w:val="20"/>
                <w:szCs w:val="20"/>
              </w:rPr>
              <w:t>)</w:t>
            </w:r>
          </w:p>
        </w:tc>
      </w:tr>
      <w:tr w:rsidR="00B16589" w:rsidRPr="008614C4" w14:paraId="4C5AD780" w14:textId="77777777" w:rsidTr="00B16589">
        <w:trPr>
          <w:trHeight w:val="315"/>
          <w:jc w:val="center"/>
        </w:trPr>
        <w:tc>
          <w:tcPr>
            <w:tcW w:w="0" w:type="auto"/>
            <w:tcBorders>
              <w:top w:val="nil"/>
              <w:left w:val="nil"/>
              <w:bottom w:val="single" w:sz="4" w:space="0" w:color="auto"/>
              <w:right w:val="nil"/>
            </w:tcBorders>
          </w:tcPr>
          <w:p w14:paraId="2A63C84A" w14:textId="77777777" w:rsidR="00B16589" w:rsidRPr="008614C4" w:rsidRDefault="00B16589" w:rsidP="00B16199">
            <w:pPr>
              <w:rPr>
                <w:rFonts w:cs="Times New Roman"/>
                <w:sz w:val="20"/>
                <w:szCs w:val="20"/>
              </w:rPr>
            </w:pPr>
          </w:p>
        </w:tc>
        <w:tc>
          <w:tcPr>
            <w:tcW w:w="0" w:type="auto"/>
            <w:tcBorders>
              <w:top w:val="nil"/>
              <w:left w:val="nil"/>
              <w:bottom w:val="single" w:sz="4" w:space="0" w:color="auto"/>
              <w:right w:val="nil"/>
            </w:tcBorders>
          </w:tcPr>
          <w:p w14:paraId="51078FBB" w14:textId="77777777" w:rsidR="00B16589" w:rsidRPr="008614C4" w:rsidRDefault="00B16589" w:rsidP="00B16199">
            <w:pPr>
              <w:rPr>
                <w:rFonts w:cs="Times New Roman"/>
                <w:sz w:val="20"/>
                <w:szCs w:val="20"/>
              </w:rPr>
            </w:pPr>
            <w:r w:rsidRPr="008614C4">
              <w:rPr>
                <w:rFonts w:cs="Times New Roman"/>
                <w:sz w:val="20"/>
                <w:szCs w:val="20"/>
              </w:rPr>
              <w:t xml:space="preserve">PD duration </w:t>
            </w:r>
          </w:p>
        </w:tc>
        <w:tc>
          <w:tcPr>
            <w:tcW w:w="0" w:type="auto"/>
            <w:tcBorders>
              <w:top w:val="nil"/>
              <w:left w:val="nil"/>
              <w:bottom w:val="single" w:sz="4" w:space="0" w:color="auto"/>
              <w:right w:val="nil"/>
            </w:tcBorders>
          </w:tcPr>
          <w:p w14:paraId="2A21D266" w14:textId="77777777" w:rsidR="00B16589" w:rsidRPr="008614C4" w:rsidRDefault="00B16589" w:rsidP="00B16199">
            <w:pPr>
              <w:rPr>
                <w:rFonts w:cs="Times New Roman"/>
                <w:sz w:val="20"/>
                <w:szCs w:val="20"/>
              </w:rPr>
            </w:pPr>
            <w:r>
              <w:rPr>
                <w:rFonts w:cs="Times New Roman"/>
                <w:sz w:val="20"/>
                <w:szCs w:val="20"/>
              </w:rPr>
              <w:t xml:space="preserve"> 6.5 (4.7</w:t>
            </w:r>
            <w:r w:rsidRPr="008614C4">
              <w:rPr>
                <w:rFonts w:cs="Times New Roman"/>
                <w:sz w:val="20"/>
                <w:szCs w:val="20"/>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6E91683F" w14:textId="77777777" w:rsidR="00B16589" w:rsidRPr="008614C4" w:rsidRDefault="00B16589" w:rsidP="00B16199">
            <w:pPr>
              <w:rPr>
                <w:rFonts w:cs="Times New Roman"/>
                <w:sz w:val="20"/>
                <w:szCs w:val="20"/>
              </w:rPr>
            </w:pPr>
            <w:r>
              <w:rPr>
                <w:rFonts w:cs="Times New Roman"/>
                <w:sz w:val="20"/>
                <w:szCs w:val="20"/>
              </w:rPr>
              <w:t>8.6</w:t>
            </w:r>
            <w:r w:rsidRPr="008614C4">
              <w:rPr>
                <w:rFonts w:cs="Times New Roman"/>
                <w:sz w:val="20"/>
                <w:szCs w:val="20"/>
              </w:rPr>
              <w:t xml:space="preserve"> (5.7)</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5B5926E1" w14:textId="77777777" w:rsidR="00B16589" w:rsidRPr="008614C4" w:rsidRDefault="00B16589" w:rsidP="00B16199">
            <w:pPr>
              <w:rPr>
                <w:rFonts w:cs="Times New Roman"/>
                <w:sz w:val="20"/>
                <w:szCs w:val="20"/>
              </w:rPr>
            </w:pPr>
            <w:r w:rsidRPr="008614C4">
              <w:rPr>
                <w:rFonts w:cs="Times New Roman"/>
                <w:sz w:val="20"/>
                <w:szCs w:val="20"/>
              </w:rPr>
              <w:t>8</w:t>
            </w:r>
            <w:r>
              <w:rPr>
                <w:rFonts w:cs="Times New Roman"/>
                <w:sz w:val="20"/>
                <w:szCs w:val="20"/>
              </w:rPr>
              <w:t>.6 (5.7</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4</w:t>
            </w:r>
          </w:p>
        </w:tc>
        <w:tc>
          <w:tcPr>
            <w:tcW w:w="0" w:type="auto"/>
            <w:tcBorders>
              <w:top w:val="nil"/>
              <w:left w:val="nil"/>
              <w:bottom w:val="single" w:sz="4" w:space="0" w:color="auto"/>
              <w:right w:val="nil"/>
            </w:tcBorders>
          </w:tcPr>
          <w:p w14:paraId="06357875" w14:textId="77777777" w:rsidR="00B16589" w:rsidRPr="008614C4" w:rsidRDefault="00B16589" w:rsidP="00B16199">
            <w:pPr>
              <w:rPr>
                <w:rFonts w:cs="Times New Roman"/>
                <w:sz w:val="20"/>
                <w:szCs w:val="20"/>
              </w:rPr>
            </w:pPr>
            <w:r>
              <w:rPr>
                <w:rFonts w:cs="Times New Roman"/>
                <w:sz w:val="20"/>
                <w:szCs w:val="20"/>
              </w:rPr>
              <w:t>14.4 (8.0</w:t>
            </w:r>
            <w:r w:rsidRPr="008614C4">
              <w:rPr>
                <w:rFonts w:cs="Times New Roman"/>
                <w:sz w:val="20"/>
                <w:szCs w:val="20"/>
              </w:rPr>
              <w:t>)</w:t>
            </w:r>
            <w:r w:rsidRPr="008614C4">
              <w:rPr>
                <w:rFonts w:cs="Times New Roman"/>
                <w:sz w:val="20"/>
                <w:szCs w:val="20"/>
                <w:vertAlign w:val="superscript"/>
              </w:rPr>
              <w:t>1</w:t>
            </w:r>
            <w:r w:rsidR="008F522D">
              <w:rPr>
                <w:rFonts w:cs="Times New Roman"/>
                <w:sz w:val="20"/>
                <w:szCs w:val="20"/>
                <w:vertAlign w:val="superscript"/>
              </w:rPr>
              <w:t>,</w:t>
            </w:r>
            <w:r w:rsidRPr="008614C4">
              <w:rPr>
                <w:rFonts w:cs="Times New Roman"/>
                <w:sz w:val="20"/>
                <w:szCs w:val="20"/>
                <w:vertAlign w:val="superscript"/>
              </w:rPr>
              <w:t>2</w:t>
            </w:r>
            <w:r w:rsidR="008F522D">
              <w:rPr>
                <w:rFonts w:cs="Times New Roman"/>
                <w:sz w:val="20"/>
                <w:szCs w:val="20"/>
                <w:vertAlign w:val="superscript"/>
              </w:rPr>
              <w:t>,</w:t>
            </w:r>
            <w:r w:rsidRPr="008614C4">
              <w:rPr>
                <w:rFonts w:cs="Times New Roman"/>
                <w:sz w:val="20"/>
                <w:szCs w:val="20"/>
                <w:vertAlign w:val="superscript"/>
              </w:rPr>
              <w:t>3</w:t>
            </w:r>
          </w:p>
        </w:tc>
      </w:tr>
      <w:tr w:rsidR="00B16589" w:rsidRPr="008614C4" w14:paraId="5B7ED0FA" w14:textId="77777777" w:rsidTr="00B16589">
        <w:trPr>
          <w:trHeight w:val="315"/>
          <w:jc w:val="center"/>
        </w:trPr>
        <w:tc>
          <w:tcPr>
            <w:tcW w:w="0" w:type="auto"/>
            <w:gridSpan w:val="6"/>
            <w:tcBorders>
              <w:top w:val="single" w:sz="4" w:space="0" w:color="auto"/>
              <w:left w:val="nil"/>
              <w:right w:val="nil"/>
            </w:tcBorders>
          </w:tcPr>
          <w:p w14:paraId="540A2FC7" w14:textId="77777777" w:rsidR="00B16589" w:rsidRDefault="00B16589" w:rsidP="00B16199">
            <w:pPr>
              <w:rPr>
                <w:rFonts w:cs="Times New Roman"/>
                <w:sz w:val="20"/>
                <w:szCs w:val="20"/>
              </w:rPr>
            </w:pPr>
            <w:r w:rsidRPr="00AC4999">
              <w:rPr>
                <w:rFonts w:cs="Times New Roman"/>
                <w:sz w:val="20"/>
                <w:szCs w:val="20"/>
                <w:vertAlign w:val="superscript"/>
              </w:rPr>
              <w:t>1</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1 (corrected </w:t>
            </w:r>
            <m:oMath>
              <m:r>
                <w:rPr>
                  <w:rFonts w:ascii="Cambria Math" w:hAnsi="Cambria Math" w:cs="Times New Roman"/>
                  <w:sz w:val="20"/>
                  <w:szCs w:val="20"/>
                </w:rPr>
                <m:t>p &lt; 0.05</m:t>
              </m:r>
            </m:oMath>
            <w:r>
              <w:rPr>
                <w:rFonts w:cs="Times New Roman"/>
                <w:sz w:val="20"/>
                <w:szCs w:val="20"/>
              </w:rPr>
              <w:t>)</w:t>
            </w:r>
          </w:p>
          <w:p w14:paraId="25D7BCD0" w14:textId="77777777" w:rsidR="00B16589" w:rsidRDefault="00B16589" w:rsidP="00B16199">
            <w:pPr>
              <w:rPr>
                <w:rFonts w:cs="Times New Roman"/>
                <w:sz w:val="20"/>
                <w:szCs w:val="20"/>
              </w:rPr>
            </w:pPr>
            <w:r w:rsidRPr="00AC4999">
              <w:rPr>
                <w:rFonts w:cs="Times New Roman"/>
                <w:sz w:val="20"/>
                <w:szCs w:val="20"/>
                <w:vertAlign w:val="superscript"/>
              </w:rPr>
              <w:t>2</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2 (corrected </w:t>
            </w:r>
            <m:oMath>
              <m:r>
                <w:rPr>
                  <w:rFonts w:ascii="Cambria Math" w:hAnsi="Cambria Math" w:cs="Times New Roman"/>
                  <w:sz w:val="20"/>
                  <w:szCs w:val="20"/>
                </w:rPr>
                <m:t>p &lt; 0.05</m:t>
              </m:r>
            </m:oMath>
            <w:r>
              <w:rPr>
                <w:rFonts w:cs="Times New Roman"/>
                <w:sz w:val="20"/>
                <w:szCs w:val="20"/>
              </w:rPr>
              <w:t>)</w:t>
            </w:r>
          </w:p>
          <w:p w14:paraId="60733108" w14:textId="77777777" w:rsidR="00B16589" w:rsidRDefault="00B16589" w:rsidP="00B16199">
            <w:pPr>
              <w:rPr>
                <w:rFonts w:cs="Times New Roman"/>
                <w:sz w:val="20"/>
                <w:szCs w:val="20"/>
              </w:rPr>
            </w:pPr>
            <w:r w:rsidRPr="00AC4999">
              <w:rPr>
                <w:rFonts w:cs="Times New Roman"/>
                <w:sz w:val="20"/>
                <w:szCs w:val="20"/>
                <w:vertAlign w:val="superscript"/>
              </w:rPr>
              <w:t>3</w:t>
            </w:r>
            <w:r w:rsidRPr="00AC4999">
              <w:rPr>
                <w:rFonts w:cs="Times New Roman"/>
                <w:sz w:val="20"/>
                <w:szCs w:val="20"/>
              </w:rPr>
              <w:t xml:space="preserve"> Significant difference with</w:t>
            </w:r>
            <w:r>
              <w:rPr>
                <w:rFonts w:cs="Times New Roman"/>
                <w:sz w:val="20"/>
                <w:szCs w:val="20"/>
              </w:rPr>
              <w:t xml:space="preserve"> cluster </w:t>
            </w:r>
            <w:r w:rsidR="001541C0">
              <w:rPr>
                <w:rFonts w:cs="Times New Roman"/>
                <w:sz w:val="20"/>
                <w:szCs w:val="20"/>
              </w:rPr>
              <w:t>D</w:t>
            </w:r>
            <w:r>
              <w:rPr>
                <w:rFonts w:cs="Times New Roman"/>
                <w:sz w:val="20"/>
                <w:szCs w:val="20"/>
              </w:rPr>
              <w:t xml:space="preserve">3 (corrected </w:t>
            </w:r>
            <m:oMath>
              <m:r>
                <w:rPr>
                  <w:rFonts w:ascii="Cambria Math" w:hAnsi="Cambria Math" w:cs="Times New Roman"/>
                  <w:sz w:val="20"/>
                  <w:szCs w:val="20"/>
                </w:rPr>
                <m:t>p &lt; 0.05</m:t>
              </m:r>
            </m:oMath>
            <w:r>
              <w:rPr>
                <w:rFonts w:cs="Times New Roman"/>
                <w:sz w:val="20"/>
                <w:szCs w:val="20"/>
              </w:rPr>
              <w:t>)</w:t>
            </w:r>
          </w:p>
          <w:p w14:paraId="3E2CE5F6" w14:textId="77777777" w:rsidR="00B16589" w:rsidRPr="008614C4" w:rsidRDefault="00B16589" w:rsidP="00B16199">
            <w:pPr>
              <w:rPr>
                <w:rFonts w:cs="Times New Roman"/>
                <w:sz w:val="20"/>
                <w:szCs w:val="20"/>
              </w:rPr>
            </w:pPr>
            <w:r w:rsidRPr="00AC4999">
              <w:rPr>
                <w:rFonts w:cs="Times New Roman"/>
                <w:sz w:val="20"/>
                <w:szCs w:val="20"/>
                <w:vertAlign w:val="superscript"/>
              </w:rPr>
              <w:t>4</w:t>
            </w:r>
            <w:r w:rsidRPr="00AC4999">
              <w:rPr>
                <w:rFonts w:cs="Times New Roman"/>
                <w:sz w:val="20"/>
                <w:szCs w:val="20"/>
              </w:rPr>
              <w:t xml:space="preserve"> Significant difference with cluster </w:t>
            </w:r>
            <w:r w:rsidR="001541C0">
              <w:rPr>
                <w:rFonts w:cs="Times New Roman"/>
                <w:sz w:val="20"/>
                <w:szCs w:val="20"/>
              </w:rPr>
              <w:t>D</w:t>
            </w:r>
            <w:r w:rsidRPr="00AC4999">
              <w:rPr>
                <w:rFonts w:cs="Times New Roman"/>
                <w:sz w:val="20"/>
                <w:szCs w:val="20"/>
              </w:rPr>
              <w:t xml:space="preserve">4 (corrected </w:t>
            </w:r>
            <m:oMath>
              <m:r>
                <w:rPr>
                  <w:rFonts w:ascii="Cambria Math" w:hAnsi="Cambria Math" w:cs="Times New Roman"/>
                  <w:sz w:val="20"/>
                  <w:szCs w:val="20"/>
                </w:rPr>
                <m:t>p &lt; 0.05</m:t>
              </m:r>
            </m:oMath>
            <w:r w:rsidRPr="00AC4999">
              <w:rPr>
                <w:rFonts w:cs="Times New Roman"/>
                <w:sz w:val="20"/>
                <w:szCs w:val="20"/>
              </w:rPr>
              <w:t>)</w:t>
            </w:r>
          </w:p>
        </w:tc>
      </w:tr>
    </w:tbl>
    <w:p w14:paraId="1D2EC562" w14:textId="77777777" w:rsidR="00C0617B" w:rsidRPr="00E75106" w:rsidRDefault="00C0617B" w:rsidP="00B16199">
      <w:pPr>
        <w:pStyle w:val="Heading2"/>
        <w:jc w:val="both"/>
        <w:rPr>
          <w:rFonts w:cs="Times New Roman"/>
          <w:i/>
        </w:rPr>
      </w:pPr>
      <w:r w:rsidRPr="00E75106">
        <w:rPr>
          <w:rFonts w:cs="Times New Roman"/>
          <w:i/>
        </w:rPr>
        <w:lastRenderedPageBreak/>
        <w:t>Symptoms clustering</w:t>
      </w:r>
    </w:p>
    <w:p w14:paraId="467B37B2" w14:textId="227C9FC4" w:rsidR="00D72CD0" w:rsidRDefault="00C0617B" w:rsidP="00B16199">
      <w:pPr>
        <w:ind w:firstLine="720"/>
        <w:rPr>
          <w:rFonts w:cs="Times New Roman"/>
        </w:rPr>
      </w:pPr>
      <w:r w:rsidRPr="004A1F21">
        <w:rPr>
          <w:rFonts w:cs="Times New Roman"/>
          <w:i/>
        </w:rPr>
        <w:t>k</w:t>
      </w:r>
      <w:r w:rsidRPr="008614C4">
        <w:rPr>
          <w:rFonts w:cs="Times New Roman"/>
        </w:rPr>
        <w:t>-means perfor</w:t>
      </w:r>
      <w:r w:rsidR="008614C4" w:rsidRPr="008614C4">
        <w:rPr>
          <w:rFonts w:cs="Times New Roman"/>
        </w:rPr>
        <w:t xml:space="preserve">med on the 30 individual </w:t>
      </w:r>
      <w:r w:rsidR="00571C87">
        <w:rPr>
          <w:rFonts w:cs="Times New Roman"/>
        </w:rPr>
        <w:t>non-motor</w:t>
      </w:r>
      <w:r w:rsidRPr="008614C4">
        <w:rPr>
          <w:rFonts w:cs="Times New Roman"/>
        </w:rPr>
        <w:t xml:space="preserve"> symptoms </w:t>
      </w:r>
      <w:r w:rsidR="001126BC">
        <w:rPr>
          <w:rFonts w:cs="Times New Roman"/>
        </w:rPr>
        <w:t>found 6 clusters</w:t>
      </w:r>
      <w:r w:rsidR="003D6375">
        <w:rPr>
          <w:rFonts w:cs="Times New Roman"/>
        </w:rPr>
        <w:t>, which were ordered according to increasing CISI-PD score</w:t>
      </w:r>
      <w:r w:rsidR="008614C4" w:rsidRPr="008614C4">
        <w:rPr>
          <w:rFonts w:cs="Times New Roman"/>
        </w:rPr>
        <w:t xml:space="preserve"> (Ta</w:t>
      </w:r>
      <w:r w:rsidR="00571C87">
        <w:rPr>
          <w:rFonts w:cs="Times New Roman"/>
        </w:rPr>
        <w:t xml:space="preserve">ble </w:t>
      </w:r>
      <w:r w:rsidR="00A06514">
        <w:rPr>
          <w:rFonts w:cs="Times New Roman"/>
        </w:rPr>
        <w:t>3</w:t>
      </w:r>
      <w:r w:rsidRPr="008614C4">
        <w:rPr>
          <w:rFonts w:cs="Times New Roman"/>
        </w:rPr>
        <w:t xml:space="preserve">, heatmap in </w:t>
      </w:r>
      <w:r w:rsidR="002C325E">
        <w:rPr>
          <w:rFonts w:cs="Times New Roman"/>
        </w:rPr>
        <w:t>Fig.</w:t>
      </w:r>
      <w:r w:rsidR="00582B28">
        <w:rPr>
          <w:rFonts w:cs="Times New Roman"/>
        </w:rPr>
        <w:t xml:space="preserve"> </w:t>
      </w:r>
      <w:r w:rsidR="00092788">
        <w:rPr>
          <w:rFonts w:cs="Times New Roman"/>
        </w:rPr>
        <w:t>2</w:t>
      </w:r>
      <w:r w:rsidRPr="008614C4">
        <w:rPr>
          <w:rFonts w:cs="Times New Roman"/>
        </w:rPr>
        <w:t>). Means of all symptoms were found to differ acro</w:t>
      </w:r>
      <w:r w:rsidR="00C72349">
        <w:rPr>
          <w:rFonts w:cs="Times New Roman"/>
        </w:rPr>
        <w:t xml:space="preserve">ss clusters except for </w:t>
      </w:r>
      <w:r w:rsidR="00137374">
        <w:rPr>
          <w:rFonts w:cs="Times New Roman"/>
        </w:rPr>
        <w:t>disease</w:t>
      </w:r>
      <w:r w:rsidR="00C72349">
        <w:rPr>
          <w:rFonts w:cs="Times New Roman"/>
        </w:rPr>
        <w:t xml:space="preserve"> onset, sex, and </w:t>
      </w:r>
      <w:r w:rsidR="003D6375">
        <w:rPr>
          <w:rFonts w:cs="Times New Roman"/>
        </w:rPr>
        <w:t>tremor, with pairwise differences again noted in the table.</w:t>
      </w:r>
    </w:p>
    <w:p w14:paraId="74B86893" w14:textId="4E3533D9" w:rsidR="00F72CCE" w:rsidRDefault="001126BC" w:rsidP="00B16199">
      <w:pPr>
        <w:ind w:firstLine="720"/>
        <w:rPr>
          <w:rFonts w:cs="Times New Roman"/>
        </w:rPr>
      </w:pPr>
      <w:r>
        <w:rPr>
          <w:rFonts w:cs="Times New Roman"/>
        </w:rPr>
        <w:t>Cluster</w:t>
      </w:r>
      <w:r w:rsidR="009C263A">
        <w:rPr>
          <w:rFonts w:cs="Times New Roman"/>
        </w:rPr>
        <w:t xml:space="preserve"> </w:t>
      </w:r>
      <w:r w:rsidR="00C0617B" w:rsidRPr="008614C4">
        <w:rPr>
          <w:rFonts w:cs="Times New Roman"/>
        </w:rPr>
        <w:t>1 (</w:t>
      </w:r>
      <w:r w:rsidR="008A59B8">
        <w:rPr>
          <w:rFonts w:cs="Times New Roman"/>
        </w:rPr>
        <w:t xml:space="preserve">S1, </w:t>
      </w:r>
      <m:oMath>
        <m:r>
          <w:rPr>
            <w:rFonts w:ascii="Cambria Math" w:hAnsi="Cambria Math" w:cs="Times New Roman"/>
          </w:rPr>
          <m:t>n=456</m:t>
        </m:r>
      </m:oMath>
      <w:r w:rsidR="00C0617B" w:rsidRPr="008614C4">
        <w:rPr>
          <w:rFonts w:cs="Times New Roman"/>
        </w:rPr>
        <w:t>)</w:t>
      </w:r>
      <w:r w:rsidR="005B30C2">
        <w:rPr>
          <w:rFonts w:cs="Times New Roman"/>
        </w:rPr>
        <w:t>, the largest cluster</w:t>
      </w:r>
      <w:r w:rsidR="00D51EB6">
        <w:rPr>
          <w:rFonts w:cs="Times New Roman"/>
        </w:rPr>
        <w:t xml:space="preserve"> representing 50% of the group</w:t>
      </w:r>
      <w:r w:rsidR="005B30C2">
        <w:rPr>
          <w:rFonts w:cs="Times New Roman"/>
        </w:rPr>
        <w:t>,</w:t>
      </w:r>
      <w:r w:rsidR="0091038D">
        <w:rPr>
          <w:rFonts w:cs="Times New Roman"/>
        </w:rPr>
        <w:t xml:space="preserve"> </w:t>
      </w:r>
      <w:r>
        <w:rPr>
          <w:rFonts w:cs="Times New Roman"/>
        </w:rPr>
        <w:t xml:space="preserve">was similar to </w:t>
      </w:r>
      <w:r w:rsidR="005B30C2">
        <w:rPr>
          <w:rFonts w:cs="Times New Roman"/>
        </w:rPr>
        <w:t>domains cluster 1</w:t>
      </w:r>
      <w:r w:rsidR="00C0617B" w:rsidRPr="008614C4">
        <w:rPr>
          <w:rFonts w:cs="Times New Roman"/>
        </w:rPr>
        <w:t>,</w:t>
      </w:r>
      <w:r w:rsidR="003D6375">
        <w:rPr>
          <w:rFonts w:cs="Times New Roman"/>
        </w:rPr>
        <w:t xml:space="preserve"> and was composed of patients relatively mildly affected in all </w:t>
      </w:r>
      <w:r w:rsidR="00197FAA">
        <w:rPr>
          <w:rFonts w:cs="Times New Roman"/>
        </w:rPr>
        <w:t>NMS</w:t>
      </w:r>
      <w:r w:rsidR="003D6375">
        <w:rPr>
          <w:rFonts w:cs="Times New Roman"/>
        </w:rPr>
        <w:t>.</w:t>
      </w:r>
      <w:r w:rsidR="0091038D">
        <w:rPr>
          <w:rFonts w:cs="Times New Roman"/>
        </w:rPr>
        <w:t xml:space="preserve"> </w:t>
      </w:r>
      <w:r w:rsidR="003D6375">
        <w:rPr>
          <w:rFonts w:cs="Times New Roman"/>
        </w:rPr>
        <w:t>Cluster 2</w:t>
      </w:r>
      <w:r w:rsidR="00D51EB6">
        <w:rPr>
          <w:rFonts w:cs="Times New Roman"/>
        </w:rPr>
        <w:t xml:space="preserve"> (</w:t>
      </w:r>
      <w:r w:rsidR="008A59B8">
        <w:rPr>
          <w:rFonts w:cs="Times New Roman"/>
        </w:rPr>
        <w:t xml:space="preserve">S2, </w:t>
      </w:r>
      <m:oMath>
        <m:r>
          <w:rPr>
            <w:rFonts w:ascii="Cambria Math" w:hAnsi="Cambria Math" w:cs="Times New Roman"/>
          </w:rPr>
          <m:t>n=201</m:t>
        </m:r>
      </m:oMath>
      <w:r w:rsidR="00D51EB6">
        <w:rPr>
          <w:rFonts w:cs="Times New Roman"/>
        </w:rPr>
        <w:t xml:space="preserve">) had higher mean symptom scores than Cluster 1’s in several cases, including </w:t>
      </w:r>
      <w:r w:rsidR="00571C87">
        <w:rPr>
          <w:rFonts w:cs="Times New Roman"/>
        </w:rPr>
        <w:t>restless legs syndrome (</w:t>
      </w:r>
      <w:r w:rsidR="00D51EB6">
        <w:rPr>
          <w:rFonts w:cs="Times New Roman"/>
        </w:rPr>
        <w:t>RLS</w:t>
      </w:r>
      <w:r w:rsidR="00571C87">
        <w:rPr>
          <w:rFonts w:cs="Times New Roman"/>
        </w:rPr>
        <w:t>)</w:t>
      </w:r>
      <w:r w:rsidR="00D51EB6">
        <w:rPr>
          <w:rFonts w:cs="Times New Roman"/>
        </w:rPr>
        <w:t>, swallowing, and</w:t>
      </w:r>
      <w:r w:rsidR="00975C9A">
        <w:rPr>
          <w:rFonts w:cs="Times New Roman"/>
        </w:rPr>
        <w:t xml:space="preserve"> the</w:t>
      </w:r>
      <w:r w:rsidR="0091038D">
        <w:rPr>
          <w:rFonts w:cs="Times New Roman"/>
        </w:rPr>
        <w:t xml:space="preserve"> </w:t>
      </w:r>
      <w:r w:rsidR="00975C9A">
        <w:rPr>
          <w:rFonts w:cs="Times New Roman"/>
        </w:rPr>
        <w:t xml:space="preserve">miscellaneous domain, but could nonetheless be classified as a </w:t>
      </w:r>
      <w:r w:rsidR="00197FAA">
        <w:rPr>
          <w:rFonts w:cs="Times New Roman"/>
        </w:rPr>
        <w:t>mild/moderate</w:t>
      </w:r>
      <w:r w:rsidR="00975C9A">
        <w:rPr>
          <w:rFonts w:cs="Times New Roman"/>
        </w:rPr>
        <w:t xml:space="preserve"> cluster.</w:t>
      </w:r>
    </w:p>
    <w:p w14:paraId="0C4B158B" w14:textId="6E4606A8" w:rsidR="00BD705D" w:rsidRDefault="00975C9A" w:rsidP="00B16199">
      <w:pPr>
        <w:ind w:firstLine="720"/>
        <w:rPr>
          <w:rFonts w:cs="Times New Roman"/>
        </w:rPr>
      </w:pPr>
      <w:r>
        <w:rPr>
          <w:rFonts w:cs="Times New Roman"/>
        </w:rPr>
        <w:t xml:space="preserve">Although clusters 3–6 increased in motor and overall </w:t>
      </w:r>
      <w:r w:rsidR="00137374">
        <w:rPr>
          <w:rFonts w:cs="Times New Roman"/>
        </w:rPr>
        <w:t>disease</w:t>
      </w:r>
      <w:r>
        <w:rPr>
          <w:rFonts w:cs="Times New Roman"/>
        </w:rPr>
        <w:t xml:space="preserve"> severity, they varied significantly in their </w:t>
      </w:r>
      <w:r w:rsidR="00571C87">
        <w:rPr>
          <w:rFonts w:cs="Times New Roman"/>
        </w:rPr>
        <w:t>non-motor</w:t>
      </w:r>
      <w:r>
        <w:rPr>
          <w:rFonts w:cs="Times New Roman"/>
        </w:rPr>
        <w:t xml:space="preserve"> expression</w:t>
      </w:r>
      <w:r w:rsidR="00985DF9">
        <w:rPr>
          <w:rFonts w:cs="Times New Roman"/>
        </w:rPr>
        <w:t xml:space="preserve"> and generally expressed a specific set of </w:t>
      </w:r>
      <w:r w:rsidR="00571C87">
        <w:rPr>
          <w:rFonts w:cs="Times New Roman"/>
        </w:rPr>
        <w:t>non-motor</w:t>
      </w:r>
      <w:r w:rsidR="00985DF9">
        <w:rPr>
          <w:rFonts w:cs="Times New Roman"/>
        </w:rPr>
        <w:t xml:space="preserve"> symptoms unique to the cluster</w:t>
      </w:r>
      <w:r>
        <w:rPr>
          <w:rFonts w:cs="Times New Roman"/>
        </w:rPr>
        <w:t>.</w:t>
      </w:r>
      <w:r w:rsidR="00985DF9">
        <w:rPr>
          <w:rFonts w:cs="Times New Roman"/>
        </w:rPr>
        <w:t xml:space="preserve"> These characterizing groups of </w:t>
      </w:r>
      <w:r w:rsidR="00571C87">
        <w:rPr>
          <w:rFonts w:cs="Times New Roman"/>
        </w:rPr>
        <w:t>non-motor</w:t>
      </w:r>
      <w:r w:rsidR="00985DF9">
        <w:rPr>
          <w:rFonts w:cs="Times New Roman"/>
        </w:rPr>
        <w:t xml:space="preserve"> symptoms aligned well with the established </w:t>
      </w:r>
      <w:r w:rsidR="00571C87">
        <w:rPr>
          <w:rFonts w:cs="Times New Roman"/>
        </w:rPr>
        <w:t>non-motor</w:t>
      </w:r>
      <w:r w:rsidR="00985DF9">
        <w:rPr>
          <w:rFonts w:cs="Times New Roman"/>
        </w:rPr>
        <w:t xml:space="preserve"> domains.</w:t>
      </w:r>
      <w:r>
        <w:rPr>
          <w:rFonts w:cs="Times New Roman"/>
        </w:rPr>
        <w:t xml:space="preserve"> Cluster 3</w:t>
      </w:r>
      <w:r w:rsidR="00985DF9">
        <w:rPr>
          <w:rFonts w:cs="Times New Roman"/>
        </w:rPr>
        <w:t xml:space="preserve"> (</w:t>
      </w:r>
      <w:r w:rsidR="008A59B8">
        <w:rPr>
          <w:rFonts w:cs="Times New Roman"/>
        </w:rPr>
        <w:t xml:space="preserve">S3, </w:t>
      </w:r>
      <m:oMath>
        <m:r>
          <w:rPr>
            <w:rFonts w:ascii="Cambria Math" w:hAnsi="Cambria Math" w:cs="Times New Roman"/>
          </w:rPr>
          <m:t>n=100</m:t>
        </m:r>
      </m:oMath>
      <w:r w:rsidR="00985DF9">
        <w:rPr>
          <w:rFonts w:cs="Times New Roman"/>
        </w:rPr>
        <w:t>)</w:t>
      </w:r>
      <w:r w:rsidR="0091038D">
        <w:rPr>
          <w:rFonts w:cs="Times New Roman"/>
        </w:rPr>
        <w:t xml:space="preserve"> </w:t>
      </w:r>
      <w:r w:rsidR="007E3534">
        <w:rPr>
          <w:rFonts w:cs="Times New Roman"/>
        </w:rPr>
        <w:t xml:space="preserve">mainly expressed </w:t>
      </w:r>
      <w:r>
        <w:rPr>
          <w:rFonts w:cs="Times New Roman"/>
        </w:rPr>
        <w:t>domain 7 (urinary), while cluster 4</w:t>
      </w:r>
      <w:r w:rsidR="0091038D">
        <w:rPr>
          <w:rFonts w:cs="Times New Roman"/>
        </w:rPr>
        <w:t xml:space="preserve"> </w:t>
      </w:r>
      <w:r w:rsidR="00E128F9">
        <w:rPr>
          <w:rFonts w:cs="Times New Roman"/>
        </w:rPr>
        <w:t>(</w:t>
      </w:r>
      <w:r w:rsidR="008A59B8">
        <w:rPr>
          <w:rFonts w:cs="Times New Roman"/>
        </w:rPr>
        <w:t>S4</w:t>
      </w:r>
      <w:r w:rsidR="00A029F4">
        <w:rPr>
          <w:rFonts w:cs="Times New Roman"/>
        </w:rPr>
        <w:t xml:space="preserve">, </w:t>
      </w:r>
      <m:oMath>
        <m:r>
          <w:rPr>
            <w:rFonts w:ascii="Cambria Math" w:hAnsi="Cambria Math" w:cs="Times New Roman"/>
          </w:rPr>
          <m:t>n=73</m:t>
        </m:r>
      </m:oMath>
      <w:r w:rsidR="00985DF9">
        <w:rPr>
          <w:rFonts w:cs="Times New Roman"/>
        </w:rPr>
        <w:t>)</w:t>
      </w:r>
      <w:r>
        <w:rPr>
          <w:rFonts w:cs="Times New Roman"/>
        </w:rPr>
        <w:t xml:space="preserve"> was affected severely in domain 3 (mood/apathy). Cluster 5</w:t>
      </w:r>
      <w:r w:rsidR="005133BF">
        <w:rPr>
          <w:rFonts w:cs="Times New Roman"/>
        </w:rPr>
        <w:t xml:space="preserve"> </w:t>
      </w:r>
      <w:r w:rsidR="00985DF9">
        <w:rPr>
          <w:rFonts w:cs="Times New Roman"/>
        </w:rPr>
        <w:t>(</w:t>
      </w:r>
      <w:r w:rsidR="008A59B8">
        <w:rPr>
          <w:rFonts w:cs="Times New Roman"/>
        </w:rPr>
        <w:t xml:space="preserve">S5, </w:t>
      </w:r>
      <m:oMath>
        <m:r>
          <w:rPr>
            <w:rFonts w:ascii="Cambria Math" w:hAnsi="Cambria Math" w:cs="Times New Roman"/>
          </w:rPr>
          <m:t>n=54</m:t>
        </m:r>
      </m:oMath>
      <w:r w:rsidR="00985DF9">
        <w:rPr>
          <w:rFonts w:cs="Times New Roman"/>
        </w:rPr>
        <w:t xml:space="preserve">) </w:t>
      </w:r>
      <w:r w:rsidR="007E3534">
        <w:rPr>
          <w:rFonts w:cs="Times New Roman"/>
        </w:rPr>
        <w:t xml:space="preserve">showed </w:t>
      </w:r>
      <w:r w:rsidR="005233B8">
        <w:rPr>
          <w:rFonts w:cs="Times New Roman"/>
        </w:rPr>
        <w:t xml:space="preserve">severe </w:t>
      </w:r>
      <w:r w:rsidR="007E3534">
        <w:rPr>
          <w:rFonts w:cs="Times New Roman"/>
        </w:rPr>
        <w:t xml:space="preserve">impact </w:t>
      </w:r>
      <w:r>
        <w:rPr>
          <w:rFonts w:cs="Times New Roman"/>
        </w:rPr>
        <w:t xml:space="preserve">in most </w:t>
      </w:r>
      <w:r w:rsidR="00571C87">
        <w:rPr>
          <w:rFonts w:cs="Times New Roman"/>
        </w:rPr>
        <w:t>non-motor</w:t>
      </w:r>
      <w:r>
        <w:rPr>
          <w:rFonts w:cs="Times New Roman"/>
        </w:rPr>
        <w:t xml:space="preserve"> symptoms but especially in domain 5 (attention/memory). Similarly, cluster 6</w:t>
      </w:r>
      <w:r w:rsidR="00985DF9">
        <w:rPr>
          <w:rFonts w:cs="Times New Roman"/>
        </w:rPr>
        <w:t xml:space="preserve"> (</w:t>
      </w:r>
      <w:r w:rsidR="008A59B8">
        <w:rPr>
          <w:rFonts w:cs="Times New Roman"/>
        </w:rPr>
        <w:t xml:space="preserve">S6, </w:t>
      </w:r>
      <m:oMath>
        <m:r>
          <w:rPr>
            <w:rFonts w:ascii="Cambria Math" w:hAnsi="Cambria Math" w:cs="Times New Roman"/>
          </w:rPr>
          <m:t>n=20</m:t>
        </m:r>
      </m:oMath>
      <w:r w:rsidR="00985DF9">
        <w:rPr>
          <w:rFonts w:cs="Times New Roman"/>
        </w:rPr>
        <w:t>)</w:t>
      </w:r>
      <w:r w:rsidR="0091038D">
        <w:rPr>
          <w:rFonts w:cs="Times New Roman"/>
        </w:rPr>
        <w:t xml:space="preserve"> </w:t>
      </w:r>
      <w:r w:rsidR="007E3534">
        <w:rPr>
          <w:rFonts w:cs="Times New Roman"/>
        </w:rPr>
        <w:t xml:space="preserve">revealed </w:t>
      </w:r>
      <w:r w:rsidR="005233B8">
        <w:rPr>
          <w:rFonts w:cs="Times New Roman"/>
        </w:rPr>
        <w:t xml:space="preserve">severe </w:t>
      </w:r>
      <w:r w:rsidR="007E3534">
        <w:rPr>
          <w:rFonts w:cs="Times New Roman"/>
        </w:rPr>
        <w:t xml:space="preserve">effects </w:t>
      </w:r>
      <w:r>
        <w:rPr>
          <w:rFonts w:cs="Times New Roman"/>
        </w:rPr>
        <w:t xml:space="preserve">across </w:t>
      </w:r>
      <w:r w:rsidR="007E3534">
        <w:rPr>
          <w:rFonts w:cs="Times New Roman"/>
        </w:rPr>
        <w:t xml:space="preserve">all </w:t>
      </w:r>
      <w:r w:rsidR="00571C87">
        <w:rPr>
          <w:rFonts w:cs="Times New Roman"/>
        </w:rPr>
        <w:t>non-motor</w:t>
      </w:r>
      <w:r>
        <w:rPr>
          <w:rFonts w:cs="Times New Roman"/>
        </w:rPr>
        <w:t xml:space="preserve"> symptoms</w:t>
      </w:r>
      <w:r w:rsidR="005233B8">
        <w:rPr>
          <w:rFonts w:cs="Times New Roman"/>
        </w:rPr>
        <w:t xml:space="preserve"> and motor features</w:t>
      </w:r>
      <w:r>
        <w:rPr>
          <w:rFonts w:cs="Times New Roman"/>
        </w:rPr>
        <w:t xml:space="preserve">, but </w:t>
      </w:r>
      <w:r w:rsidR="00985DF9">
        <w:rPr>
          <w:rFonts w:cs="Times New Roman"/>
        </w:rPr>
        <w:t>was</w:t>
      </w:r>
      <w:r>
        <w:rPr>
          <w:rFonts w:cs="Times New Roman"/>
        </w:rPr>
        <w:t xml:space="preserve"> most severely affected in </w:t>
      </w:r>
      <w:r w:rsidR="00985DF9">
        <w:rPr>
          <w:rFonts w:cs="Times New Roman"/>
        </w:rPr>
        <w:t>cardiovascular, perception/hallucination, and gastrointestinal</w:t>
      </w:r>
      <w:r w:rsidR="00E128F9">
        <w:rPr>
          <w:rFonts w:cs="Times New Roman"/>
        </w:rPr>
        <w:t xml:space="preserve"> NMSS domains</w:t>
      </w:r>
      <w:r w:rsidR="00985DF9">
        <w:rPr>
          <w:rFonts w:cs="Times New Roman"/>
        </w:rPr>
        <w:t xml:space="preserve">. </w:t>
      </w:r>
      <w:r>
        <w:rPr>
          <w:rFonts w:cs="Times New Roman"/>
        </w:rPr>
        <w:t xml:space="preserve">Overall, the symptoms clustering appeared to fragment several of the domains clusters into smaller groups, as </w:t>
      </w:r>
      <w:r w:rsidR="00F97C16">
        <w:rPr>
          <w:rFonts w:cs="Times New Roman"/>
        </w:rPr>
        <w:t xml:space="preserve">suggested </w:t>
      </w:r>
      <w:r>
        <w:rPr>
          <w:rFonts w:cs="Times New Roman"/>
        </w:rPr>
        <w:t xml:space="preserve">in the next </w:t>
      </w:r>
      <w:r w:rsidR="00985DF9">
        <w:rPr>
          <w:rFonts w:cs="Times New Roman"/>
        </w:rPr>
        <w:t>section</w:t>
      </w:r>
      <w:r>
        <w:rPr>
          <w:rFonts w:cs="Times New Roman"/>
        </w:rPr>
        <w:t>.</w:t>
      </w:r>
    </w:p>
    <w:p w14:paraId="140DE266" w14:textId="77777777" w:rsidR="000A20E2" w:rsidRDefault="000A20E2" w:rsidP="00B16199">
      <w:pPr>
        <w:rPr>
          <w:rFonts w:cs="Times New Roman"/>
        </w:rPr>
      </w:pPr>
    </w:p>
    <w:p w14:paraId="37862E98" w14:textId="55C1C25D" w:rsidR="00250EA8" w:rsidRPr="00250EA8" w:rsidRDefault="00250EA8" w:rsidP="00B16199">
      <w:pPr>
        <w:pStyle w:val="Caption"/>
        <w:keepNext/>
        <w:rPr>
          <w:i w:val="0"/>
          <w:color w:val="000000" w:themeColor="text1"/>
          <w:sz w:val="20"/>
          <w:szCs w:val="20"/>
        </w:rPr>
      </w:pPr>
      <w:r w:rsidRPr="00250EA8">
        <w:rPr>
          <w:color w:val="000000" w:themeColor="text1"/>
          <w:sz w:val="20"/>
          <w:szCs w:val="20"/>
        </w:rPr>
        <w:t xml:space="preserve">Table </w:t>
      </w:r>
      <w:r w:rsidR="00BD705D">
        <w:rPr>
          <w:color w:val="000000" w:themeColor="text1"/>
          <w:sz w:val="20"/>
          <w:szCs w:val="20"/>
        </w:rPr>
        <w:t>3</w:t>
      </w:r>
      <w:r w:rsidRPr="00250EA8">
        <w:rPr>
          <w:color w:val="000000" w:themeColor="text1"/>
          <w:sz w:val="20"/>
          <w:szCs w:val="20"/>
        </w:rPr>
        <w:t>.</w:t>
      </w:r>
      <w:r w:rsidR="0091038D">
        <w:rPr>
          <w:color w:val="000000" w:themeColor="text1"/>
          <w:sz w:val="20"/>
          <w:szCs w:val="20"/>
        </w:rPr>
        <w:t xml:space="preserve"> </w:t>
      </w:r>
      <w:r w:rsidRPr="00250EA8">
        <w:rPr>
          <w:i w:val="0"/>
          <w:color w:val="000000" w:themeColor="text1"/>
          <w:sz w:val="20"/>
          <w:szCs w:val="20"/>
        </w:rPr>
        <w:t>Symptoms clustering summary.</w:t>
      </w:r>
      <w:r w:rsidR="0091038D">
        <w:rPr>
          <w:i w:val="0"/>
          <w:color w:val="000000" w:themeColor="text1"/>
          <w:sz w:val="20"/>
          <w:szCs w:val="20"/>
        </w:rPr>
        <w:t xml:space="preserve"> </w:t>
      </w:r>
      <w:r w:rsidR="00963FD7" w:rsidRPr="00250EA8">
        <w:rPr>
          <w:i w:val="0"/>
          <w:color w:val="000000" w:themeColor="text1"/>
          <w:sz w:val="20"/>
          <w:szCs w:val="20"/>
        </w:rPr>
        <w:t>Unless otherwise specified, statistics are reported as mean(sd).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452"/>
        <w:gridCol w:w="1112"/>
        <w:gridCol w:w="1112"/>
        <w:gridCol w:w="1037"/>
        <w:gridCol w:w="1112"/>
        <w:gridCol w:w="1112"/>
        <w:gridCol w:w="1192"/>
      </w:tblGrid>
      <w:tr w:rsidR="00CE0847" w:rsidRPr="00CE0847" w14:paraId="62CC15E9" w14:textId="77777777" w:rsidTr="00A84CFA">
        <w:trPr>
          <w:trHeight w:val="377"/>
          <w:jc w:val="center"/>
        </w:trPr>
        <w:tc>
          <w:tcPr>
            <w:tcW w:w="0" w:type="auto"/>
            <w:tcBorders>
              <w:top w:val="single" w:sz="4" w:space="0" w:color="000000"/>
            </w:tcBorders>
          </w:tcPr>
          <w:p w14:paraId="31B6406E" w14:textId="77777777" w:rsidR="00CE0847" w:rsidRPr="00CE0847" w:rsidRDefault="00CE0847" w:rsidP="00B16199">
            <w:pPr>
              <w:rPr>
                <w:sz w:val="16"/>
                <w:szCs w:val="16"/>
              </w:rPr>
            </w:pPr>
          </w:p>
        </w:tc>
        <w:tc>
          <w:tcPr>
            <w:tcW w:w="0" w:type="auto"/>
            <w:tcBorders>
              <w:top w:val="single" w:sz="4" w:space="0" w:color="000000"/>
            </w:tcBorders>
          </w:tcPr>
          <w:p w14:paraId="37D2932E" w14:textId="77777777" w:rsidR="00CE0847" w:rsidRPr="00CE0847" w:rsidRDefault="00CE0847" w:rsidP="00B16199">
            <w:pPr>
              <w:rPr>
                <w:rFonts w:cs="Times New Roman"/>
                <w:sz w:val="16"/>
                <w:szCs w:val="16"/>
              </w:rPr>
            </w:pPr>
            <w:r w:rsidRPr="00CE0847">
              <w:rPr>
                <w:rFonts w:cs="Times New Roman"/>
                <w:sz w:val="16"/>
                <w:szCs w:val="16"/>
              </w:rPr>
              <w:t>Cluster</w:t>
            </w:r>
          </w:p>
        </w:tc>
        <w:tc>
          <w:tcPr>
            <w:tcW w:w="0" w:type="auto"/>
            <w:tcBorders>
              <w:top w:val="single" w:sz="4" w:space="0" w:color="000000"/>
            </w:tcBorders>
          </w:tcPr>
          <w:p w14:paraId="24650FAC" w14:textId="77777777" w:rsidR="00CE0847" w:rsidRPr="00CE0847" w:rsidRDefault="00CE0847" w:rsidP="00B16199">
            <w:pPr>
              <w:rPr>
                <w:rFonts w:cs="Times New Roman"/>
                <w:sz w:val="16"/>
                <w:szCs w:val="16"/>
              </w:rPr>
            </w:pPr>
            <w:r w:rsidRPr="00CE0847">
              <w:rPr>
                <w:rFonts w:cs="Times New Roman"/>
                <w:sz w:val="16"/>
                <w:szCs w:val="16"/>
              </w:rPr>
              <w:t>1</w:t>
            </w:r>
          </w:p>
        </w:tc>
        <w:tc>
          <w:tcPr>
            <w:tcW w:w="0" w:type="auto"/>
            <w:tcBorders>
              <w:top w:val="single" w:sz="4" w:space="0" w:color="000000"/>
            </w:tcBorders>
          </w:tcPr>
          <w:p w14:paraId="541709A8" w14:textId="77777777" w:rsidR="00CE0847" w:rsidRPr="00CE0847" w:rsidRDefault="00CE0847" w:rsidP="00B16199">
            <w:pPr>
              <w:rPr>
                <w:rFonts w:cs="Times New Roman"/>
                <w:sz w:val="16"/>
                <w:szCs w:val="16"/>
              </w:rPr>
            </w:pPr>
            <w:r w:rsidRPr="00CE0847">
              <w:rPr>
                <w:rFonts w:cs="Times New Roman"/>
                <w:sz w:val="16"/>
                <w:szCs w:val="16"/>
              </w:rPr>
              <w:t>2</w:t>
            </w:r>
          </w:p>
        </w:tc>
        <w:tc>
          <w:tcPr>
            <w:tcW w:w="0" w:type="auto"/>
            <w:tcBorders>
              <w:top w:val="single" w:sz="4" w:space="0" w:color="000000"/>
            </w:tcBorders>
          </w:tcPr>
          <w:p w14:paraId="12DA5983" w14:textId="77777777" w:rsidR="00CE0847" w:rsidRPr="00CE0847" w:rsidRDefault="00CE0847" w:rsidP="00B16199">
            <w:pPr>
              <w:rPr>
                <w:rFonts w:cs="Times New Roman"/>
                <w:sz w:val="16"/>
                <w:szCs w:val="16"/>
              </w:rPr>
            </w:pPr>
            <w:r w:rsidRPr="00CE0847">
              <w:rPr>
                <w:rFonts w:cs="Times New Roman"/>
                <w:sz w:val="16"/>
                <w:szCs w:val="16"/>
              </w:rPr>
              <w:t>3</w:t>
            </w:r>
          </w:p>
        </w:tc>
        <w:tc>
          <w:tcPr>
            <w:tcW w:w="0" w:type="auto"/>
            <w:tcBorders>
              <w:top w:val="single" w:sz="4" w:space="0" w:color="000000"/>
            </w:tcBorders>
          </w:tcPr>
          <w:p w14:paraId="5DA8A425" w14:textId="77777777" w:rsidR="00CE0847" w:rsidRPr="00CE0847" w:rsidRDefault="00CE0847" w:rsidP="00B16199">
            <w:pPr>
              <w:rPr>
                <w:rFonts w:cs="Times New Roman"/>
                <w:sz w:val="16"/>
                <w:szCs w:val="16"/>
              </w:rPr>
            </w:pPr>
            <w:r w:rsidRPr="00CE0847">
              <w:rPr>
                <w:rFonts w:cs="Times New Roman"/>
                <w:sz w:val="16"/>
                <w:szCs w:val="16"/>
              </w:rPr>
              <w:t>4</w:t>
            </w:r>
          </w:p>
        </w:tc>
        <w:tc>
          <w:tcPr>
            <w:tcW w:w="0" w:type="auto"/>
            <w:tcBorders>
              <w:top w:val="single" w:sz="4" w:space="0" w:color="000000"/>
            </w:tcBorders>
          </w:tcPr>
          <w:p w14:paraId="29AE0A11" w14:textId="77777777" w:rsidR="00CE0847" w:rsidRPr="00CE0847" w:rsidRDefault="00CE0847" w:rsidP="00B16199">
            <w:pPr>
              <w:rPr>
                <w:rFonts w:cs="Times New Roman"/>
                <w:sz w:val="16"/>
                <w:szCs w:val="16"/>
              </w:rPr>
            </w:pPr>
            <w:r w:rsidRPr="00CE0847">
              <w:rPr>
                <w:rFonts w:cs="Times New Roman"/>
                <w:sz w:val="16"/>
                <w:szCs w:val="16"/>
              </w:rPr>
              <w:t>5</w:t>
            </w:r>
          </w:p>
        </w:tc>
        <w:tc>
          <w:tcPr>
            <w:tcW w:w="0" w:type="auto"/>
            <w:tcBorders>
              <w:top w:val="single" w:sz="4" w:space="0" w:color="000000"/>
            </w:tcBorders>
          </w:tcPr>
          <w:p w14:paraId="14C4F3DD" w14:textId="77777777" w:rsidR="00CE0847" w:rsidRPr="00CE0847" w:rsidRDefault="00CE0847" w:rsidP="00B16199">
            <w:pPr>
              <w:rPr>
                <w:rFonts w:cs="Times New Roman"/>
                <w:sz w:val="16"/>
                <w:szCs w:val="16"/>
              </w:rPr>
            </w:pPr>
            <w:r w:rsidRPr="00CE0847">
              <w:rPr>
                <w:rFonts w:cs="Times New Roman"/>
                <w:sz w:val="16"/>
                <w:szCs w:val="16"/>
              </w:rPr>
              <w:t>6</w:t>
            </w:r>
          </w:p>
        </w:tc>
      </w:tr>
      <w:tr w:rsidR="00CE0847" w:rsidRPr="00CE0847" w14:paraId="4E1C60AC" w14:textId="77777777" w:rsidTr="00A84CFA">
        <w:trPr>
          <w:jc w:val="center"/>
        </w:trPr>
        <w:tc>
          <w:tcPr>
            <w:tcW w:w="0" w:type="auto"/>
            <w:tcBorders>
              <w:bottom w:val="single" w:sz="4" w:space="0" w:color="000000"/>
            </w:tcBorders>
          </w:tcPr>
          <w:p w14:paraId="4A71876D" w14:textId="77777777" w:rsidR="00CE0847" w:rsidRPr="00CE0847" w:rsidRDefault="00CE0847" w:rsidP="00B16199">
            <w:pPr>
              <w:rPr>
                <w:sz w:val="16"/>
                <w:szCs w:val="16"/>
              </w:rPr>
            </w:pPr>
          </w:p>
        </w:tc>
        <w:tc>
          <w:tcPr>
            <w:tcW w:w="0" w:type="auto"/>
            <w:tcBorders>
              <w:bottom w:val="single" w:sz="4" w:space="0" w:color="000000"/>
            </w:tcBorders>
          </w:tcPr>
          <w:p w14:paraId="00653D23" w14:textId="77777777" w:rsidR="00CE0847" w:rsidRPr="00CE0847" w:rsidRDefault="00CE0847" w:rsidP="00B16199">
            <w:pPr>
              <w:rPr>
                <w:rFonts w:cs="Times New Roman"/>
                <w:sz w:val="16"/>
                <w:szCs w:val="16"/>
              </w:rPr>
            </w:pPr>
            <w:r w:rsidRPr="00CE0847">
              <w:rPr>
                <w:rFonts w:cs="Times New Roman"/>
                <w:i/>
                <w:sz w:val="16"/>
                <w:szCs w:val="16"/>
              </w:rPr>
              <w:t>n</w:t>
            </w:r>
            <w:r w:rsidRPr="00CE0847">
              <w:rPr>
                <w:rFonts w:cs="Times New Roman"/>
                <w:sz w:val="16"/>
                <w:szCs w:val="16"/>
              </w:rPr>
              <w:t>(%)</w:t>
            </w:r>
          </w:p>
        </w:tc>
        <w:tc>
          <w:tcPr>
            <w:tcW w:w="0" w:type="auto"/>
            <w:tcBorders>
              <w:bottom w:val="single" w:sz="4" w:space="0" w:color="000000"/>
            </w:tcBorders>
          </w:tcPr>
          <w:p w14:paraId="46E727B4" w14:textId="77777777" w:rsidR="00CE0847" w:rsidRPr="00CE0847" w:rsidRDefault="00CE0847" w:rsidP="00B16199">
            <w:pPr>
              <w:rPr>
                <w:rFonts w:cs="Times New Roman"/>
                <w:sz w:val="16"/>
                <w:szCs w:val="16"/>
              </w:rPr>
            </w:pPr>
            <w:r w:rsidRPr="00CE0847">
              <w:rPr>
                <w:sz w:val="16"/>
                <w:szCs w:val="16"/>
              </w:rPr>
              <w:t>456 (50%)</w:t>
            </w:r>
          </w:p>
        </w:tc>
        <w:tc>
          <w:tcPr>
            <w:tcW w:w="0" w:type="auto"/>
            <w:tcBorders>
              <w:bottom w:val="single" w:sz="4" w:space="0" w:color="000000"/>
            </w:tcBorders>
          </w:tcPr>
          <w:p w14:paraId="2CEB02E1" w14:textId="77777777" w:rsidR="00CE0847" w:rsidRPr="00CE0847" w:rsidRDefault="00CE0847" w:rsidP="00B16199">
            <w:pPr>
              <w:rPr>
                <w:rFonts w:cs="Times New Roman"/>
                <w:sz w:val="16"/>
                <w:szCs w:val="16"/>
              </w:rPr>
            </w:pPr>
            <w:r w:rsidRPr="00CE0847">
              <w:rPr>
                <w:sz w:val="16"/>
                <w:szCs w:val="16"/>
              </w:rPr>
              <w:t>201 (22%)</w:t>
            </w:r>
          </w:p>
        </w:tc>
        <w:tc>
          <w:tcPr>
            <w:tcW w:w="0" w:type="auto"/>
            <w:tcBorders>
              <w:bottom w:val="single" w:sz="4" w:space="0" w:color="000000"/>
            </w:tcBorders>
          </w:tcPr>
          <w:p w14:paraId="4EDA3579" w14:textId="77777777" w:rsidR="00CE0847" w:rsidRPr="00CE0847" w:rsidRDefault="00CE0847" w:rsidP="00B16199">
            <w:pPr>
              <w:rPr>
                <w:rFonts w:cs="Times New Roman"/>
                <w:sz w:val="16"/>
                <w:szCs w:val="16"/>
              </w:rPr>
            </w:pPr>
            <w:r w:rsidRPr="00CE0847">
              <w:rPr>
                <w:sz w:val="16"/>
                <w:szCs w:val="16"/>
              </w:rPr>
              <w:t>100 (11%)</w:t>
            </w:r>
          </w:p>
        </w:tc>
        <w:tc>
          <w:tcPr>
            <w:tcW w:w="0" w:type="auto"/>
            <w:tcBorders>
              <w:bottom w:val="single" w:sz="4" w:space="0" w:color="000000"/>
            </w:tcBorders>
          </w:tcPr>
          <w:p w14:paraId="24424497" w14:textId="77777777" w:rsidR="00CE0847" w:rsidRPr="00CE0847" w:rsidRDefault="00CE0847" w:rsidP="00B16199">
            <w:pPr>
              <w:rPr>
                <w:rFonts w:cs="Times New Roman"/>
                <w:sz w:val="16"/>
                <w:szCs w:val="16"/>
              </w:rPr>
            </w:pPr>
            <w:r w:rsidRPr="00CE0847">
              <w:rPr>
                <w:sz w:val="16"/>
                <w:szCs w:val="16"/>
              </w:rPr>
              <w:t>73 (8%)</w:t>
            </w:r>
          </w:p>
        </w:tc>
        <w:tc>
          <w:tcPr>
            <w:tcW w:w="0" w:type="auto"/>
            <w:tcBorders>
              <w:bottom w:val="single" w:sz="4" w:space="0" w:color="000000"/>
            </w:tcBorders>
          </w:tcPr>
          <w:p w14:paraId="1D4E2255" w14:textId="77777777" w:rsidR="00CE0847" w:rsidRPr="00CE0847" w:rsidRDefault="00CE0847" w:rsidP="00B16199">
            <w:pPr>
              <w:rPr>
                <w:rFonts w:cs="Times New Roman"/>
                <w:sz w:val="16"/>
                <w:szCs w:val="16"/>
              </w:rPr>
            </w:pPr>
            <w:r w:rsidRPr="00CE0847">
              <w:rPr>
                <w:sz w:val="16"/>
                <w:szCs w:val="16"/>
              </w:rPr>
              <w:t>54 (6%)</w:t>
            </w:r>
          </w:p>
        </w:tc>
        <w:tc>
          <w:tcPr>
            <w:tcW w:w="0" w:type="auto"/>
            <w:tcBorders>
              <w:bottom w:val="single" w:sz="4" w:space="0" w:color="000000"/>
            </w:tcBorders>
          </w:tcPr>
          <w:p w14:paraId="5987E9AC" w14:textId="77777777" w:rsidR="00CE0847" w:rsidRPr="00CE0847" w:rsidRDefault="00CE0847" w:rsidP="00B16199">
            <w:pPr>
              <w:rPr>
                <w:rFonts w:cs="Times New Roman"/>
                <w:sz w:val="16"/>
                <w:szCs w:val="16"/>
              </w:rPr>
            </w:pPr>
            <w:r w:rsidRPr="00CE0847">
              <w:rPr>
                <w:sz w:val="16"/>
                <w:szCs w:val="16"/>
              </w:rPr>
              <w:t>20 (2%)</w:t>
            </w:r>
          </w:p>
        </w:tc>
      </w:tr>
      <w:tr w:rsidR="00CE0847" w:rsidRPr="00CE0847" w14:paraId="2F48FFBB" w14:textId="77777777" w:rsidTr="00A84CFA">
        <w:trPr>
          <w:jc w:val="center"/>
        </w:trPr>
        <w:tc>
          <w:tcPr>
            <w:tcW w:w="0" w:type="auto"/>
            <w:tcBorders>
              <w:top w:val="single" w:sz="4" w:space="0" w:color="000000"/>
            </w:tcBorders>
          </w:tcPr>
          <w:p w14:paraId="31B5839F" w14:textId="77777777" w:rsidR="00CE0847" w:rsidRPr="00CE0847" w:rsidRDefault="00CE0847" w:rsidP="00B16199">
            <w:pPr>
              <w:rPr>
                <w:sz w:val="16"/>
                <w:szCs w:val="16"/>
              </w:rPr>
            </w:pPr>
            <w:r w:rsidRPr="00CE0847">
              <w:rPr>
                <w:sz w:val="16"/>
                <w:szCs w:val="16"/>
              </w:rPr>
              <w:t xml:space="preserve">1. </w:t>
            </w:r>
          </w:p>
        </w:tc>
        <w:tc>
          <w:tcPr>
            <w:tcW w:w="0" w:type="auto"/>
            <w:tcBorders>
              <w:top w:val="single" w:sz="4" w:space="0" w:color="000000"/>
            </w:tcBorders>
          </w:tcPr>
          <w:p w14:paraId="1B873C23" w14:textId="77777777" w:rsidR="00CE0847" w:rsidRPr="00CE0847" w:rsidRDefault="00CE0847" w:rsidP="00B16199">
            <w:pPr>
              <w:rPr>
                <w:rFonts w:cs="Times New Roman"/>
                <w:sz w:val="16"/>
                <w:szCs w:val="16"/>
              </w:rPr>
            </w:pPr>
            <w:r w:rsidRPr="00CE0847">
              <w:rPr>
                <w:sz w:val="16"/>
                <w:szCs w:val="16"/>
              </w:rPr>
              <w:t>Lightheadedness</w:t>
            </w:r>
          </w:p>
        </w:tc>
        <w:tc>
          <w:tcPr>
            <w:tcW w:w="0" w:type="auto"/>
            <w:tcBorders>
              <w:top w:val="single" w:sz="4" w:space="0" w:color="000000"/>
            </w:tcBorders>
          </w:tcPr>
          <w:p w14:paraId="2E1AC83B" w14:textId="77777777" w:rsidR="00CE0847" w:rsidRPr="00CE0847" w:rsidRDefault="00CE0847" w:rsidP="00B16199">
            <w:pPr>
              <w:rPr>
                <w:rFonts w:cs="Times New Roman"/>
                <w:sz w:val="16"/>
                <w:szCs w:val="16"/>
                <w:vertAlign w:val="superscript"/>
              </w:rPr>
            </w:pPr>
            <w:r w:rsidRPr="00CE0847">
              <w:rPr>
                <w:sz w:val="16"/>
                <w:szCs w:val="16"/>
              </w:rPr>
              <w:t>0.5 (1.1)</w:t>
            </w:r>
            <w:r w:rsidR="006F6430">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4805E24" w14:textId="77777777" w:rsidR="00CE0847" w:rsidRPr="00CE0847" w:rsidRDefault="00CE0847" w:rsidP="00B16199">
            <w:pPr>
              <w:rPr>
                <w:rFonts w:cs="Times New Roman"/>
                <w:sz w:val="16"/>
                <w:szCs w:val="16"/>
                <w:vertAlign w:val="superscript"/>
              </w:rPr>
            </w:pPr>
            <w:r w:rsidRPr="00CE0847">
              <w:rPr>
                <w:sz w:val="16"/>
                <w:szCs w:val="16"/>
              </w:rPr>
              <w:t>1.7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BA87BB2" w14:textId="77777777" w:rsidR="00CE0847" w:rsidRPr="00CE0847" w:rsidRDefault="00CE0847" w:rsidP="00B16199">
            <w:pPr>
              <w:rPr>
                <w:rFonts w:cs="Times New Roman"/>
                <w:sz w:val="16"/>
                <w:szCs w:val="16"/>
                <w:vertAlign w:val="superscript"/>
              </w:rPr>
            </w:pPr>
            <w:r w:rsidRPr="00CE0847">
              <w:rPr>
                <w:sz w:val="16"/>
                <w:szCs w:val="16"/>
              </w:rPr>
              <w:t>2.5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99E35BA" w14:textId="77777777" w:rsidR="00CE0847" w:rsidRPr="00CE0847" w:rsidRDefault="00CE0847" w:rsidP="00B16199">
            <w:pPr>
              <w:rPr>
                <w:rFonts w:cs="Times New Roman"/>
                <w:sz w:val="16"/>
                <w:szCs w:val="16"/>
                <w:vertAlign w:val="superscript"/>
              </w:rPr>
            </w:pPr>
            <w:r w:rsidRPr="00CE0847">
              <w:rPr>
                <w:sz w:val="16"/>
                <w:szCs w:val="16"/>
              </w:rPr>
              <w:t>1.9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5800725" w14:textId="77777777" w:rsidR="00CE0847" w:rsidRPr="00CE0847" w:rsidRDefault="00CE0847" w:rsidP="00B16199">
            <w:pPr>
              <w:rPr>
                <w:rFonts w:cs="Times New Roman"/>
                <w:sz w:val="16"/>
                <w:szCs w:val="16"/>
                <w:vertAlign w:val="superscript"/>
              </w:rPr>
            </w:pPr>
            <w:r w:rsidRPr="00CE0847">
              <w:rPr>
                <w:sz w:val="16"/>
                <w:szCs w:val="16"/>
              </w:rPr>
              <w:t>3.3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B9F09D5" w14:textId="77777777" w:rsidR="00CE0847" w:rsidRPr="00CE0847" w:rsidRDefault="00CE0847" w:rsidP="00B16199">
            <w:pPr>
              <w:rPr>
                <w:sz w:val="16"/>
                <w:szCs w:val="16"/>
                <w:vertAlign w:val="superscript"/>
              </w:rPr>
            </w:pPr>
            <w:r w:rsidRPr="00CE0847">
              <w:rPr>
                <w:sz w:val="16"/>
                <w:szCs w:val="16"/>
              </w:rPr>
              <w:t>7.7 (3.6)</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190DBF77" w14:textId="77777777" w:rsidTr="00A84CFA">
        <w:trPr>
          <w:jc w:val="center"/>
        </w:trPr>
        <w:tc>
          <w:tcPr>
            <w:tcW w:w="0" w:type="auto"/>
            <w:tcBorders>
              <w:bottom w:val="single" w:sz="4" w:space="0" w:color="000000"/>
            </w:tcBorders>
          </w:tcPr>
          <w:p w14:paraId="1E876A20" w14:textId="77777777" w:rsidR="00CE0847" w:rsidRPr="00CE0847" w:rsidRDefault="00CE0847" w:rsidP="00B16199">
            <w:pPr>
              <w:rPr>
                <w:sz w:val="16"/>
                <w:szCs w:val="16"/>
              </w:rPr>
            </w:pPr>
            <w:r w:rsidRPr="00CE0847">
              <w:rPr>
                <w:sz w:val="16"/>
                <w:szCs w:val="16"/>
              </w:rPr>
              <w:t>Cardiovascular</w:t>
            </w:r>
          </w:p>
        </w:tc>
        <w:tc>
          <w:tcPr>
            <w:tcW w:w="0" w:type="auto"/>
            <w:tcBorders>
              <w:bottom w:val="single" w:sz="4" w:space="0" w:color="000000"/>
            </w:tcBorders>
          </w:tcPr>
          <w:p w14:paraId="4BFF0226" w14:textId="77777777" w:rsidR="00CE0847" w:rsidRPr="00CE0847" w:rsidRDefault="00CE0847" w:rsidP="00B16199">
            <w:pPr>
              <w:rPr>
                <w:rFonts w:cs="Times New Roman"/>
                <w:sz w:val="16"/>
                <w:szCs w:val="16"/>
              </w:rPr>
            </w:pPr>
            <w:r w:rsidRPr="00CE0847">
              <w:rPr>
                <w:sz w:val="16"/>
                <w:szCs w:val="16"/>
              </w:rPr>
              <w:t>Fainting</w:t>
            </w:r>
          </w:p>
        </w:tc>
        <w:tc>
          <w:tcPr>
            <w:tcW w:w="0" w:type="auto"/>
            <w:tcBorders>
              <w:bottom w:val="single" w:sz="4" w:space="0" w:color="000000"/>
            </w:tcBorders>
          </w:tcPr>
          <w:p w14:paraId="1102524F" w14:textId="77777777" w:rsidR="00CE0847" w:rsidRPr="00CE0847" w:rsidRDefault="00CE0847" w:rsidP="00B16199">
            <w:pPr>
              <w:rPr>
                <w:rFonts w:cs="Times New Roman"/>
                <w:sz w:val="16"/>
                <w:szCs w:val="16"/>
                <w:vertAlign w:val="superscript"/>
              </w:rPr>
            </w:pPr>
            <w:r w:rsidRPr="00CE0847">
              <w:rPr>
                <w:sz w:val="16"/>
                <w:szCs w:val="16"/>
              </w:rPr>
              <w:t>0.1 (0.6)</w:t>
            </w:r>
            <w:r w:rsidR="006F6430" w:rsidRPr="00CE0847">
              <w:rPr>
                <w:sz w:val="16"/>
                <w:szCs w:val="16"/>
                <w:vertAlign w:val="superscript"/>
              </w:rPr>
              <w:t>6</w:t>
            </w:r>
          </w:p>
        </w:tc>
        <w:tc>
          <w:tcPr>
            <w:tcW w:w="0" w:type="auto"/>
            <w:tcBorders>
              <w:bottom w:val="single" w:sz="4" w:space="0" w:color="000000"/>
            </w:tcBorders>
          </w:tcPr>
          <w:p w14:paraId="211C66C2" w14:textId="77777777" w:rsidR="00CE0847" w:rsidRPr="00CE0847" w:rsidRDefault="00CE0847" w:rsidP="00B16199">
            <w:pPr>
              <w:rPr>
                <w:rFonts w:cs="Times New Roman"/>
                <w:sz w:val="16"/>
                <w:szCs w:val="16"/>
                <w:vertAlign w:val="superscript"/>
              </w:rPr>
            </w:pPr>
            <w:r w:rsidRPr="00CE0847">
              <w:rPr>
                <w:sz w:val="16"/>
                <w:szCs w:val="16"/>
              </w:rPr>
              <w:t>0.3 (1)</w:t>
            </w:r>
            <w:r w:rsidR="006F6430" w:rsidRPr="00CE0847">
              <w:rPr>
                <w:sz w:val="16"/>
                <w:szCs w:val="16"/>
                <w:vertAlign w:val="superscript"/>
              </w:rPr>
              <w:t>6</w:t>
            </w:r>
          </w:p>
        </w:tc>
        <w:tc>
          <w:tcPr>
            <w:tcW w:w="0" w:type="auto"/>
            <w:tcBorders>
              <w:bottom w:val="single" w:sz="4" w:space="0" w:color="000000"/>
            </w:tcBorders>
          </w:tcPr>
          <w:p w14:paraId="599EF3F2" w14:textId="77777777" w:rsidR="00CE0847" w:rsidRPr="00CE0847" w:rsidRDefault="00CE0847" w:rsidP="00B16199">
            <w:pPr>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42017217" w14:textId="77777777" w:rsidR="00CE0847" w:rsidRPr="00CE0847" w:rsidRDefault="00CE0847" w:rsidP="00B16199">
            <w:pPr>
              <w:rPr>
                <w:rFonts w:cs="Times New Roman"/>
                <w:sz w:val="16"/>
                <w:szCs w:val="16"/>
                <w:vertAlign w:val="superscript"/>
              </w:rPr>
            </w:pPr>
            <w:r w:rsidRPr="00CE0847">
              <w:rPr>
                <w:sz w:val="16"/>
                <w:szCs w:val="16"/>
              </w:rPr>
              <w:t>0.5 (1.2)</w:t>
            </w:r>
            <w:r w:rsidR="006F6430" w:rsidRPr="00CE0847">
              <w:rPr>
                <w:sz w:val="16"/>
                <w:szCs w:val="16"/>
                <w:vertAlign w:val="superscript"/>
              </w:rPr>
              <w:t>6</w:t>
            </w:r>
          </w:p>
        </w:tc>
        <w:tc>
          <w:tcPr>
            <w:tcW w:w="0" w:type="auto"/>
            <w:tcBorders>
              <w:bottom w:val="single" w:sz="4" w:space="0" w:color="000000"/>
            </w:tcBorders>
          </w:tcPr>
          <w:p w14:paraId="4C82BAC4" w14:textId="77777777" w:rsidR="00CE0847" w:rsidRPr="00CE0847" w:rsidRDefault="00CE0847" w:rsidP="00B16199">
            <w:pPr>
              <w:rPr>
                <w:rFonts w:cs="Times New Roman"/>
                <w:sz w:val="16"/>
                <w:szCs w:val="16"/>
                <w:vertAlign w:val="superscript"/>
              </w:rPr>
            </w:pPr>
            <w:r w:rsidRPr="00CE0847">
              <w:rPr>
                <w:sz w:val="16"/>
                <w:szCs w:val="16"/>
              </w:rPr>
              <w:t>0.1 (0.5)</w:t>
            </w:r>
            <w:r w:rsidR="006F6430" w:rsidRPr="00CE0847">
              <w:rPr>
                <w:sz w:val="16"/>
                <w:szCs w:val="16"/>
                <w:vertAlign w:val="superscript"/>
              </w:rPr>
              <w:t>6</w:t>
            </w:r>
          </w:p>
        </w:tc>
        <w:tc>
          <w:tcPr>
            <w:tcW w:w="0" w:type="auto"/>
            <w:tcBorders>
              <w:bottom w:val="single" w:sz="4" w:space="0" w:color="000000"/>
            </w:tcBorders>
          </w:tcPr>
          <w:p w14:paraId="4E43C5F2" w14:textId="77777777" w:rsidR="00CE0847" w:rsidRPr="00CE0847" w:rsidRDefault="00CE0847" w:rsidP="00B16199">
            <w:pPr>
              <w:rPr>
                <w:sz w:val="16"/>
                <w:szCs w:val="16"/>
                <w:vertAlign w:val="superscript"/>
              </w:rPr>
            </w:pPr>
            <w:r w:rsidRPr="00CE0847">
              <w:rPr>
                <w:sz w:val="16"/>
                <w:szCs w:val="16"/>
              </w:rPr>
              <w:t>6.3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BDFE173" w14:textId="77777777" w:rsidTr="00A84CFA">
        <w:trPr>
          <w:jc w:val="center"/>
        </w:trPr>
        <w:tc>
          <w:tcPr>
            <w:tcW w:w="0" w:type="auto"/>
            <w:tcBorders>
              <w:top w:val="single" w:sz="4" w:space="0" w:color="000000"/>
            </w:tcBorders>
          </w:tcPr>
          <w:p w14:paraId="3F76F6F2" w14:textId="77777777" w:rsidR="00CE0847" w:rsidRPr="00CE0847" w:rsidRDefault="00CE0847" w:rsidP="00B16199">
            <w:pPr>
              <w:rPr>
                <w:sz w:val="16"/>
                <w:szCs w:val="16"/>
              </w:rPr>
            </w:pPr>
            <w:r w:rsidRPr="00CE0847">
              <w:rPr>
                <w:sz w:val="16"/>
                <w:szCs w:val="16"/>
              </w:rPr>
              <w:t>2. Sleep/</w:t>
            </w:r>
          </w:p>
        </w:tc>
        <w:tc>
          <w:tcPr>
            <w:tcW w:w="0" w:type="auto"/>
            <w:tcBorders>
              <w:top w:val="single" w:sz="4" w:space="0" w:color="000000"/>
            </w:tcBorders>
          </w:tcPr>
          <w:p w14:paraId="51EC7D07" w14:textId="77777777" w:rsidR="00CE0847" w:rsidRPr="00CE0847" w:rsidRDefault="00CE0847" w:rsidP="00B16199">
            <w:pPr>
              <w:rPr>
                <w:rFonts w:cs="Times New Roman"/>
                <w:sz w:val="16"/>
                <w:szCs w:val="16"/>
              </w:rPr>
            </w:pPr>
            <w:r w:rsidRPr="00CE0847">
              <w:rPr>
                <w:sz w:val="16"/>
                <w:szCs w:val="16"/>
              </w:rPr>
              <w:t>Drowsiness</w:t>
            </w:r>
          </w:p>
        </w:tc>
        <w:tc>
          <w:tcPr>
            <w:tcW w:w="0" w:type="auto"/>
            <w:tcBorders>
              <w:top w:val="single" w:sz="4" w:space="0" w:color="000000"/>
            </w:tcBorders>
          </w:tcPr>
          <w:p w14:paraId="78854A95" w14:textId="77777777" w:rsidR="00CE0847" w:rsidRPr="00CE0847" w:rsidRDefault="00CE0847" w:rsidP="00B16199">
            <w:pPr>
              <w:rPr>
                <w:rFonts w:cs="Times New Roman"/>
                <w:sz w:val="16"/>
                <w:szCs w:val="16"/>
                <w:vertAlign w:val="superscript"/>
              </w:rPr>
            </w:pPr>
            <w:r w:rsidRPr="00CE0847">
              <w:rPr>
                <w:sz w:val="16"/>
                <w:szCs w:val="16"/>
              </w:rPr>
              <w:t>0.9 (1.8)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C8B3C8D" w14:textId="77777777" w:rsidR="00CE0847" w:rsidRPr="00CE0847" w:rsidRDefault="00CE0847" w:rsidP="00B16199">
            <w:pPr>
              <w:rPr>
                <w:rFonts w:cs="Times New Roman"/>
                <w:sz w:val="16"/>
                <w:szCs w:val="16"/>
                <w:vertAlign w:val="superscript"/>
              </w:rPr>
            </w:pPr>
            <w:r w:rsidRPr="00CE0847">
              <w:rPr>
                <w:sz w:val="16"/>
                <w:szCs w:val="16"/>
              </w:rPr>
              <w:t>2.4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49EC1F7" w14:textId="77777777" w:rsidR="00CE0847" w:rsidRPr="00CE0847" w:rsidRDefault="00CE0847" w:rsidP="00B16199">
            <w:pPr>
              <w:rPr>
                <w:rFonts w:cs="Times New Roman"/>
                <w:sz w:val="16"/>
                <w:szCs w:val="16"/>
                <w:vertAlign w:val="superscript"/>
              </w:rPr>
            </w:pPr>
            <w:r w:rsidRPr="00CE0847">
              <w:rPr>
                <w:sz w:val="16"/>
                <w:szCs w:val="16"/>
              </w:rPr>
              <w:t>2.3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9840B48" w14:textId="77777777" w:rsidR="00CE0847" w:rsidRPr="00CE0847" w:rsidRDefault="00CE0847" w:rsidP="00B16199">
            <w:pPr>
              <w:rPr>
                <w:rFonts w:cs="Times New Roman"/>
                <w:sz w:val="16"/>
                <w:szCs w:val="16"/>
                <w:vertAlign w:val="superscript"/>
              </w:rPr>
            </w:pPr>
            <w:r w:rsidRPr="00CE0847">
              <w:rPr>
                <w:sz w:val="16"/>
                <w:szCs w:val="16"/>
              </w:rPr>
              <w:t>2.2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9B18806" w14:textId="77777777" w:rsidR="00CE0847" w:rsidRPr="00CE0847" w:rsidRDefault="00CE0847" w:rsidP="00B16199">
            <w:pPr>
              <w:rPr>
                <w:rFonts w:cs="Times New Roman"/>
                <w:sz w:val="16"/>
                <w:szCs w:val="16"/>
                <w:vertAlign w:val="superscript"/>
              </w:rPr>
            </w:pPr>
            <w:r w:rsidRPr="00CE0847">
              <w:rPr>
                <w:sz w:val="16"/>
                <w:szCs w:val="16"/>
              </w:rPr>
              <w:t>6.6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1ABC10DE" w14:textId="77777777" w:rsidR="00CE0847" w:rsidRPr="00CE0847" w:rsidRDefault="00CE0847" w:rsidP="00B16199">
            <w:pPr>
              <w:rPr>
                <w:sz w:val="16"/>
                <w:szCs w:val="16"/>
                <w:vertAlign w:val="superscript"/>
              </w:rPr>
            </w:pPr>
            <w:r w:rsidRPr="00CE0847">
              <w:rPr>
                <w:sz w:val="16"/>
                <w:szCs w:val="16"/>
              </w:rPr>
              <w:t>5.2 (3)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72CA04FD" w14:textId="77777777" w:rsidTr="00A84CFA">
        <w:trPr>
          <w:jc w:val="center"/>
        </w:trPr>
        <w:tc>
          <w:tcPr>
            <w:tcW w:w="0" w:type="auto"/>
          </w:tcPr>
          <w:p w14:paraId="16D8D996" w14:textId="77777777" w:rsidR="00CE0847" w:rsidRPr="00CE0847" w:rsidRDefault="00CE0847" w:rsidP="00B16199">
            <w:pPr>
              <w:rPr>
                <w:sz w:val="16"/>
                <w:szCs w:val="16"/>
              </w:rPr>
            </w:pPr>
            <w:r w:rsidRPr="00CE0847">
              <w:rPr>
                <w:sz w:val="16"/>
                <w:szCs w:val="16"/>
              </w:rPr>
              <w:t>fatigue</w:t>
            </w:r>
          </w:p>
        </w:tc>
        <w:tc>
          <w:tcPr>
            <w:tcW w:w="0" w:type="auto"/>
          </w:tcPr>
          <w:p w14:paraId="18201D0C" w14:textId="77777777" w:rsidR="00CE0847" w:rsidRPr="00CE0847" w:rsidRDefault="00CE0847" w:rsidP="00B16199">
            <w:pPr>
              <w:rPr>
                <w:rFonts w:cs="Times New Roman"/>
                <w:sz w:val="16"/>
                <w:szCs w:val="16"/>
              </w:rPr>
            </w:pPr>
            <w:r w:rsidRPr="00CE0847">
              <w:rPr>
                <w:sz w:val="16"/>
                <w:szCs w:val="16"/>
              </w:rPr>
              <w:t>Fatigue</w:t>
            </w:r>
          </w:p>
        </w:tc>
        <w:tc>
          <w:tcPr>
            <w:tcW w:w="0" w:type="auto"/>
          </w:tcPr>
          <w:p w14:paraId="230708C3" w14:textId="77777777" w:rsidR="00CE0847" w:rsidRPr="00CE0847" w:rsidRDefault="00CE0847" w:rsidP="00B16199">
            <w:pPr>
              <w:rPr>
                <w:rFonts w:cs="Times New Roman"/>
                <w:sz w:val="16"/>
                <w:szCs w:val="16"/>
                <w:vertAlign w:val="superscript"/>
              </w:rPr>
            </w:pPr>
            <w:r w:rsidRPr="00CE0847">
              <w:rPr>
                <w:sz w:val="16"/>
                <w:szCs w:val="16"/>
              </w:rPr>
              <w:t>1.2 (1.9)</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5FE7EB8B" w14:textId="77777777" w:rsidR="00CE0847" w:rsidRPr="00CE0847" w:rsidRDefault="00CE0847" w:rsidP="00B16199">
            <w:pPr>
              <w:rPr>
                <w:rFonts w:cs="Times New Roman"/>
                <w:sz w:val="16"/>
                <w:szCs w:val="16"/>
                <w:vertAlign w:val="superscript"/>
              </w:rPr>
            </w:pPr>
            <w:r w:rsidRPr="00CE0847">
              <w:rPr>
                <w:sz w:val="16"/>
                <w:szCs w:val="16"/>
              </w:rPr>
              <w:t>4.2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c>
          <w:tcPr>
            <w:tcW w:w="0" w:type="auto"/>
          </w:tcPr>
          <w:p w14:paraId="5F441101" w14:textId="77777777" w:rsidR="00CE0847" w:rsidRPr="00CE0847" w:rsidRDefault="00CE0847" w:rsidP="00B16199">
            <w:pPr>
              <w:rPr>
                <w:rFonts w:cs="Times New Roman"/>
                <w:sz w:val="16"/>
                <w:szCs w:val="16"/>
                <w:vertAlign w:val="superscript"/>
              </w:rPr>
            </w:pPr>
            <w:r w:rsidRPr="00CE0847">
              <w:rPr>
                <w:sz w:val="16"/>
                <w:szCs w:val="16"/>
              </w:rPr>
              <w:t>4.5 (4)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Pr>
          <w:p w14:paraId="514D4794" w14:textId="77777777" w:rsidR="00CE0847" w:rsidRPr="00CE0847" w:rsidRDefault="00CE0847" w:rsidP="00B16199">
            <w:pPr>
              <w:rPr>
                <w:rFonts w:cs="Times New Roman"/>
                <w:sz w:val="16"/>
                <w:szCs w:val="16"/>
                <w:vertAlign w:val="superscript"/>
              </w:rPr>
            </w:pPr>
            <w:r w:rsidRPr="00CE0847">
              <w:rPr>
                <w:sz w:val="16"/>
                <w:szCs w:val="16"/>
              </w:rPr>
              <w:t>5.9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Pr>
          <w:p w14:paraId="1CBFC80B" w14:textId="77777777" w:rsidR="00CE0847" w:rsidRPr="00CE0847" w:rsidRDefault="00CE0847" w:rsidP="00B16199">
            <w:pPr>
              <w:rPr>
                <w:rFonts w:cs="Times New Roman"/>
                <w:sz w:val="16"/>
                <w:szCs w:val="16"/>
                <w:vertAlign w:val="superscript"/>
              </w:rPr>
            </w:pPr>
            <w:r w:rsidRPr="00CE0847">
              <w:rPr>
                <w:sz w:val="16"/>
                <w:szCs w:val="16"/>
              </w:rPr>
              <w:t>8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046A0838" w14:textId="77777777" w:rsidR="00CE0847" w:rsidRPr="00CE0847" w:rsidRDefault="00CE0847" w:rsidP="00B16199">
            <w:pPr>
              <w:rPr>
                <w:sz w:val="16"/>
                <w:szCs w:val="16"/>
                <w:vertAlign w:val="superscript"/>
              </w:rPr>
            </w:pPr>
            <w:r w:rsidRPr="00CE0847">
              <w:rPr>
                <w:sz w:val="16"/>
                <w:szCs w:val="16"/>
              </w:rPr>
              <w:t>6.9 (3.1)</w:t>
            </w:r>
            <w:r w:rsidRPr="00CE0847">
              <w:rPr>
                <w:sz w:val="16"/>
                <w:szCs w:val="16"/>
                <w:vertAlign w:val="superscript"/>
              </w:rPr>
              <w:t>1</w:t>
            </w:r>
          </w:p>
        </w:tc>
      </w:tr>
      <w:tr w:rsidR="00CE0847" w:rsidRPr="00CE0847" w14:paraId="441C6F2E" w14:textId="77777777" w:rsidTr="00A84CFA">
        <w:trPr>
          <w:jc w:val="center"/>
        </w:trPr>
        <w:tc>
          <w:tcPr>
            <w:tcW w:w="0" w:type="auto"/>
          </w:tcPr>
          <w:p w14:paraId="4B2E4409" w14:textId="77777777" w:rsidR="00CE0847" w:rsidRPr="00CE0847" w:rsidRDefault="00CE0847" w:rsidP="00B16199">
            <w:pPr>
              <w:rPr>
                <w:sz w:val="16"/>
                <w:szCs w:val="16"/>
              </w:rPr>
            </w:pPr>
          </w:p>
        </w:tc>
        <w:tc>
          <w:tcPr>
            <w:tcW w:w="0" w:type="auto"/>
          </w:tcPr>
          <w:p w14:paraId="48F4FD49" w14:textId="77777777" w:rsidR="00CE0847" w:rsidRPr="00CE0847" w:rsidRDefault="00CE0847" w:rsidP="00B16199">
            <w:pPr>
              <w:rPr>
                <w:rFonts w:cs="Times New Roman"/>
                <w:sz w:val="16"/>
                <w:szCs w:val="16"/>
              </w:rPr>
            </w:pPr>
            <w:r w:rsidRPr="00CE0847">
              <w:rPr>
                <w:sz w:val="16"/>
                <w:szCs w:val="16"/>
              </w:rPr>
              <w:t>Insomnia</w:t>
            </w:r>
          </w:p>
        </w:tc>
        <w:tc>
          <w:tcPr>
            <w:tcW w:w="0" w:type="auto"/>
          </w:tcPr>
          <w:p w14:paraId="79A5C88F" w14:textId="77777777" w:rsidR="00CE0847" w:rsidRPr="00CE0847" w:rsidRDefault="00CE0847" w:rsidP="00B16199">
            <w:pPr>
              <w:rPr>
                <w:rFonts w:cs="Times New Roman"/>
                <w:sz w:val="16"/>
                <w:szCs w:val="16"/>
                <w:vertAlign w:val="superscript"/>
              </w:rPr>
            </w:pPr>
            <w:r w:rsidRPr="00CE0847">
              <w:rPr>
                <w:sz w:val="16"/>
                <w:szCs w:val="16"/>
              </w:rPr>
              <w:t>1.1 (2.2)</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80C1D7E" w14:textId="77777777" w:rsidR="00CE0847" w:rsidRPr="00CE0847" w:rsidRDefault="00CE0847" w:rsidP="00B16199">
            <w:pPr>
              <w:rPr>
                <w:rFonts w:cs="Times New Roman"/>
                <w:sz w:val="16"/>
                <w:szCs w:val="16"/>
                <w:vertAlign w:val="superscript"/>
              </w:rPr>
            </w:pPr>
            <w:r w:rsidRPr="00CE0847">
              <w:rPr>
                <w:sz w:val="16"/>
                <w:szCs w:val="16"/>
              </w:rPr>
              <w:t>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p>
        </w:tc>
        <w:tc>
          <w:tcPr>
            <w:tcW w:w="0" w:type="auto"/>
          </w:tcPr>
          <w:p w14:paraId="33D45B3E" w14:textId="77777777" w:rsidR="00CE0847" w:rsidRPr="00CE0847" w:rsidRDefault="00CE0847" w:rsidP="00B16199">
            <w:pPr>
              <w:rPr>
                <w:rFonts w:cs="Times New Roman"/>
                <w:sz w:val="16"/>
                <w:szCs w:val="16"/>
                <w:vertAlign w:val="superscript"/>
              </w:rPr>
            </w:pPr>
            <w:r w:rsidRPr="00CE0847">
              <w:rPr>
                <w:sz w:val="16"/>
                <w:szCs w:val="16"/>
              </w:rPr>
              <w:t>3.1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p>
        </w:tc>
        <w:tc>
          <w:tcPr>
            <w:tcW w:w="0" w:type="auto"/>
          </w:tcPr>
          <w:p w14:paraId="74BD25A6" w14:textId="77777777" w:rsidR="00CE0847" w:rsidRPr="00CE0847" w:rsidRDefault="00CE0847" w:rsidP="00B16199">
            <w:pPr>
              <w:rPr>
                <w:rFonts w:cs="Times New Roman"/>
                <w:sz w:val="16"/>
                <w:szCs w:val="16"/>
                <w:vertAlign w:val="superscript"/>
              </w:rPr>
            </w:pPr>
            <w:r w:rsidRPr="00CE0847">
              <w:rPr>
                <w:sz w:val="16"/>
                <w:szCs w:val="16"/>
              </w:rPr>
              <w:t>5.3 (4.8)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175A4020" w14:textId="77777777" w:rsidR="00CE0847" w:rsidRPr="00CE0847" w:rsidRDefault="00CE0847" w:rsidP="00B16199">
            <w:pPr>
              <w:rPr>
                <w:rFonts w:cs="Times New Roman"/>
                <w:sz w:val="16"/>
                <w:szCs w:val="16"/>
                <w:vertAlign w:val="superscript"/>
              </w:rPr>
            </w:pPr>
            <w:r w:rsidRPr="00CE0847">
              <w:rPr>
                <w:sz w:val="16"/>
                <w:szCs w:val="16"/>
              </w:rPr>
              <w:t>4.7 (4.8)</w:t>
            </w:r>
            <w:r w:rsidR="006F6430" w:rsidRPr="00CE0847">
              <w:rPr>
                <w:sz w:val="16"/>
                <w:szCs w:val="16"/>
                <w:vertAlign w:val="superscript"/>
              </w:rPr>
              <w:t>1</w:t>
            </w:r>
          </w:p>
        </w:tc>
        <w:tc>
          <w:tcPr>
            <w:tcW w:w="0" w:type="auto"/>
          </w:tcPr>
          <w:p w14:paraId="7C5AD7F9" w14:textId="77777777" w:rsidR="00CE0847" w:rsidRPr="00CE0847" w:rsidRDefault="00CE0847" w:rsidP="00B16199">
            <w:pPr>
              <w:rPr>
                <w:sz w:val="16"/>
                <w:szCs w:val="16"/>
                <w:vertAlign w:val="superscript"/>
              </w:rPr>
            </w:pPr>
            <w:r w:rsidRPr="00CE0847">
              <w:rPr>
                <w:sz w:val="16"/>
                <w:szCs w:val="16"/>
              </w:rPr>
              <w:t>5 (2.4)</w:t>
            </w:r>
            <w:r w:rsidRPr="00CE0847">
              <w:rPr>
                <w:sz w:val="16"/>
                <w:szCs w:val="16"/>
                <w:vertAlign w:val="superscript"/>
              </w:rPr>
              <w:t>1</w:t>
            </w:r>
          </w:p>
        </w:tc>
      </w:tr>
      <w:tr w:rsidR="00CE0847" w:rsidRPr="00CE0847" w14:paraId="16029423" w14:textId="77777777" w:rsidTr="00A84CFA">
        <w:trPr>
          <w:jc w:val="center"/>
        </w:trPr>
        <w:tc>
          <w:tcPr>
            <w:tcW w:w="0" w:type="auto"/>
            <w:tcBorders>
              <w:bottom w:val="single" w:sz="4" w:space="0" w:color="000000"/>
            </w:tcBorders>
          </w:tcPr>
          <w:p w14:paraId="11E21E24" w14:textId="77777777" w:rsidR="00CE0847" w:rsidRPr="00CE0847" w:rsidRDefault="00CE0847" w:rsidP="00B16199">
            <w:pPr>
              <w:rPr>
                <w:sz w:val="16"/>
                <w:szCs w:val="16"/>
              </w:rPr>
            </w:pPr>
          </w:p>
        </w:tc>
        <w:tc>
          <w:tcPr>
            <w:tcW w:w="0" w:type="auto"/>
            <w:tcBorders>
              <w:bottom w:val="single" w:sz="4" w:space="0" w:color="000000"/>
            </w:tcBorders>
          </w:tcPr>
          <w:p w14:paraId="2AAB0A2B" w14:textId="77777777" w:rsidR="00CE0847" w:rsidRPr="00CE0847" w:rsidRDefault="00CE0847" w:rsidP="00B16199">
            <w:pPr>
              <w:rPr>
                <w:rFonts w:cs="Times New Roman"/>
                <w:sz w:val="16"/>
                <w:szCs w:val="16"/>
              </w:rPr>
            </w:pPr>
            <w:r w:rsidRPr="00CE0847">
              <w:rPr>
                <w:sz w:val="16"/>
                <w:szCs w:val="16"/>
              </w:rPr>
              <w:t>RLS</w:t>
            </w:r>
          </w:p>
        </w:tc>
        <w:tc>
          <w:tcPr>
            <w:tcW w:w="0" w:type="auto"/>
            <w:tcBorders>
              <w:bottom w:val="single" w:sz="4" w:space="0" w:color="000000"/>
            </w:tcBorders>
          </w:tcPr>
          <w:p w14:paraId="7EB1EB35" w14:textId="77777777" w:rsidR="00CE0847" w:rsidRPr="00CE0847" w:rsidRDefault="00CE0847" w:rsidP="00B16199">
            <w:pPr>
              <w:rPr>
                <w:rFonts w:cs="Times New Roman"/>
                <w:sz w:val="16"/>
                <w:szCs w:val="16"/>
                <w:vertAlign w:val="superscript"/>
              </w:rPr>
            </w:pPr>
            <w:r w:rsidRPr="00CE0847">
              <w:rPr>
                <w:sz w:val="16"/>
                <w:szCs w:val="16"/>
              </w:rPr>
              <w:t>0.5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A995D6C" w14:textId="77777777" w:rsidR="00CE0847" w:rsidRPr="00CE0847" w:rsidRDefault="00CE0847" w:rsidP="00B16199">
            <w:pPr>
              <w:rPr>
                <w:rFonts w:cs="Times New Roman"/>
                <w:sz w:val="16"/>
                <w:szCs w:val="16"/>
                <w:vertAlign w:val="superscript"/>
              </w:rPr>
            </w:pPr>
            <w:r w:rsidRPr="00CE0847">
              <w:rPr>
                <w:sz w:val="16"/>
                <w:szCs w:val="16"/>
              </w:rPr>
              <w:t>2.4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8A1B3CE" w14:textId="77777777" w:rsidR="00CE0847" w:rsidRPr="00CE0847" w:rsidRDefault="00CE0847" w:rsidP="00B16199">
            <w:pPr>
              <w:rPr>
                <w:rFonts w:cs="Times New Roman"/>
                <w:sz w:val="16"/>
                <w:szCs w:val="16"/>
                <w:vertAlign w:val="superscript"/>
              </w:rPr>
            </w:pPr>
            <w:r w:rsidRPr="00CE0847">
              <w:rPr>
                <w:sz w:val="16"/>
                <w:szCs w:val="16"/>
              </w:rPr>
              <w:t>1 (2.4)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E7BA8D3" w14:textId="77777777" w:rsidR="00CE0847" w:rsidRPr="00CE0847" w:rsidRDefault="00CE0847" w:rsidP="00B16199">
            <w:pPr>
              <w:rPr>
                <w:rFonts w:cs="Times New Roman"/>
                <w:sz w:val="16"/>
                <w:szCs w:val="16"/>
                <w:vertAlign w:val="superscript"/>
              </w:rPr>
            </w:pPr>
            <w:r w:rsidRPr="00CE0847">
              <w:rPr>
                <w:sz w:val="16"/>
                <w:szCs w:val="16"/>
              </w:rPr>
              <w:t>1.8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90868F6" w14:textId="77777777" w:rsidR="00CE0847" w:rsidRPr="00CE0847" w:rsidRDefault="00CE0847" w:rsidP="00B16199">
            <w:pPr>
              <w:rPr>
                <w:rFonts w:cs="Times New Roman"/>
                <w:sz w:val="16"/>
                <w:szCs w:val="16"/>
                <w:vertAlign w:val="superscript"/>
              </w:rPr>
            </w:pPr>
            <w:r w:rsidRPr="00CE0847">
              <w:rPr>
                <w:sz w:val="16"/>
                <w:szCs w:val="16"/>
              </w:rPr>
              <w:t>3.2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p>
        </w:tc>
        <w:tc>
          <w:tcPr>
            <w:tcW w:w="0" w:type="auto"/>
            <w:tcBorders>
              <w:bottom w:val="single" w:sz="4" w:space="0" w:color="000000"/>
            </w:tcBorders>
          </w:tcPr>
          <w:p w14:paraId="32AF9C0E" w14:textId="77777777" w:rsidR="00CE0847" w:rsidRPr="00CE0847" w:rsidRDefault="00CE0847" w:rsidP="00B16199">
            <w:pPr>
              <w:rPr>
                <w:sz w:val="16"/>
                <w:szCs w:val="16"/>
                <w:vertAlign w:val="superscript"/>
              </w:rPr>
            </w:pPr>
            <w:r w:rsidRPr="00CE0847">
              <w:rPr>
                <w:sz w:val="16"/>
                <w:szCs w:val="16"/>
              </w:rPr>
              <w:t>4.9 (2.6)</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196FB24D" w14:textId="77777777" w:rsidTr="00A84CFA">
        <w:trPr>
          <w:jc w:val="center"/>
        </w:trPr>
        <w:tc>
          <w:tcPr>
            <w:tcW w:w="0" w:type="auto"/>
            <w:tcBorders>
              <w:top w:val="single" w:sz="4" w:space="0" w:color="000000"/>
            </w:tcBorders>
          </w:tcPr>
          <w:p w14:paraId="7BF9CE64" w14:textId="77777777" w:rsidR="00CE0847" w:rsidRPr="00CE0847" w:rsidRDefault="00CE0847" w:rsidP="00B16199">
            <w:pPr>
              <w:rPr>
                <w:sz w:val="16"/>
                <w:szCs w:val="16"/>
              </w:rPr>
            </w:pPr>
            <w:r w:rsidRPr="00CE0847">
              <w:rPr>
                <w:sz w:val="16"/>
                <w:szCs w:val="16"/>
              </w:rPr>
              <w:t>3. Mood/</w:t>
            </w:r>
          </w:p>
        </w:tc>
        <w:tc>
          <w:tcPr>
            <w:tcW w:w="0" w:type="auto"/>
            <w:tcBorders>
              <w:top w:val="single" w:sz="4" w:space="0" w:color="000000"/>
            </w:tcBorders>
          </w:tcPr>
          <w:p w14:paraId="396FBDB3" w14:textId="77777777" w:rsidR="00CE0847" w:rsidRPr="00CE0847" w:rsidRDefault="00CE0847" w:rsidP="00B16199">
            <w:pPr>
              <w:rPr>
                <w:rFonts w:cs="Times New Roman"/>
                <w:sz w:val="16"/>
                <w:szCs w:val="16"/>
              </w:rPr>
            </w:pPr>
            <w:r w:rsidRPr="00CE0847">
              <w:rPr>
                <w:sz w:val="16"/>
                <w:szCs w:val="16"/>
              </w:rPr>
              <w:t>Loss interest</w:t>
            </w:r>
          </w:p>
        </w:tc>
        <w:tc>
          <w:tcPr>
            <w:tcW w:w="0" w:type="auto"/>
            <w:tcBorders>
              <w:top w:val="single" w:sz="4" w:space="0" w:color="000000"/>
            </w:tcBorders>
          </w:tcPr>
          <w:p w14:paraId="0ECD611C" w14:textId="77777777" w:rsidR="00CE0847" w:rsidRPr="00CE0847" w:rsidRDefault="00CE0847" w:rsidP="00B16199">
            <w:pPr>
              <w:rPr>
                <w:rFonts w:cs="Times New Roman"/>
                <w:sz w:val="16"/>
                <w:szCs w:val="16"/>
                <w:vertAlign w:val="superscript"/>
              </w:rPr>
            </w:pPr>
            <w:r w:rsidRPr="00CE0847">
              <w:rPr>
                <w:sz w:val="16"/>
                <w:szCs w:val="16"/>
              </w:rPr>
              <w:t>0.4 (0.9)</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81323EB" w14:textId="77777777" w:rsidR="00CE0847" w:rsidRPr="00CE0847" w:rsidRDefault="00CE0847" w:rsidP="00B16199">
            <w:pPr>
              <w:rPr>
                <w:rFonts w:cs="Times New Roman"/>
                <w:sz w:val="16"/>
                <w:szCs w:val="16"/>
                <w:vertAlign w:val="superscript"/>
              </w:rPr>
            </w:pPr>
            <w:r w:rsidRPr="00CE0847">
              <w:rPr>
                <w:sz w:val="16"/>
                <w:szCs w:val="16"/>
              </w:rPr>
              <w:t>1.1 (1.8)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155E9C8" w14:textId="77777777" w:rsidR="00CE0847" w:rsidRPr="00CE0847" w:rsidRDefault="00CE0847" w:rsidP="00B16199">
            <w:pPr>
              <w:rPr>
                <w:rFonts w:cs="Times New Roman"/>
                <w:sz w:val="16"/>
                <w:szCs w:val="16"/>
                <w:vertAlign w:val="superscript"/>
              </w:rPr>
            </w:pPr>
            <w:r w:rsidRPr="00CE0847">
              <w:rPr>
                <w:sz w:val="16"/>
                <w:szCs w:val="16"/>
              </w:rPr>
              <w:t>0.6 (1.3)</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7F6576E" w14:textId="77777777" w:rsidR="00CE0847" w:rsidRPr="00CE0847" w:rsidRDefault="00CE0847" w:rsidP="00B16199">
            <w:pPr>
              <w:rPr>
                <w:rFonts w:cs="Times New Roman"/>
                <w:sz w:val="16"/>
                <w:szCs w:val="16"/>
                <w:vertAlign w:val="superscript"/>
              </w:rPr>
            </w:pPr>
            <w:r w:rsidRPr="00CE0847">
              <w:rPr>
                <w:sz w:val="16"/>
                <w:szCs w:val="16"/>
              </w:rPr>
              <w:t>6.6 (3.9)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3084CC29" w14:textId="77777777" w:rsidR="00CE0847" w:rsidRPr="00CE0847" w:rsidRDefault="00CE0847" w:rsidP="00B16199">
            <w:pPr>
              <w:rPr>
                <w:rFonts w:cs="Times New Roman"/>
                <w:sz w:val="16"/>
                <w:szCs w:val="16"/>
                <w:vertAlign w:val="superscript"/>
              </w:rPr>
            </w:pPr>
            <w:r w:rsidRPr="00CE0847">
              <w:rPr>
                <w:sz w:val="16"/>
                <w:szCs w:val="16"/>
              </w:rPr>
              <w:t>4.5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71991962" w14:textId="77777777" w:rsidR="00CE0847" w:rsidRPr="00CE0847" w:rsidRDefault="00CE0847" w:rsidP="00B16199">
            <w:pPr>
              <w:rPr>
                <w:sz w:val="16"/>
                <w:szCs w:val="16"/>
                <w:vertAlign w:val="superscript"/>
              </w:rPr>
            </w:pPr>
            <w:r w:rsidRPr="00CE0847">
              <w:rPr>
                <w:sz w:val="16"/>
                <w:szCs w:val="16"/>
              </w:rPr>
              <w:t>5.3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40FCF44B" w14:textId="77777777" w:rsidTr="00A84CFA">
        <w:trPr>
          <w:jc w:val="center"/>
        </w:trPr>
        <w:tc>
          <w:tcPr>
            <w:tcW w:w="0" w:type="auto"/>
          </w:tcPr>
          <w:p w14:paraId="6D17E473" w14:textId="77777777" w:rsidR="00CE0847" w:rsidRPr="00CE0847" w:rsidRDefault="00CE0847" w:rsidP="00B16199">
            <w:pPr>
              <w:rPr>
                <w:sz w:val="16"/>
                <w:szCs w:val="16"/>
              </w:rPr>
            </w:pPr>
            <w:r w:rsidRPr="00CE0847">
              <w:rPr>
                <w:sz w:val="16"/>
                <w:szCs w:val="16"/>
              </w:rPr>
              <w:t>apathy</w:t>
            </w:r>
          </w:p>
        </w:tc>
        <w:tc>
          <w:tcPr>
            <w:tcW w:w="0" w:type="auto"/>
          </w:tcPr>
          <w:p w14:paraId="48A3FD9F" w14:textId="77777777" w:rsidR="00CE0847" w:rsidRPr="00CE0847" w:rsidRDefault="00CE0847" w:rsidP="00B16199">
            <w:pPr>
              <w:rPr>
                <w:rFonts w:cs="Times New Roman"/>
                <w:sz w:val="16"/>
                <w:szCs w:val="16"/>
              </w:rPr>
            </w:pPr>
            <w:r w:rsidRPr="00CE0847">
              <w:rPr>
                <w:sz w:val="16"/>
                <w:szCs w:val="16"/>
              </w:rPr>
              <w:t>Loss activities</w:t>
            </w:r>
          </w:p>
        </w:tc>
        <w:tc>
          <w:tcPr>
            <w:tcW w:w="0" w:type="auto"/>
          </w:tcPr>
          <w:p w14:paraId="5645A1B0" w14:textId="77777777" w:rsidR="00CE0847" w:rsidRPr="00CE0847" w:rsidRDefault="00CE0847" w:rsidP="00B16199">
            <w:pPr>
              <w:rPr>
                <w:rFonts w:cs="Times New Roman"/>
                <w:sz w:val="16"/>
                <w:szCs w:val="16"/>
                <w:vertAlign w:val="superscript"/>
              </w:rPr>
            </w:pPr>
            <w:r w:rsidRPr="00CE0847">
              <w:rPr>
                <w:sz w:val="16"/>
                <w:szCs w:val="16"/>
              </w:rPr>
              <w:t>0.6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858D07A" w14:textId="77777777" w:rsidR="00CE0847" w:rsidRPr="00CE0847" w:rsidRDefault="00CE0847" w:rsidP="00B16199">
            <w:pPr>
              <w:rPr>
                <w:rFonts w:cs="Times New Roman"/>
                <w:sz w:val="16"/>
                <w:szCs w:val="16"/>
                <w:vertAlign w:val="superscript"/>
              </w:rPr>
            </w:pPr>
            <w:r w:rsidRPr="00CE0847">
              <w:rPr>
                <w:sz w:val="16"/>
                <w:szCs w:val="16"/>
              </w:rPr>
              <w:t>1.9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242B59C" w14:textId="77777777" w:rsidR="00CE0847" w:rsidRPr="00CE0847" w:rsidRDefault="00CE0847" w:rsidP="00B16199">
            <w:pPr>
              <w:rPr>
                <w:rFonts w:cs="Times New Roman"/>
                <w:sz w:val="16"/>
                <w:szCs w:val="16"/>
                <w:vertAlign w:val="superscript"/>
              </w:rPr>
            </w:pPr>
            <w:r w:rsidRPr="00CE0847">
              <w:rPr>
                <w:sz w:val="16"/>
                <w:szCs w:val="16"/>
              </w:rPr>
              <w:t>1 (2)</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43DDA9F" w14:textId="77777777" w:rsidR="00CE0847" w:rsidRPr="00CE0847" w:rsidRDefault="00CE0847" w:rsidP="00B16199">
            <w:pPr>
              <w:rPr>
                <w:rFonts w:cs="Times New Roman"/>
                <w:sz w:val="16"/>
                <w:szCs w:val="16"/>
                <w:vertAlign w:val="superscript"/>
              </w:rPr>
            </w:pPr>
            <w:r w:rsidRPr="00CE0847">
              <w:rPr>
                <w:sz w:val="16"/>
                <w:szCs w:val="16"/>
              </w:rPr>
              <w:t>7.8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3F8BB08" w14:textId="77777777" w:rsidR="00CE0847" w:rsidRPr="00CE0847" w:rsidRDefault="00CE0847" w:rsidP="00B16199">
            <w:pPr>
              <w:rPr>
                <w:rFonts w:cs="Times New Roman"/>
                <w:sz w:val="16"/>
                <w:szCs w:val="16"/>
                <w:vertAlign w:val="superscript"/>
              </w:rPr>
            </w:pPr>
            <w:r w:rsidRPr="00CE0847">
              <w:rPr>
                <w:sz w:val="16"/>
                <w:szCs w:val="16"/>
              </w:rPr>
              <w:t>6 (4.5)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Pr>
          <w:p w14:paraId="282C27BB" w14:textId="77777777" w:rsidR="00CE0847" w:rsidRPr="00CE0847" w:rsidRDefault="00CE0847" w:rsidP="00B16199">
            <w:pPr>
              <w:rPr>
                <w:sz w:val="16"/>
                <w:szCs w:val="16"/>
                <w:vertAlign w:val="superscript"/>
              </w:rPr>
            </w:pPr>
            <w:r w:rsidRPr="00CE0847">
              <w:rPr>
                <w:sz w:val="16"/>
                <w:szCs w:val="16"/>
              </w:rPr>
              <w:t>4.7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438088BC" w14:textId="77777777" w:rsidTr="00A84CFA">
        <w:trPr>
          <w:jc w:val="center"/>
        </w:trPr>
        <w:tc>
          <w:tcPr>
            <w:tcW w:w="0" w:type="auto"/>
          </w:tcPr>
          <w:p w14:paraId="4334C666" w14:textId="77777777" w:rsidR="00CE0847" w:rsidRPr="00CE0847" w:rsidRDefault="00CE0847" w:rsidP="00B16199">
            <w:pPr>
              <w:rPr>
                <w:sz w:val="16"/>
                <w:szCs w:val="16"/>
              </w:rPr>
            </w:pPr>
          </w:p>
        </w:tc>
        <w:tc>
          <w:tcPr>
            <w:tcW w:w="0" w:type="auto"/>
          </w:tcPr>
          <w:p w14:paraId="5AAC1922" w14:textId="77777777" w:rsidR="00CE0847" w:rsidRPr="00CE0847" w:rsidRDefault="00CE0847" w:rsidP="00B16199">
            <w:pPr>
              <w:rPr>
                <w:rFonts w:cs="Times New Roman"/>
                <w:sz w:val="16"/>
                <w:szCs w:val="16"/>
              </w:rPr>
            </w:pPr>
            <w:r w:rsidRPr="00CE0847">
              <w:rPr>
                <w:sz w:val="16"/>
                <w:szCs w:val="16"/>
              </w:rPr>
              <w:t>Anxiety</w:t>
            </w:r>
          </w:p>
        </w:tc>
        <w:tc>
          <w:tcPr>
            <w:tcW w:w="0" w:type="auto"/>
          </w:tcPr>
          <w:p w14:paraId="174D24A4" w14:textId="77777777" w:rsidR="00CE0847" w:rsidRPr="00CE0847" w:rsidRDefault="00CE0847" w:rsidP="00B16199">
            <w:pPr>
              <w:rPr>
                <w:rFonts w:cs="Times New Roman"/>
                <w:sz w:val="16"/>
                <w:szCs w:val="16"/>
                <w:vertAlign w:val="superscript"/>
              </w:rPr>
            </w:pPr>
            <w:r w:rsidRPr="00CE0847">
              <w:rPr>
                <w:sz w:val="16"/>
                <w:szCs w:val="16"/>
              </w:rPr>
              <w:t>0.8 (1.6)</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058361A7" w14:textId="77777777" w:rsidR="00CE0847" w:rsidRPr="00CE0847" w:rsidRDefault="00CE0847" w:rsidP="00B16199">
            <w:pPr>
              <w:rPr>
                <w:rFonts w:cs="Times New Roman"/>
                <w:sz w:val="16"/>
                <w:szCs w:val="16"/>
                <w:vertAlign w:val="superscript"/>
              </w:rPr>
            </w:pPr>
            <w:r w:rsidRPr="00CE0847">
              <w:rPr>
                <w:sz w:val="16"/>
                <w:szCs w:val="16"/>
              </w:rPr>
              <w:t>2.2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C45EE61" w14:textId="77777777" w:rsidR="00CE0847" w:rsidRPr="00CE0847" w:rsidRDefault="00CE0847" w:rsidP="00B16199">
            <w:pPr>
              <w:rPr>
                <w:rFonts w:cs="Times New Roman"/>
                <w:sz w:val="16"/>
                <w:szCs w:val="16"/>
                <w:vertAlign w:val="superscript"/>
              </w:rPr>
            </w:pPr>
            <w:r w:rsidRPr="00CE0847">
              <w:rPr>
                <w:sz w:val="16"/>
                <w:szCs w:val="16"/>
              </w:rPr>
              <w:t>1.6 (2.9)</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1D6C73F" w14:textId="77777777" w:rsidR="00CE0847" w:rsidRPr="00CE0847" w:rsidRDefault="00CE0847" w:rsidP="00B16199">
            <w:pPr>
              <w:rPr>
                <w:rFonts w:cs="Times New Roman"/>
                <w:sz w:val="16"/>
                <w:szCs w:val="16"/>
                <w:vertAlign w:val="superscript"/>
              </w:rPr>
            </w:pPr>
            <w:r w:rsidRPr="00CE0847">
              <w:rPr>
                <w:sz w:val="16"/>
                <w:szCs w:val="16"/>
              </w:rPr>
              <w:t>5.8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67A684B7" w14:textId="77777777" w:rsidR="00CE0847" w:rsidRPr="00CE0847" w:rsidRDefault="00CE0847" w:rsidP="00B16199">
            <w:pPr>
              <w:rPr>
                <w:rFonts w:cs="Times New Roman"/>
                <w:sz w:val="16"/>
                <w:szCs w:val="16"/>
                <w:vertAlign w:val="superscript"/>
              </w:rPr>
            </w:pPr>
            <w:r w:rsidRPr="00CE0847">
              <w:rPr>
                <w:sz w:val="16"/>
                <w:szCs w:val="16"/>
              </w:rPr>
              <w:t>6.4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7A3E4F99" w14:textId="77777777" w:rsidR="00CE0847" w:rsidRPr="00CE0847" w:rsidRDefault="00CE0847" w:rsidP="00B16199">
            <w:pPr>
              <w:rPr>
                <w:sz w:val="16"/>
                <w:szCs w:val="16"/>
                <w:vertAlign w:val="superscript"/>
              </w:rPr>
            </w:pPr>
            <w:r w:rsidRPr="00CE0847">
              <w:rPr>
                <w:sz w:val="16"/>
                <w:szCs w:val="16"/>
              </w:rPr>
              <w:t>4.7 (3)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7DE595CF" w14:textId="77777777" w:rsidTr="00A84CFA">
        <w:trPr>
          <w:jc w:val="center"/>
        </w:trPr>
        <w:tc>
          <w:tcPr>
            <w:tcW w:w="0" w:type="auto"/>
          </w:tcPr>
          <w:p w14:paraId="350A5A5B" w14:textId="77777777" w:rsidR="00CE0847" w:rsidRPr="00CE0847" w:rsidRDefault="00CE0847" w:rsidP="00B16199">
            <w:pPr>
              <w:rPr>
                <w:sz w:val="16"/>
                <w:szCs w:val="16"/>
              </w:rPr>
            </w:pPr>
          </w:p>
        </w:tc>
        <w:tc>
          <w:tcPr>
            <w:tcW w:w="0" w:type="auto"/>
          </w:tcPr>
          <w:p w14:paraId="69392887" w14:textId="77777777" w:rsidR="00CE0847" w:rsidRPr="00CE0847" w:rsidRDefault="00CE0847" w:rsidP="00B16199">
            <w:pPr>
              <w:rPr>
                <w:rFonts w:cs="Times New Roman"/>
                <w:sz w:val="16"/>
                <w:szCs w:val="16"/>
              </w:rPr>
            </w:pPr>
            <w:r w:rsidRPr="00CE0847">
              <w:rPr>
                <w:sz w:val="16"/>
                <w:szCs w:val="16"/>
              </w:rPr>
              <w:t>Depression</w:t>
            </w:r>
          </w:p>
        </w:tc>
        <w:tc>
          <w:tcPr>
            <w:tcW w:w="0" w:type="auto"/>
          </w:tcPr>
          <w:p w14:paraId="50D4AA38" w14:textId="77777777" w:rsidR="00CE0847" w:rsidRPr="00CE0847" w:rsidRDefault="00CE0847" w:rsidP="00B16199">
            <w:pPr>
              <w:rPr>
                <w:rFonts w:cs="Times New Roman"/>
                <w:sz w:val="16"/>
                <w:szCs w:val="16"/>
                <w:vertAlign w:val="superscript"/>
              </w:rPr>
            </w:pPr>
            <w:r w:rsidRPr="00CE0847">
              <w:rPr>
                <w:sz w:val="16"/>
                <w:szCs w:val="16"/>
              </w:rPr>
              <w:t>0.7 (1.4)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099304C2" w14:textId="77777777" w:rsidR="00CE0847" w:rsidRPr="00CE0847" w:rsidRDefault="00CE0847" w:rsidP="00B16199">
            <w:pPr>
              <w:rPr>
                <w:rFonts w:cs="Times New Roman"/>
                <w:sz w:val="16"/>
                <w:szCs w:val="16"/>
                <w:vertAlign w:val="superscript"/>
              </w:rPr>
            </w:pPr>
            <w:r w:rsidRPr="00CE0847">
              <w:rPr>
                <w:sz w:val="16"/>
                <w:szCs w:val="16"/>
              </w:rPr>
              <w:t>2.7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82A34DB" w14:textId="77777777" w:rsidR="00CE0847" w:rsidRPr="00CE0847" w:rsidRDefault="00CE0847" w:rsidP="00B16199">
            <w:pPr>
              <w:rPr>
                <w:rFonts w:cs="Times New Roman"/>
                <w:sz w:val="16"/>
                <w:szCs w:val="16"/>
                <w:vertAlign w:val="superscript"/>
              </w:rPr>
            </w:pPr>
            <w:r w:rsidRPr="00CE0847">
              <w:rPr>
                <w:sz w:val="16"/>
                <w:szCs w:val="16"/>
              </w:rPr>
              <w:t>1.4 (2.3)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63AA01C" w14:textId="77777777" w:rsidR="00CE0847" w:rsidRPr="00CE0847" w:rsidRDefault="00CE0847" w:rsidP="00B16199">
            <w:pPr>
              <w:rPr>
                <w:rFonts w:cs="Times New Roman"/>
                <w:sz w:val="16"/>
                <w:szCs w:val="16"/>
                <w:vertAlign w:val="superscript"/>
              </w:rPr>
            </w:pPr>
            <w:r w:rsidRPr="00CE0847">
              <w:rPr>
                <w:sz w:val="16"/>
                <w:szCs w:val="16"/>
              </w:rPr>
              <w:t>7.4 (4)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021D10E4" w14:textId="77777777" w:rsidR="00CE0847" w:rsidRPr="00CE0847" w:rsidRDefault="00CE0847" w:rsidP="00B16199">
            <w:pPr>
              <w:rPr>
                <w:rFonts w:cs="Times New Roman"/>
                <w:sz w:val="16"/>
                <w:szCs w:val="16"/>
                <w:vertAlign w:val="superscript"/>
              </w:rPr>
            </w:pPr>
            <w:r w:rsidRPr="00CE0847">
              <w:rPr>
                <w:sz w:val="16"/>
                <w:szCs w:val="16"/>
              </w:rPr>
              <w:t>5.8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301DAF94" w14:textId="77777777" w:rsidR="00CE0847" w:rsidRPr="00CE0847" w:rsidRDefault="00CE0847" w:rsidP="00B16199">
            <w:pPr>
              <w:rPr>
                <w:sz w:val="16"/>
                <w:szCs w:val="16"/>
                <w:vertAlign w:val="superscript"/>
              </w:rPr>
            </w:pPr>
            <w:r w:rsidRPr="00CE0847">
              <w:rPr>
                <w:sz w:val="16"/>
                <w:szCs w:val="16"/>
              </w:rPr>
              <w:t>5.3 (3.2)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1D8B9CD1" w14:textId="77777777" w:rsidTr="00A84CFA">
        <w:trPr>
          <w:jc w:val="center"/>
        </w:trPr>
        <w:tc>
          <w:tcPr>
            <w:tcW w:w="0" w:type="auto"/>
          </w:tcPr>
          <w:p w14:paraId="6BB11D42" w14:textId="77777777" w:rsidR="00CE0847" w:rsidRPr="00CE0847" w:rsidRDefault="00CE0847" w:rsidP="00B16199">
            <w:pPr>
              <w:rPr>
                <w:sz w:val="16"/>
                <w:szCs w:val="16"/>
              </w:rPr>
            </w:pPr>
          </w:p>
        </w:tc>
        <w:tc>
          <w:tcPr>
            <w:tcW w:w="0" w:type="auto"/>
          </w:tcPr>
          <w:p w14:paraId="04BC5EF2" w14:textId="77777777" w:rsidR="00CE0847" w:rsidRPr="00CE0847" w:rsidRDefault="00CE0847" w:rsidP="00B16199">
            <w:pPr>
              <w:rPr>
                <w:rFonts w:cs="Times New Roman"/>
                <w:sz w:val="16"/>
                <w:szCs w:val="16"/>
              </w:rPr>
            </w:pPr>
            <w:r w:rsidRPr="00CE0847">
              <w:rPr>
                <w:sz w:val="16"/>
                <w:szCs w:val="16"/>
              </w:rPr>
              <w:t>Flat affect</w:t>
            </w:r>
          </w:p>
        </w:tc>
        <w:tc>
          <w:tcPr>
            <w:tcW w:w="0" w:type="auto"/>
          </w:tcPr>
          <w:p w14:paraId="49932808" w14:textId="77777777" w:rsidR="00CE0847" w:rsidRPr="00CE0847" w:rsidRDefault="00CE0847" w:rsidP="00B16199">
            <w:pPr>
              <w:rPr>
                <w:rFonts w:cs="Times New Roman"/>
                <w:sz w:val="16"/>
                <w:szCs w:val="16"/>
                <w:vertAlign w:val="superscript"/>
              </w:rPr>
            </w:pPr>
            <w:r w:rsidRPr="00CE0847">
              <w:rPr>
                <w:sz w:val="16"/>
                <w:szCs w:val="16"/>
              </w:rPr>
              <w:t>0.3 (1)</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D7384A3" w14:textId="77777777" w:rsidR="00CE0847" w:rsidRPr="00CE0847" w:rsidRDefault="00CE0847" w:rsidP="00B16199">
            <w:pPr>
              <w:rPr>
                <w:rFonts w:cs="Times New Roman"/>
                <w:sz w:val="16"/>
                <w:szCs w:val="16"/>
                <w:vertAlign w:val="superscript"/>
              </w:rPr>
            </w:pPr>
            <w:r w:rsidRPr="00CE0847">
              <w:rPr>
                <w:sz w:val="16"/>
                <w:szCs w:val="16"/>
              </w:rPr>
              <w:t>1.1 (2.1)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c>
          <w:tcPr>
            <w:tcW w:w="0" w:type="auto"/>
          </w:tcPr>
          <w:p w14:paraId="43B430DD" w14:textId="77777777" w:rsidR="00CE0847" w:rsidRPr="00CE0847" w:rsidRDefault="00CE0847" w:rsidP="00B16199">
            <w:pPr>
              <w:rPr>
                <w:rFonts w:cs="Times New Roman"/>
                <w:sz w:val="16"/>
                <w:szCs w:val="16"/>
                <w:vertAlign w:val="superscript"/>
              </w:rPr>
            </w:pPr>
            <w:r w:rsidRPr="00CE0847">
              <w:rPr>
                <w:sz w:val="16"/>
                <w:szCs w:val="16"/>
              </w:rPr>
              <w:t>0.8 (2.1)</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2C36B58" w14:textId="77777777" w:rsidR="00CE0847" w:rsidRPr="00CE0847" w:rsidRDefault="00CE0847" w:rsidP="00B16199">
            <w:pPr>
              <w:rPr>
                <w:rFonts w:cs="Times New Roman"/>
                <w:sz w:val="16"/>
                <w:szCs w:val="16"/>
                <w:vertAlign w:val="superscript"/>
              </w:rPr>
            </w:pPr>
            <w:r w:rsidRPr="00CE0847">
              <w:rPr>
                <w:sz w:val="16"/>
                <w:szCs w:val="16"/>
              </w:rPr>
              <w:t>4.8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Pr>
          <w:p w14:paraId="4DF9FFBC" w14:textId="77777777" w:rsidR="00CE0847" w:rsidRPr="00CE0847" w:rsidRDefault="00CE0847" w:rsidP="00B16199">
            <w:pPr>
              <w:rPr>
                <w:rFonts w:cs="Times New Roman"/>
                <w:sz w:val="16"/>
                <w:szCs w:val="16"/>
                <w:vertAlign w:val="superscript"/>
              </w:rPr>
            </w:pPr>
            <w:r w:rsidRPr="00CE0847">
              <w:rPr>
                <w:sz w:val="16"/>
                <w:szCs w:val="16"/>
              </w:rPr>
              <w:t>2.9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Pr>
          <w:p w14:paraId="0AD4B760" w14:textId="77777777" w:rsidR="00CE0847" w:rsidRPr="00CE0847" w:rsidRDefault="00CE0847" w:rsidP="00B16199">
            <w:pPr>
              <w:rPr>
                <w:sz w:val="16"/>
                <w:szCs w:val="16"/>
                <w:vertAlign w:val="superscript"/>
              </w:rPr>
            </w:pPr>
            <w:r w:rsidRPr="00CE0847">
              <w:rPr>
                <w:sz w:val="16"/>
                <w:szCs w:val="16"/>
              </w:rPr>
              <w:t>3 (2.1)</w:t>
            </w:r>
            <w:r w:rsidRPr="00CE0847">
              <w:rPr>
                <w:sz w:val="16"/>
                <w:szCs w:val="16"/>
                <w:vertAlign w:val="superscript"/>
              </w:rPr>
              <w:t>1</w:t>
            </w:r>
            <w:r w:rsidR="004B357D">
              <w:rPr>
                <w:sz w:val="16"/>
                <w:szCs w:val="16"/>
                <w:vertAlign w:val="superscript"/>
              </w:rPr>
              <w:t>,</w:t>
            </w:r>
            <w:r w:rsidRPr="00CE0847">
              <w:rPr>
                <w:sz w:val="16"/>
                <w:szCs w:val="16"/>
                <w:vertAlign w:val="superscript"/>
              </w:rPr>
              <w:t>3</w:t>
            </w:r>
          </w:p>
        </w:tc>
      </w:tr>
      <w:tr w:rsidR="00CE0847" w:rsidRPr="00CE0847" w14:paraId="344CF25C" w14:textId="77777777" w:rsidTr="00A84CFA">
        <w:trPr>
          <w:jc w:val="center"/>
        </w:trPr>
        <w:tc>
          <w:tcPr>
            <w:tcW w:w="0" w:type="auto"/>
            <w:tcBorders>
              <w:bottom w:val="single" w:sz="4" w:space="0" w:color="000000"/>
            </w:tcBorders>
          </w:tcPr>
          <w:p w14:paraId="100BC795" w14:textId="77777777" w:rsidR="00CE0847" w:rsidRPr="00CE0847" w:rsidRDefault="00CE0847" w:rsidP="00B16199">
            <w:pPr>
              <w:rPr>
                <w:sz w:val="16"/>
                <w:szCs w:val="16"/>
              </w:rPr>
            </w:pPr>
          </w:p>
        </w:tc>
        <w:tc>
          <w:tcPr>
            <w:tcW w:w="0" w:type="auto"/>
            <w:tcBorders>
              <w:bottom w:val="single" w:sz="4" w:space="0" w:color="000000"/>
            </w:tcBorders>
          </w:tcPr>
          <w:p w14:paraId="2EF467D0" w14:textId="77777777" w:rsidR="00CE0847" w:rsidRPr="00CE0847" w:rsidRDefault="00CE0847" w:rsidP="00B16199">
            <w:pPr>
              <w:rPr>
                <w:rFonts w:cs="Times New Roman"/>
                <w:sz w:val="16"/>
                <w:szCs w:val="16"/>
              </w:rPr>
            </w:pPr>
            <w:r w:rsidRPr="00CE0847">
              <w:rPr>
                <w:sz w:val="16"/>
                <w:szCs w:val="16"/>
              </w:rPr>
              <w:t>Loss pleasure</w:t>
            </w:r>
          </w:p>
        </w:tc>
        <w:tc>
          <w:tcPr>
            <w:tcW w:w="0" w:type="auto"/>
            <w:tcBorders>
              <w:bottom w:val="single" w:sz="4" w:space="0" w:color="000000"/>
            </w:tcBorders>
          </w:tcPr>
          <w:p w14:paraId="713F5161" w14:textId="77777777" w:rsidR="00CE0847" w:rsidRPr="00CE0847" w:rsidRDefault="00CE0847" w:rsidP="00B16199">
            <w:pPr>
              <w:rPr>
                <w:rFonts w:cs="Times New Roman"/>
                <w:sz w:val="16"/>
                <w:szCs w:val="16"/>
                <w:vertAlign w:val="superscript"/>
              </w:rPr>
            </w:pPr>
            <w:r w:rsidRPr="00CE0847">
              <w:rPr>
                <w:sz w:val="16"/>
                <w:szCs w:val="16"/>
              </w:rPr>
              <w:t>0.3 (1.1)</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521E6A2" w14:textId="77777777" w:rsidR="00CE0847" w:rsidRPr="00CE0847" w:rsidRDefault="00CE0847" w:rsidP="00B16199">
            <w:pPr>
              <w:rPr>
                <w:rFonts w:cs="Times New Roman"/>
                <w:sz w:val="16"/>
                <w:szCs w:val="16"/>
                <w:vertAlign w:val="superscript"/>
              </w:rPr>
            </w:pPr>
            <w:r w:rsidRPr="00CE0847">
              <w:rPr>
                <w:sz w:val="16"/>
                <w:szCs w:val="16"/>
              </w:rPr>
              <w:t>1 (1.8)</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0999A03" w14:textId="77777777" w:rsidR="00CE0847" w:rsidRPr="00CE0847" w:rsidRDefault="00CE0847" w:rsidP="00B16199">
            <w:pPr>
              <w:rPr>
                <w:rFonts w:cs="Times New Roman"/>
                <w:sz w:val="16"/>
                <w:szCs w:val="16"/>
                <w:vertAlign w:val="superscript"/>
              </w:rPr>
            </w:pPr>
            <w:r w:rsidRPr="00CE0847">
              <w:rPr>
                <w:sz w:val="16"/>
                <w:szCs w:val="16"/>
              </w:rPr>
              <w:t>0.8 (1.8)</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FB631AB" w14:textId="77777777" w:rsidR="00CE0847" w:rsidRPr="00CE0847" w:rsidRDefault="00CE0847" w:rsidP="00B16199">
            <w:pPr>
              <w:rPr>
                <w:rFonts w:cs="Times New Roman"/>
                <w:sz w:val="16"/>
                <w:szCs w:val="16"/>
                <w:vertAlign w:val="superscript"/>
              </w:rPr>
            </w:pPr>
            <w:r w:rsidRPr="00CE0847">
              <w:rPr>
                <w:sz w:val="16"/>
                <w:szCs w:val="16"/>
              </w:rPr>
              <w:t>7.3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B9C3906" w14:textId="77777777" w:rsidR="00CE0847" w:rsidRPr="00CE0847" w:rsidRDefault="00CE0847" w:rsidP="00B16199">
            <w:pPr>
              <w:rPr>
                <w:rFonts w:cs="Times New Roman"/>
                <w:sz w:val="16"/>
                <w:szCs w:val="16"/>
                <w:vertAlign w:val="superscript"/>
              </w:rPr>
            </w:pPr>
            <w:r w:rsidRPr="00CE0847">
              <w:rPr>
                <w:sz w:val="16"/>
                <w:szCs w:val="16"/>
              </w:rPr>
              <w:t>4.6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43447518" w14:textId="77777777" w:rsidR="00CE0847" w:rsidRPr="00CE0847" w:rsidRDefault="00CE0847" w:rsidP="00B16199">
            <w:pPr>
              <w:rPr>
                <w:sz w:val="16"/>
                <w:szCs w:val="16"/>
                <w:vertAlign w:val="superscript"/>
              </w:rPr>
            </w:pPr>
            <w:r w:rsidRPr="00CE0847">
              <w:rPr>
                <w:sz w:val="16"/>
                <w:szCs w:val="16"/>
              </w:rPr>
              <w:t>3.6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432EE026" w14:textId="77777777" w:rsidTr="00A84CFA">
        <w:trPr>
          <w:jc w:val="center"/>
        </w:trPr>
        <w:tc>
          <w:tcPr>
            <w:tcW w:w="0" w:type="auto"/>
            <w:tcBorders>
              <w:top w:val="single" w:sz="4" w:space="0" w:color="000000"/>
            </w:tcBorders>
          </w:tcPr>
          <w:p w14:paraId="06FA88B2" w14:textId="77777777" w:rsidR="00CE0847" w:rsidRPr="00CE0847" w:rsidRDefault="00CE0847" w:rsidP="00B16199">
            <w:pPr>
              <w:rPr>
                <w:sz w:val="16"/>
                <w:szCs w:val="16"/>
              </w:rPr>
            </w:pPr>
            <w:r w:rsidRPr="00CE0847">
              <w:rPr>
                <w:sz w:val="16"/>
                <w:szCs w:val="16"/>
              </w:rPr>
              <w:t>4. Perception/</w:t>
            </w:r>
          </w:p>
        </w:tc>
        <w:tc>
          <w:tcPr>
            <w:tcW w:w="0" w:type="auto"/>
            <w:tcBorders>
              <w:top w:val="single" w:sz="4" w:space="0" w:color="000000"/>
            </w:tcBorders>
          </w:tcPr>
          <w:p w14:paraId="545ABCE6" w14:textId="77777777" w:rsidR="00CE0847" w:rsidRPr="00CE0847" w:rsidRDefault="00CE0847" w:rsidP="00B16199">
            <w:pPr>
              <w:rPr>
                <w:rFonts w:cs="Times New Roman"/>
                <w:sz w:val="16"/>
                <w:szCs w:val="16"/>
              </w:rPr>
            </w:pPr>
            <w:r w:rsidRPr="00CE0847">
              <w:rPr>
                <w:sz w:val="16"/>
                <w:szCs w:val="16"/>
              </w:rPr>
              <w:t>Hallucination</w:t>
            </w:r>
          </w:p>
        </w:tc>
        <w:tc>
          <w:tcPr>
            <w:tcW w:w="0" w:type="auto"/>
            <w:tcBorders>
              <w:top w:val="single" w:sz="4" w:space="0" w:color="000000"/>
            </w:tcBorders>
          </w:tcPr>
          <w:p w14:paraId="380DB226" w14:textId="77777777" w:rsidR="00CE0847" w:rsidRPr="00CE0847" w:rsidRDefault="00CE0847" w:rsidP="00B16199">
            <w:pPr>
              <w:rPr>
                <w:rFonts w:cs="Times New Roman"/>
                <w:sz w:val="16"/>
                <w:szCs w:val="16"/>
                <w:vertAlign w:val="superscript"/>
              </w:rPr>
            </w:pPr>
            <w:r w:rsidRPr="00CE0847">
              <w:rPr>
                <w:sz w:val="16"/>
                <w:szCs w:val="16"/>
              </w:rPr>
              <w:t>0.2 (0.9)</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078398B" w14:textId="77777777" w:rsidR="00CE0847" w:rsidRPr="00CE0847" w:rsidRDefault="00CE0847" w:rsidP="00B16199">
            <w:pPr>
              <w:rPr>
                <w:rFonts w:cs="Times New Roman"/>
                <w:sz w:val="16"/>
                <w:szCs w:val="16"/>
                <w:vertAlign w:val="superscript"/>
              </w:rPr>
            </w:pPr>
            <w:r w:rsidRPr="00CE0847">
              <w:rPr>
                <w:sz w:val="16"/>
                <w:szCs w:val="16"/>
              </w:rPr>
              <w:t>0.6 (1.7)</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F4445E4" w14:textId="77777777" w:rsidR="00CE0847" w:rsidRPr="00CE0847" w:rsidRDefault="00CE0847" w:rsidP="00B16199">
            <w:pPr>
              <w:rPr>
                <w:rFonts w:cs="Times New Roman"/>
                <w:sz w:val="16"/>
                <w:szCs w:val="16"/>
                <w:vertAlign w:val="superscript"/>
              </w:rPr>
            </w:pPr>
            <w:r w:rsidRPr="00CE0847">
              <w:rPr>
                <w:sz w:val="16"/>
                <w:szCs w:val="16"/>
              </w:rPr>
              <w:t>0.7 (1.9)</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939FEBE" w14:textId="77777777" w:rsidR="00CE0847" w:rsidRPr="00CE0847" w:rsidRDefault="00CE0847" w:rsidP="00B16199">
            <w:pPr>
              <w:rPr>
                <w:rFonts w:cs="Times New Roman"/>
                <w:sz w:val="16"/>
                <w:szCs w:val="16"/>
                <w:vertAlign w:val="superscript"/>
              </w:rPr>
            </w:pPr>
            <w:r w:rsidRPr="00CE0847">
              <w:rPr>
                <w:sz w:val="16"/>
                <w:szCs w:val="16"/>
              </w:rPr>
              <w:t>0.6 (1.8)</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0EE85DE" w14:textId="77777777" w:rsidR="00CE0847" w:rsidRPr="00CE0847" w:rsidRDefault="00CE0847" w:rsidP="00B16199">
            <w:pPr>
              <w:rPr>
                <w:rFonts w:cs="Times New Roman"/>
                <w:sz w:val="16"/>
                <w:szCs w:val="16"/>
                <w:vertAlign w:val="superscript"/>
              </w:rPr>
            </w:pPr>
            <w:r w:rsidRPr="00CE0847">
              <w:rPr>
                <w:sz w:val="16"/>
                <w:szCs w:val="16"/>
              </w:rPr>
              <w:t>2.7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99278BE" w14:textId="77777777" w:rsidR="00CE0847" w:rsidRPr="00CE0847" w:rsidRDefault="00CE0847" w:rsidP="00B16199">
            <w:pPr>
              <w:rPr>
                <w:sz w:val="16"/>
                <w:szCs w:val="16"/>
                <w:vertAlign w:val="superscript"/>
              </w:rPr>
            </w:pPr>
            <w:r w:rsidRPr="00CE0847">
              <w:rPr>
                <w:sz w:val="16"/>
                <w:szCs w:val="16"/>
              </w:rPr>
              <w:t>4.8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81B82E9" w14:textId="77777777" w:rsidTr="00A84CFA">
        <w:trPr>
          <w:jc w:val="center"/>
        </w:trPr>
        <w:tc>
          <w:tcPr>
            <w:tcW w:w="0" w:type="auto"/>
          </w:tcPr>
          <w:p w14:paraId="7859E473" w14:textId="77777777" w:rsidR="00CE0847" w:rsidRPr="00CE0847" w:rsidRDefault="00CE0847" w:rsidP="00B16199">
            <w:pPr>
              <w:rPr>
                <w:sz w:val="16"/>
                <w:szCs w:val="16"/>
              </w:rPr>
            </w:pPr>
            <w:r w:rsidRPr="00CE0847">
              <w:rPr>
                <w:sz w:val="16"/>
                <w:szCs w:val="16"/>
              </w:rPr>
              <w:t>hallucination</w:t>
            </w:r>
          </w:p>
        </w:tc>
        <w:tc>
          <w:tcPr>
            <w:tcW w:w="0" w:type="auto"/>
          </w:tcPr>
          <w:p w14:paraId="2B9DF708" w14:textId="77777777" w:rsidR="00CE0847" w:rsidRPr="00CE0847" w:rsidRDefault="00CE0847" w:rsidP="00B16199">
            <w:pPr>
              <w:rPr>
                <w:rFonts w:cs="Times New Roman"/>
                <w:sz w:val="16"/>
                <w:szCs w:val="16"/>
              </w:rPr>
            </w:pPr>
            <w:r w:rsidRPr="00CE0847">
              <w:rPr>
                <w:sz w:val="16"/>
                <w:szCs w:val="16"/>
              </w:rPr>
              <w:t>Delusion</w:t>
            </w:r>
          </w:p>
        </w:tc>
        <w:tc>
          <w:tcPr>
            <w:tcW w:w="0" w:type="auto"/>
          </w:tcPr>
          <w:p w14:paraId="661AAD12" w14:textId="77777777" w:rsidR="00CE0847" w:rsidRPr="00CE0847" w:rsidRDefault="00CE0847" w:rsidP="00B16199">
            <w:pPr>
              <w:rPr>
                <w:rFonts w:cs="Times New Roman"/>
                <w:sz w:val="16"/>
                <w:szCs w:val="16"/>
                <w:vertAlign w:val="superscript"/>
              </w:rPr>
            </w:pPr>
            <w:r w:rsidRPr="00CE0847">
              <w:rPr>
                <w:sz w:val="16"/>
                <w:szCs w:val="16"/>
              </w:rPr>
              <w:t>0.1 (0.6)</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86E6A1A" w14:textId="77777777" w:rsidR="00CE0847" w:rsidRPr="00CE0847" w:rsidRDefault="00CE0847" w:rsidP="00B16199">
            <w:pPr>
              <w:rPr>
                <w:rFonts w:cs="Times New Roman"/>
                <w:sz w:val="16"/>
                <w:szCs w:val="16"/>
                <w:vertAlign w:val="superscript"/>
              </w:rPr>
            </w:pPr>
            <w:r w:rsidRPr="00CE0847">
              <w:rPr>
                <w:sz w:val="16"/>
                <w:szCs w:val="16"/>
              </w:rPr>
              <w:t>0.3 (1.4)</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EE923C4" w14:textId="77777777" w:rsidR="00CE0847" w:rsidRPr="00CE0847" w:rsidRDefault="00CE0847" w:rsidP="00B16199">
            <w:pPr>
              <w:rPr>
                <w:rFonts w:cs="Times New Roman"/>
                <w:sz w:val="16"/>
                <w:szCs w:val="16"/>
                <w:vertAlign w:val="superscript"/>
              </w:rPr>
            </w:pPr>
            <w:r w:rsidRPr="00CE0847">
              <w:rPr>
                <w:sz w:val="16"/>
                <w:szCs w:val="16"/>
              </w:rPr>
              <w:t>0.1 (0.6)</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410DD225" w14:textId="77777777" w:rsidR="00CE0847" w:rsidRPr="00CE0847" w:rsidRDefault="00CE0847" w:rsidP="00B16199">
            <w:pPr>
              <w:rPr>
                <w:rFonts w:cs="Times New Roman"/>
                <w:sz w:val="16"/>
                <w:szCs w:val="16"/>
                <w:vertAlign w:val="superscript"/>
              </w:rPr>
            </w:pPr>
            <w:r w:rsidRPr="00CE0847">
              <w:rPr>
                <w:sz w:val="16"/>
                <w:szCs w:val="16"/>
              </w:rPr>
              <w:t>1.3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Pr>
          <w:p w14:paraId="4A43BB45" w14:textId="77777777" w:rsidR="00CE0847" w:rsidRPr="00CE0847" w:rsidRDefault="00CE0847" w:rsidP="00B16199">
            <w:pPr>
              <w:rPr>
                <w:rFonts w:cs="Times New Roman"/>
                <w:sz w:val="16"/>
                <w:szCs w:val="16"/>
                <w:vertAlign w:val="superscript"/>
              </w:rPr>
            </w:pPr>
            <w:r w:rsidRPr="00CE0847">
              <w:rPr>
                <w:sz w:val="16"/>
                <w:szCs w:val="16"/>
              </w:rPr>
              <w:t>2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6</w:t>
            </w:r>
          </w:p>
        </w:tc>
        <w:tc>
          <w:tcPr>
            <w:tcW w:w="0" w:type="auto"/>
          </w:tcPr>
          <w:p w14:paraId="23741A23" w14:textId="77777777" w:rsidR="00CE0847" w:rsidRPr="00CE0847" w:rsidRDefault="00CE0847" w:rsidP="00B16199">
            <w:pPr>
              <w:rPr>
                <w:sz w:val="16"/>
                <w:szCs w:val="16"/>
                <w:vertAlign w:val="superscript"/>
              </w:rPr>
            </w:pPr>
            <w:r w:rsidRPr="00CE0847">
              <w:rPr>
                <w:sz w:val="16"/>
                <w:szCs w:val="16"/>
              </w:rPr>
              <w:t>4.7 (3.4)</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384C1093" w14:textId="77777777" w:rsidTr="00A84CFA">
        <w:trPr>
          <w:jc w:val="center"/>
        </w:trPr>
        <w:tc>
          <w:tcPr>
            <w:tcW w:w="0" w:type="auto"/>
            <w:tcBorders>
              <w:bottom w:val="single" w:sz="4" w:space="0" w:color="000000"/>
            </w:tcBorders>
          </w:tcPr>
          <w:p w14:paraId="127A0874" w14:textId="77777777" w:rsidR="00CE0847" w:rsidRPr="00CE0847" w:rsidRDefault="00CE0847" w:rsidP="00B16199">
            <w:pPr>
              <w:rPr>
                <w:sz w:val="16"/>
                <w:szCs w:val="16"/>
              </w:rPr>
            </w:pPr>
          </w:p>
        </w:tc>
        <w:tc>
          <w:tcPr>
            <w:tcW w:w="0" w:type="auto"/>
            <w:tcBorders>
              <w:bottom w:val="single" w:sz="4" w:space="0" w:color="000000"/>
            </w:tcBorders>
          </w:tcPr>
          <w:p w14:paraId="6EA2FB84" w14:textId="77777777" w:rsidR="00CE0847" w:rsidRPr="00CE0847" w:rsidRDefault="00CE0847" w:rsidP="00B16199">
            <w:pPr>
              <w:rPr>
                <w:rFonts w:cs="Times New Roman"/>
                <w:sz w:val="16"/>
                <w:szCs w:val="16"/>
              </w:rPr>
            </w:pPr>
            <w:r w:rsidRPr="00CE0847">
              <w:rPr>
                <w:sz w:val="16"/>
                <w:szCs w:val="16"/>
              </w:rPr>
              <w:t>Diplopia</w:t>
            </w:r>
          </w:p>
        </w:tc>
        <w:tc>
          <w:tcPr>
            <w:tcW w:w="0" w:type="auto"/>
            <w:tcBorders>
              <w:bottom w:val="single" w:sz="4" w:space="0" w:color="000000"/>
            </w:tcBorders>
          </w:tcPr>
          <w:p w14:paraId="7D97EBB0" w14:textId="77777777" w:rsidR="00CE0847" w:rsidRPr="00CE0847" w:rsidRDefault="00CE0847" w:rsidP="00B16199">
            <w:pPr>
              <w:rPr>
                <w:rFonts w:cs="Times New Roman"/>
                <w:sz w:val="16"/>
                <w:szCs w:val="16"/>
                <w:vertAlign w:val="superscript"/>
              </w:rPr>
            </w:pPr>
            <w:r w:rsidRPr="00CE0847">
              <w:rPr>
                <w:sz w:val="16"/>
                <w:szCs w:val="16"/>
              </w:rPr>
              <w:t>0.2 (0.8)</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839BF24" w14:textId="77777777" w:rsidR="00CE0847" w:rsidRPr="00CE0847" w:rsidRDefault="00CE0847" w:rsidP="00B16199">
            <w:pPr>
              <w:rPr>
                <w:rFonts w:cs="Times New Roman"/>
                <w:sz w:val="16"/>
                <w:szCs w:val="16"/>
                <w:vertAlign w:val="superscript"/>
              </w:rPr>
            </w:pPr>
            <w:r w:rsidRPr="00CE0847">
              <w:rPr>
                <w:sz w:val="16"/>
                <w:szCs w:val="16"/>
              </w:rPr>
              <w:t>0.6 (1.4)</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A6699D3" w14:textId="77777777" w:rsidR="00CE0847" w:rsidRPr="00CE0847" w:rsidRDefault="00CE0847" w:rsidP="00B16199">
            <w:pPr>
              <w:rPr>
                <w:rFonts w:cs="Times New Roman"/>
                <w:sz w:val="16"/>
                <w:szCs w:val="16"/>
                <w:vertAlign w:val="superscript"/>
              </w:rPr>
            </w:pPr>
            <w:r w:rsidRPr="00CE0847">
              <w:rPr>
                <w:sz w:val="16"/>
                <w:szCs w:val="16"/>
              </w:rPr>
              <w:t>0.4 (1.6)</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D281402" w14:textId="77777777" w:rsidR="00CE0847" w:rsidRPr="00CE0847" w:rsidRDefault="00CE0847" w:rsidP="00B16199">
            <w:pPr>
              <w:rPr>
                <w:rFonts w:cs="Times New Roman"/>
                <w:sz w:val="16"/>
                <w:szCs w:val="16"/>
                <w:vertAlign w:val="superscript"/>
              </w:rPr>
            </w:pPr>
            <w:r w:rsidRPr="00CE0847">
              <w:rPr>
                <w:sz w:val="16"/>
                <w:szCs w:val="16"/>
              </w:rPr>
              <w:t>0.8 (2.2)</w:t>
            </w:r>
            <w:r w:rsidR="006F6430"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5948133" w14:textId="77777777" w:rsidR="00CE0847" w:rsidRPr="00CE0847" w:rsidRDefault="00CE0847" w:rsidP="00B16199">
            <w:pPr>
              <w:rPr>
                <w:rFonts w:cs="Times New Roman"/>
                <w:sz w:val="16"/>
                <w:szCs w:val="16"/>
                <w:vertAlign w:val="superscript"/>
              </w:rPr>
            </w:pPr>
            <w:r w:rsidRPr="00CE0847">
              <w:rPr>
                <w:sz w:val="16"/>
                <w:szCs w:val="16"/>
              </w:rPr>
              <w:t>3.1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2D2D275E" w14:textId="77777777" w:rsidR="00CE0847" w:rsidRPr="00CE0847" w:rsidRDefault="00CE0847" w:rsidP="00B16199">
            <w:pPr>
              <w:rPr>
                <w:sz w:val="16"/>
                <w:szCs w:val="16"/>
                <w:vertAlign w:val="superscript"/>
              </w:rPr>
            </w:pPr>
            <w:r w:rsidRPr="00CE0847">
              <w:rPr>
                <w:sz w:val="16"/>
                <w:szCs w:val="16"/>
              </w:rPr>
              <w:t>3.6 (2.7)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66FAF709" w14:textId="77777777" w:rsidTr="00A84CFA">
        <w:trPr>
          <w:jc w:val="center"/>
        </w:trPr>
        <w:tc>
          <w:tcPr>
            <w:tcW w:w="0" w:type="auto"/>
            <w:tcBorders>
              <w:top w:val="single" w:sz="4" w:space="0" w:color="000000"/>
            </w:tcBorders>
          </w:tcPr>
          <w:p w14:paraId="59249F8F" w14:textId="77777777" w:rsidR="00CE0847" w:rsidRPr="00CE0847" w:rsidRDefault="00CE0847" w:rsidP="00B16199">
            <w:pPr>
              <w:rPr>
                <w:sz w:val="16"/>
                <w:szCs w:val="16"/>
              </w:rPr>
            </w:pPr>
            <w:r w:rsidRPr="00CE0847">
              <w:rPr>
                <w:sz w:val="16"/>
                <w:szCs w:val="16"/>
              </w:rPr>
              <w:t>5. Attention/</w:t>
            </w:r>
          </w:p>
        </w:tc>
        <w:tc>
          <w:tcPr>
            <w:tcW w:w="0" w:type="auto"/>
            <w:tcBorders>
              <w:top w:val="single" w:sz="4" w:space="0" w:color="000000"/>
            </w:tcBorders>
          </w:tcPr>
          <w:p w14:paraId="6D0A07B7" w14:textId="77777777" w:rsidR="00CE0847" w:rsidRPr="00CE0847" w:rsidRDefault="00CE0847" w:rsidP="00B16199">
            <w:pPr>
              <w:rPr>
                <w:rFonts w:cs="Times New Roman"/>
                <w:sz w:val="16"/>
                <w:szCs w:val="16"/>
              </w:rPr>
            </w:pPr>
            <w:r w:rsidRPr="00CE0847">
              <w:rPr>
                <w:sz w:val="16"/>
                <w:szCs w:val="16"/>
              </w:rPr>
              <w:t>Loss concentration</w:t>
            </w:r>
          </w:p>
        </w:tc>
        <w:tc>
          <w:tcPr>
            <w:tcW w:w="0" w:type="auto"/>
            <w:tcBorders>
              <w:top w:val="single" w:sz="4" w:space="0" w:color="000000"/>
            </w:tcBorders>
          </w:tcPr>
          <w:p w14:paraId="34D6DE5C" w14:textId="77777777" w:rsidR="00CE0847" w:rsidRPr="00CE0847" w:rsidRDefault="00CE0847" w:rsidP="00B16199">
            <w:pPr>
              <w:rPr>
                <w:rFonts w:cs="Times New Roman"/>
                <w:sz w:val="16"/>
                <w:szCs w:val="16"/>
                <w:vertAlign w:val="superscript"/>
              </w:rPr>
            </w:pPr>
            <w:r w:rsidRPr="00CE0847">
              <w:rPr>
                <w:sz w:val="16"/>
                <w:szCs w:val="16"/>
              </w:rPr>
              <w:t>0.7 (1.5)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21D3209" w14:textId="77777777" w:rsidR="00CE0847" w:rsidRPr="00CE0847" w:rsidRDefault="00CE0847" w:rsidP="00B16199">
            <w:pPr>
              <w:rPr>
                <w:rFonts w:cs="Times New Roman"/>
                <w:sz w:val="16"/>
                <w:szCs w:val="16"/>
                <w:vertAlign w:val="superscript"/>
              </w:rPr>
            </w:pPr>
            <w:r w:rsidRPr="00CE0847">
              <w:rPr>
                <w:sz w:val="16"/>
                <w:szCs w:val="16"/>
              </w:rPr>
              <w:t>2.6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515491B" w14:textId="77777777" w:rsidR="00CE0847" w:rsidRPr="00CE0847" w:rsidRDefault="00CE0847" w:rsidP="00B16199">
            <w:pPr>
              <w:rPr>
                <w:rFonts w:cs="Times New Roman"/>
                <w:sz w:val="16"/>
                <w:szCs w:val="16"/>
                <w:vertAlign w:val="superscript"/>
              </w:rPr>
            </w:pPr>
            <w:r w:rsidRPr="00CE0847">
              <w:rPr>
                <w:sz w:val="16"/>
                <w:szCs w:val="16"/>
              </w:rPr>
              <w:t>2.2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CA24F60" w14:textId="77777777" w:rsidR="00CE0847" w:rsidRPr="00CE0847" w:rsidRDefault="00CE0847" w:rsidP="00B16199">
            <w:pPr>
              <w:rPr>
                <w:rFonts w:cs="Times New Roman"/>
                <w:sz w:val="16"/>
                <w:szCs w:val="16"/>
                <w:vertAlign w:val="superscript"/>
              </w:rPr>
            </w:pPr>
            <w:r w:rsidRPr="00CE0847">
              <w:rPr>
                <w:sz w:val="16"/>
                <w:szCs w:val="16"/>
              </w:rPr>
              <w:t>2.9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39CBE30D" w14:textId="77777777" w:rsidR="00CE0847" w:rsidRPr="00CE0847" w:rsidRDefault="00CE0847" w:rsidP="00B16199">
            <w:pPr>
              <w:rPr>
                <w:rFonts w:cs="Times New Roman"/>
                <w:sz w:val="16"/>
                <w:szCs w:val="16"/>
                <w:vertAlign w:val="superscript"/>
              </w:rPr>
            </w:pPr>
            <w:r w:rsidRPr="00CE0847">
              <w:rPr>
                <w:sz w:val="16"/>
                <w:szCs w:val="16"/>
              </w:rPr>
              <w:t>7.5 (3.9)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5DD24702" w14:textId="77777777" w:rsidR="00CE0847" w:rsidRPr="00CE0847" w:rsidRDefault="00CE0847" w:rsidP="00B16199">
            <w:pPr>
              <w:rPr>
                <w:sz w:val="16"/>
                <w:szCs w:val="16"/>
                <w:vertAlign w:val="superscript"/>
              </w:rPr>
            </w:pPr>
            <w:r w:rsidRPr="00CE0847">
              <w:rPr>
                <w:sz w:val="16"/>
                <w:szCs w:val="16"/>
              </w:rPr>
              <w:t>5.1 (2.8)</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r>
      <w:tr w:rsidR="00CE0847" w:rsidRPr="00CE0847" w14:paraId="4F22F216" w14:textId="77777777" w:rsidTr="00A84CFA">
        <w:trPr>
          <w:jc w:val="center"/>
        </w:trPr>
        <w:tc>
          <w:tcPr>
            <w:tcW w:w="0" w:type="auto"/>
          </w:tcPr>
          <w:p w14:paraId="44E3EFE8" w14:textId="77777777" w:rsidR="00CE0847" w:rsidRPr="00CE0847" w:rsidRDefault="00CE0847" w:rsidP="00B16199">
            <w:pPr>
              <w:rPr>
                <w:sz w:val="16"/>
                <w:szCs w:val="16"/>
              </w:rPr>
            </w:pPr>
            <w:r w:rsidRPr="00CE0847">
              <w:rPr>
                <w:sz w:val="16"/>
                <w:szCs w:val="16"/>
              </w:rPr>
              <w:t>memory</w:t>
            </w:r>
          </w:p>
        </w:tc>
        <w:tc>
          <w:tcPr>
            <w:tcW w:w="0" w:type="auto"/>
          </w:tcPr>
          <w:p w14:paraId="777776BD" w14:textId="77777777" w:rsidR="00CE0847" w:rsidRPr="00CE0847" w:rsidRDefault="00CE0847" w:rsidP="00B16199">
            <w:pPr>
              <w:rPr>
                <w:rFonts w:cs="Times New Roman"/>
                <w:sz w:val="16"/>
                <w:szCs w:val="16"/>
              </w:rPr>
            </w:pPr>
            <w:r w:rsidRPr="00CE0847">
              <w:rPr>
                <w:sz w:val="16"/>
                <w:szCs w:val="16"/>
              </w:rPr>
              <w:t>Forget explicit</w:t>
            </w:r>
          </w:p>
        </w:tc>
        <w:tc>
          <w:tcPr>
            <w:tcW w:w="0" w:type="auto"/>
          </w:tcPr>
          <w:p w14:paraId="3D131A3C" w14:textId="77777777" w:rsidR="00CE0847" w:rsidRPr="00CE0847" w:rsidRDefault="00CE0847" w:rsidP="00B16199">
            <w:pPr>
              <w:rPr>
                <w:rFonts w:cs="Times New Roman"/>
                <w:sz w:val="16"/>
                <w:szCs w:val="16"/>
                <w:vertAlign w:val="superscript"/>
              </w:rPr>
            </w:pPr>
            <w:r w:rsidRPr="00CE0847">
              <w:rPr>
                <w:sz w:val="16"/>
                <w:szCs w:val="16"/>
              </w:rPr>
              <w:t>0.7 (1.3)</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0E24717" w14:textId="77777777" w:rsidR="00CE0847" w:rsidRPr="00CE0847" w:rsidRDefault="00CE0847" w:rsidP="00B16199">
            <w:pPr>
              <w:rPr>
                <w:rFonts w:cs="Times New Roman"/>
                <w:sz w:val="16"/>
                <w:szCs w:val="16"/>
                <w:vertAlign w:val="superscript"/>
              </w:rPr>
            </w:pPr>
            <w:r w:rsidRPr="00CE0847">
              <w:rPr>
                <w:sz w:val="16"/>
                <w:szCs w:val="16"/>
              </w:rPr>
              <w:t>2.2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3CE0849" w14:textId="77777777" w:rsidR="00CE0847" w:rsidRPr="00CE0847" w:rsidRDefault="00CE0847" w:rsidP="00B16199">
            <w:pPr>
              <w:rPr>
                <w:rFonts w:cs="Times New Roman"/>
                <w:sz w:val="16"/>
                <w:szCs w:val="16"/>
                <w:vertAlign w:val="superscript"/>
              </w:rPr>
            </w:pPr>
            <w:r w:rsidRPr="00CE0847">
              <w:rPr>
                <w:sz w:val="16"/>
                <w:szCs w:val="16"/>
              </w:rPr>
              <w:t>2.2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220A493" w14:textId="77777777" w:rsidR="00CE0847" w:rsidRPr="00CE0847" w:rsidRDefault="00CE0847" w:rsidP="00B16199">
            <w:pPr>
              <w:rPr>
                <w:rFonts w:cs="Times New Roman"/>
                <w:sz w:val="16"/>
                <w:szCs w:val="16"/>
                <w:vertAlign w:val="superscript"/>
              </w:rPr>
            </w:pPr>
            <w:r w:rsidRPr="00CE0847">
              <w:rPr>
                <w:sz w:val="16"/>
                <w:szCs w:val="16"/>
              </w:rPr>
              <w:t>2.1 (2.5)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9565CE4" w14:textId="77777777" w:rsidR="00CE0847" w:rsidRPr="00CE0847" w:rsidRDefault="00CE0847" w:rsidP="00B16199">
            <w:pPr>
              <w:rPr>
                <w:rFonts w:cs="Times New Roman"/>
                <w:sz w:val="16"/>
                <w:szCs w:val="16"/>
                <w:vertAlign w:val="superscript"/>
              </w:rPr>
            </w:pPr>
            <w:r w:rsidRPr="00CE0847">
              <w:rPr>
                <w:sz w:val="16"/>
                <w:szCs w:val="16"/>
              </w:rPr>
              <w:t>8.5 (3.2)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Pr>
          <w:p w14:paraId="71366739" w14:textId="77777777" w:rsidR="00CE0847" w:rsidRPr="00CE0847" w:rsidRDefault="00CE0847" w:rsidP="00B16199">
            <w:pPr>
              <w:rPr>
                <w:sz w:val="16"/>
                <w:szCs w:val="16"/>
                <w:vertAlign w:val="superscript"/>
              </w:rPr>
            </w:pPr>
            <w:r w:rsidRPr="00CE0847">
              <w:rPr>
                <w:sz w:val="16"/>
                <w:szCs w:val="16"/>
              </w:rPr>
              <w:t>4.8 (2.9)</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502C0333" w14:textId="77777777" w:rsidTr="00A84CFA">
        <w:trPr>
          <w:jc w:val="center"/>
        </w:trPr>
        <w:tc>
          <w:tcPr>
            <w:tcW w:w="0" w:type="auto"/>
            <w:tcBorders>
              <w:bottom w:val="single" w:sz="4" w:space="0" w:color="000000"/>
            </w:tcBorders>
          </w:tcPr>
          <w:p w14:paraId="0AAE23EA" w14:textId="77777777" w:rsidR="00CE0847" w:rsidRPr="00CE0847" w:rsidRDefault="00CE0847" w:rsidP="00B16199">
            <w:pPr>
              <w:rPr>
                <w:sz w:val="16"/>
                <w:szCs w:val="16"/>
              </w:rPr>
            </w:pPr>
          </w:p>
        </w:tc>
        <w:tc>
          <w:tcPr>
            <w:tcW w:w="0" w:type="auto"/>
            <w:tcBorders>
              <w:bottom w:val="single" w:sz="4" w:space="0" w:color="000000"/>
            </w:tcBorders>
          </w:tcPr>
          <w:p w14:paraId="55A48D64" w14:textId="77777777" w:rsidR="00CE0847" w:rsidRPr="00CE0847" w:rsidRDefault="00CE0847" w:rsidP="00B16199">
            <w:pPr>
              <w:rPr>
                <w:rFonts w:cs="Times New Roman"/>
                <w:sz w:val="16"/>
                <w:szCs w:val="16"/>
              </w:rPr>
            </w:pPr>
            <w:r w:rsidRPr="00CE0847">
              <w:rPr>
                <w:sz w:val="16"/>
                <w:szCs w:val="16"/>
              </w:rPr>
              <w:t>Forget implicit</w:t>
            </w:r>
          </w:p>
        </w:tc>
        <w:tc>
          <w:tcPr>
            <w:tcW w:w="0" w:type="auto"/>
            <w:tcBorders>
              <w:bottom w:val="single" w:sz="4" w:space="0" w:color="000000"/>
            </w:tcBorders>
          </w:tcPr>
          <w:p w14:paraId="24D116D0" w14:textId="77777777" w:rsidR="00CE0847" w:rsidRPr="00CE0847" w:rsidRDefault="00CE0847" w:rsidP="00B16199">
            <w:pPr>
              <w:rPr>
                <w:rFonts w:cs="Times New Roman"/>
                <w:sz w:val="16"/>
                <w:szCs w:val="16"/>
                <w:vertAlign w:val="superscript"/>
              </w:rPr>
            </w:pPr>
            <w:r w:rsidRPr="00CE0847">
              <w:rPr>
                <w:sz w:val="16"/>
                <w:szCs w:val="16"/>
              </w:rPr>
              <w:t>0.5 (1.2)</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464E91B" w14:textId="77777777" w:rsidR="00CE0847" w:rsidRPr="00CE0847" w:rsidRDefault="00CE0847" w:rsidP="00B16199">
            <w:pPr>
              <w:rPr>
                <w:rFonts w:cs="Times New Roman"/>
                <w:sz w:val="16"/>
                <w:szCs w:val="16"/>
                <w:vertAlign w:val="superscript"/>
              </w:rPr>
            </w:pPr>
            <w:r w:rsidRPr="00CE0847">
              <w:rPr>
                <w:sz w:val="16"/>
                <w:szCs w:val="16"/>
              </w:rPr>
              <w:t>1.9 (2.6)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E4F657C" w14:textId="77777777" w:rsidR="00CE0847" w:rsidRPr="00CE0847" w:rsidRDefault="00CE0847" w:rsidP="00B16199">
            <w:pPr>
              <w:rPr>
                <w:rFonts w:cs="Times New Roman"/>
                <w:sz w:val="16"/>
                <w:szCs w:val="16"/>
                <w:vertAlign w:val="superscript"/>
              </w:rPr>
            </w:pPr>
            <w:r w:rsidRPr="00CE0847">
              <w:rPr>
                <w:sz w:val="16"/>
                <w:szCs w:val="16"/>
              </w:rPr>
              <w:t>1.5 (2.7)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36F5141F" w14:textId="77777777" w:rsidR="00CE0847" w:rsidRPr="00CE0847" w:rsidRDefault="00CE0847" w:rsidP="00B16199">
            <w:pPr>
              <w:rPr>
                <w:rFonts w:cs="Times New Roman"/>
                <w:sz w:val="16"/>
                <w:szCs w:val="16"/>
                <w:vertAlign w:val="superscript"/>
              </w:rPr>
            </w:pPr>
            <w:r w:rsidRPr="00CE0847">
              <w:rPr>
                <w:sz w:val="16"/>
                <w:szCs w:val="16"/>
              </w:rPr>
              <w:t>1.8 (2.2)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311CD70" w14:textId="77777777" w:rsidR="00CE0847" w:rsidRPr="00CE0847" w:rsidRDefault="00CE0847" w:rsidP="00B16199">
            <w:pPr>
              <w:rPr>
                <w:rFonts w:cs="Times New Roman"/>
                <w:sz w:val="16"/>
                <w:szCs w:val="16"/>
                <w:vertAlign w:val="superscript"/>
              </w:rPr>
            </w:pPr>
            <w:r w:rsidRPr="00CE0847">
              <w:rPr>
                <w:sz w:val="16"/>
                <w:szCs w:val="16"/>
              </w:rPr>
              <w:t>7.6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D033C46" w14:textId="77777777" w:rsidR="00CE0847" w:rsidRPr="00CE0847" w:rsidRDefault="00CE0847" w:rsidP="00B16199">
            <w:pPr>
              <w:rPr>
                <w:sz w:val="16"/>
                <w:szCs w:val="16"/>
                <w:vertAlign w:val="superscript"/>
              </w:rPr>
            </w:pPr>
            <w:r w:rsidRPr="00CE0847">
              <w:rPr>
                <w:sz w:val="16"/>
                <w:szCs w:val="16"/>
              </w:rPr>
              <w:t>5.1 (3.2)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582013C8" w14:textId="77777777" w:rsidTr="00A84CFA">
        <w:trPr>
          <w:jc w:val="center"/>
        </w:trPr>
        <w:tc>
          <w:tcPr>
            <w:tcW w:w="0" w:type="auto"/>
            <w:tcBorders>
              <w:top w:val="single" w:sz="4" w:space="0" w:color="000000"/>
            </w:tcBorders>
          </w:tcPr>
          <w:p w14:paraId="43839717" w14:textId="77777777" w:rsidR="00CE0847" w:rsidRPr="00CE0847" w:rsidRDefault="00CE0847" w:rsidP="00B16199">
            <w:pPr>
              <w:rPr>
                <w:sz w:val="16"/>
                <w:szCs w:val="16"/>
              </w:rPr>
            </w:pPr>
            <w:r w:rsidRPr="00CE0847">
              <w:rPr>
                <w:sz w:val="16"/>
                <w:szCs w:val="16"/>
              </w:rPr>
              <w:t xml:space="preserve">6. </w:t>
            </w:r>
          </w:p>
        </w:tc>
        <w:tc>
          <w:tcPr>
            <w:tcW w:w="0" w:type="auto"/>
            <w:tcBorders>
              <w:top w:val="single" w:sz="4" w:space="0" w:color="000000"/>
            </w:tcBorders>
          </w:tcPr>
          <w:p w14:paraId="2A4825D9" w14:textId="77777777" w:rsidR="00CE0847" w:rsidRPr="00CE0847" w:rsidRDefault="00CE0847" w:rsidP="00B16199">
            <w:pPr>
              <w:rPr>
                <w:rFonts w:cs="Times New Roman"/>
                <w:sz w:val="16"/>
                <w:szCs w:val="16"/>
              </w:rPr>
            </w:pPr>
            <w:r w:rsidRPr="00CE0847">
              <w:rPr>
                <w:sz w:val="16"/>
                <w:szCs w:val="16"/>
              </w:rPr>
              <w:t>Drooling</w:t>
            </w:r>
          </w:p>
        </w:tc>
        <w:tc>
          <w:tcPr>
            <w:tcW w:w="0" w:type="auto"/>
            <w:tcBorders>
              <w:top w:val="single" w:sz="4" w:space="0" w:color="000000"/>
            </w:tcBorders>
          </w:tcPr>
          <w:p w14:paraId="2CE0BD2A" w14:textId="77777777" w:rsidR="00CE0847" w:rsidRPr="00CE0847" w:rsidRDefault="00CE0847" w:rsidP="00B16199">
            <w:pPr>
              <w:rPr>
                <w:rFonts w:cs="Times New Roman"/>
                <w:sz w:val="16"/>
                <w:szCs w:val="16"/>
                <w:vertAlign w:val="superscript"/>
              </w:rPr>
            </w:pPr>
            <w:r w:rsidRPr="00CE0847">
              <w:rPr>
                <w:sz w:val="16"/>
                <w:szCs w:val="16"/>
              </w:rPr>
              <w:t>0.6 (1.5)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4C5CB1A" w14:textId="77777777" w:rsidR="00CE0847" w:rsidRPr="00CE0847" w:rsidRDefault="00CE0847" w:rsidP="00B16199">
            <w:pPr>
              <w:rPr>
                <w:rFonts w:cs="Times New Roman"/>
                <w:sz w:val="16"/>
                <w:szCs w:val="16"/>
                <w:vertAlign w:val="superscript"/>
              </w:rPr>
            </w:pPr>
            <w:r w:rsidRPr="00CE0847">
              <w:rPr>
                <w:sz w:val="16"/>
                <w:szCs w:val="16"/>
              </w:rPr>
              <w:t>2.3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30D6BED" w14:textId="77777777" w:rsidR="00CE0847" w:rsidRPr="00CE0847" w:rsidRDefault="00CE0847" w:rsidP="00B16199">
            <w:pPr>
              <w:rPr>
                <w:rFonts w:cs="Times New Roman"/>
                <w:sz w:val="16"/>
                <w:szCs w:val="16"/>
                <w:vertAlign w:val="superscript"/>
              </w:rPr>
            </w:pPr>
            <w:r w:rsidRPr="00CE0847">
              <w:rPr>
                <w:sz w:val="16"/>
                <w:szCs w:val="16"/>
              </w:rPr>
              <w:t>3.3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4F247E0" w14:textId="77777777" w:rsidR="00CE0847" w:rsidRPr="00CE0847" w:rsidRDefault="00CE0847" w:rsidP="00B16199">
            <w:pPr>
              <w:rPr>
                <w:rFonts w:cs="Times New Roman"/>
                <w:sz w:val="16"/>
                <w:szCs w:val="16"/>
                <w:vertAlign w:val="superscript"/>
              </w:rPr>
            </w:pPr>
            <w:r w:rsidRPr="00CE0847">
              <w:rPr>
                <w:sz w:val="16"/>
                <w:szCs w:val="16"/>
              </w:rPr>
              <w:t>3.3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DBC420E" w14:textId="77777777" w:rsidR="00CE0847" w:rsidRPr="00CE0847" w:rsidRDefault="00CE0847" w:rsidP="00B16199">
            <w:pPr>
              <w:rPr>
                <w:rFonts w:cs="Times New Roman"/>
                <w:sz w:val="16"/>
                <w:szCs w:val="16"/>
                <w:vertAlign w:val="superscript"/>
              </w:rPr>
            </w:pPr>
            <w:r w:rsidRPr="00CE0847">
              <w:rPr>
                <w:sz w:val="16"/>
                <w:szCs w:val="16"/>
              </w:rPr>
              <w:t>4.2 (4.8)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Borders>
              <w:top w:val="single" w:sz="4" w:space="0" w:color="000000"/>
            </w:tcBorders>
          </w:tcPr>
          <w:p w14:paraId="7A3ED937" w14:textId="77777777" w:rsidR="00CE0847" w:rsidRPr="00CE0847" w:rsidRDefault="00CE0847" w:rsidP="00B16199">
            <w:pPr>
              <w:rPr>
                <w:sz w:val="16"/>
                <w:szCs w:val="16"/>
                <w:vertAlign w:val="superscript"/>
              </w:rPr>
            </w:pPr>
            <w:r w:rsidRPr="00CE0847">
              <w:rPr>
                <w:sz w:val="16"/>
                <w:szCs w:val="16"/>
              </w:rPr>
              <w:t>6.2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r>
      <w:tr w:rsidR="00CE0847" w:rsidRPr="00CE0847" w14:paraId="25ABE43A" w14:textId="77777777" w:rsidTr="00A84CFA">
        <w:trPr>
          <w:jc w:val="center"/>
        </w:trPr>
        <w:tc>
          <w:tcPr>
            <w:tcW w:w="0" w:type="auto"/>
          </w:tcPr>
          <w:p w14:paraId="61A3C2C9" w14:textId="77777777" w:rsidR="00CE0847" w:rsidRPr="00CE0847" w:rsidRDefault="00CE0847" w:rsidP="00B16199">
            <w:pPr>
              <w:rPr>
                <w:sz w:val="16"/>
                <w:szCs w:val="16"/>
              </w:rPr>
            </w:pPr>
            <w:r w:rsidRPr="00CE0847">
              <w:rPr>
                <w:sz w:val="16"/>
                <w:szCs w:val="16"/>
              </w:rPr>
              <w:t>Gastrointestinal</w:t>
            </w:r>
          </w:p>
        </w:tc>
        <w:tc>
          <w:tcPr>
            <w:tcW w:w="0" w:type="auto"/>
          </w:tcPr>
          <w:p w14:paraId="62747EC5" w14:textId="77777777" w:rsidR="00CE0847" w:rsidRPr="00CE0847" w:rsidRDefault="00CE0847" w:rsidP="00B16199">
            <w:pPr>
              <w:rPr>
                <w:rFonts w:cs="Times New Roman"/>
                <w:sz w:val="16"/>
                <w:szCs w:val="16"/>
              </w:rPr>
            </w:pPr>
            <w:r w:rsidRPr="00CE0847">
              <w:rPr>
                <w:sz w:val="16"/>
                <w:szCs w:val="16"/>
              </w:rPr>
              <w:t>Swallowing</w:t>
            </w:r>
          </w:p>
        </w:tc>
        <w:tc>
          <w:tcPr>
            <w:tcW w:w="0" w:type="auto"/>
          </w:tcPr>
          <w:p w14:paraId="2A303F08" w14:textId="77777777" w:rsidR="00CE0847" w:rsidRPr="00CE0847" w:rsidRDefault="00CE0847" w:rsidP="00B16199">
            <w:pPr>
              <w:rPr>
                <w:rFonts w:cs="Times New Roman"/>
                <w:sz w:val="16"/>
                <w:szCs w:val="16"/>
                <w:vertAlign w:val="superscript"/>
              </w:rPr>
            </w:pPr>
            <w:r w:rsidRPr="00CE0847">
              <w:rPr>
                <w:sz w:val="16"/>
                <w:szCs w:val="16"/>
              </w:rPr>
              <w:t>0.3 (0.8)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7EEEC3A" w14:textId="77777777" w:rsidR="00CE0847" w:rsidRPr="00CE0847" w:rsidRDefault="00CE0847" w:rsidP="00B16199">
            <w:pPr>
              <w:rPr>
                <w:rFonts w:cs="Times New Roman"/>
                <w:sz w:val="16"/>
                <w:szCs w:val="16"/>
                <w:vertAlign w:val="superscript"/>
              </w:rPr>
            </w:pPr>
            <w:r w:rsidRPr="00CE0847">
              <w:rPr>
                <w:sz w:val="16"/>
                <w:szCs w:val="16"/>
              </w:rPr>
              <w:t>2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43E92A23" w14:textId="77777777" w:rsidR="00CE0847" w:rsidRPr="00CE0847" w:rsidRDefault="00CE0847" w:rsidP="00B16199">
            <w:pPr>
              <w:rPr>
                <w:rFonts w:cs="Times New Roman"/>
                <w:sz w:val="16"/>
                <w:szCs w:val="16"/>
                <w:vertAlign w:val="superscript"/>
              </w:rPr>
            </w:pPr>
            <w:r w:rsidRPr="00CE0847">
              <w:rPr>
                <w:sz w:val="16"/>
                <w:szCs w:val="16"/>
              </w:rPr>
              <w:t>1.2 (2)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63025BFA" w14:textId="77777777" w:rsidR="00CE0847" w:rsidRPr="00CE0847" w:rsidRDefault="00CE0847" w:rsidP="00B16199">
            <w:pPr>
              <w:rPr>
                <w:rFonts w:cs="Times New Roman"/>
                <w:sz w:val="16"/>
                <w:szCs w:val="16"/>
                <w:vertAlign w:val="superscript"/>
              </w:rPr>
            </w:pPr>
            <w:r w:rsidRPr="00CE0847">
              <w:rPr>
                <w:sz w:val="16"/>
                <w:szCs w:val="16"/>
              </w:rPr>
              <w:t>1.2 (2)</w:t>
            </w:r>
            <w:r w:rsidR="006F6430" w:rsidRPr="00CE0847">
              <w:rPr>
                <w:sz w:val="16"/>
                <w:szCs w:val="16"/>
                <w:vertAlign w:val="superscript"/>
              </w:rPr>
              <w:t>6</w:t>
            </w:r>
          </w:p>
        </w:tc>
        <w:tc>
          <w:tcPr>
            <w:tcW w:w="0" w:type="auto"/>
          </w:tcPr>
          <w:p w14:paraId="6C8F68CC" w14:textId="77777777" w:rsidR="00CE0847" w:rsidRPr="00CE0847" w:rsidRDefault="00CE0847" w:rsidP="00B16199">
            <w:pPr>
              <w:rPr>
                <w:rFonts w:cs="Times New Roman"/>
                <w:sz w:val="16"/>
                <w:szCs w:val="16"/>
                <w:vertAlign w:val="superscript"/>
              </w:rPr>
            </w:pPr>
            <w:r w:rsidRPr="00CE0847">
              <w:rPr>
                <w:sz w:val="16"/>
                <w:szCs w:val="16"/>
              </w:rPr>
              <w:t>2.3 (2.9)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54B4584A" w14:textId="77777777" w:rsidR="00CE0847" w:rsidRPr="00CE0847" w:rsidRDefault="00CE0847" w:rsidP="00B16199">
            <w:pPr>
              <w:rPr>
                <w:sz w:val="16"/>
                <w:szCs w:val="16"/>
                <w:vertAlign w:val="superscript"/>
              </w:rPr>
            </w:pPr>
            <w:r w:rsidRPr="00CE0847">
              <w:rPr>
                <w:sz w:val="16"/>
                <w:szCs w:val="16"/>
              </w:rPr>
              <w:t>6.5 (4.2)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796BF97C" w14:textId="77777777" w:rsidTr="00A84CFA">
        <w:trPr>
          <w:jc w:val="center"/>
        </w:trPr>
        <w:tc>
          <w:tcPr>
            <w:tcW w:w="0" w:type="auto"/>
            <w:tcBorders>
              <w:bottom w:val="single" w:sz="4" w:space="0" w:color="000000"/>
            </w:tcBorders>
          </w:tcPr>
          <w:p w14:paraId="4E5F5AA3" w14:textId="77777777" w:rsidR="00CE0847" w:rsidRPr="00CE0847" w:rsidRDefault="00CE0847" w:rsidP="00B16199">
            <w:pPr>
              <w:rPr>
                <w:sz w:val="16"/>
                <w:szCs w:val="16"/>
              </w:rPr>
            </w:pPr>
          </w:p>
        </w:tc>
        <w:tc>
          <w:tcPr>
            <w:tcW w:w="0" w:type="auto"/>
            <w:tcBorders>
              <w:bottom w:val="single" w:sz="4" w:space="0" w:color="000000"/>
            </w:tcBorders>
          </w:tcPr>
          <w:p w14:paraId="3B2509B0" w14:textId="77777777" w:rsidR="00CE0847" w:rsidRPr="00CE0847" w:rsidRDefault="00CE0847" w:rsidP="00B16199">
            <w:pPr>
              <w:rPr>
                <w:rFonts w:cs="Times New Roman"/>
                <w:sz w:val="16"/>
                <w:szCs w:val="16"/>
              </w:rPr>
            </w:pPr>
            <w:r w:rsidRPr="00CE0847">
              <w:rPr>
                <w:sz w:val="16"/>
                <w:szCs w:val="16"/>
              </w:rPr>
              <w:t>Constipation</w:t>
            </w:r>
          </w:p>
        </w:tc>
        <w:tc>
          <w:tcPr>
            <w:tcW w:w="0" w:type="auto"/>
            <w:tcBorders>
              <w:bottom w:val="single" w:sz="4" w:space="0" w:color="000000"/>
            </w:tcBorders>
          </w:tcPr>
          <w:p w14:paraId="16F1830D" w14:textId="77777777" w:rsidR="00CE0847" w:rsidRPr="00CE0847" w:rsidRDefault="00CE0847" w:rsidP="00B16199">
            <w:pPr>
              <w:rPr>
                <w:rFonts w:cs="Times New Roman"/>
                <w:sz w:val="16"/>
                <w:szCs w:val="16"/>
                <w:vertAlign w:val="superscript"/>
              </w:rPr>
            </w:pPr>
            <w:r w:rsidRPr="00CE0847">
              <w:rPr>
                <w:sz w:val="16"/>
                <w:szCs w:val="16"/>
              </w:rPr>
              <w:t>1.5 (2.7)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A3D4298" w14:textId="77777777" w:rsidR="00CE0847" w:rsidRPr="00CE0847" w:rsidRDefault="00CE0847" w:rsidP="00B16199">
            <w:pPr>
              <w:rPr>
                <w:rFonts w:cs="Times New Roman"/>
                <w:sz w:val="16"/>
                <w:szCs w:val="16"/>
                <w:vertAlign w:val="superscript"/>
              </w:rPr>
            </w:pPr>
            <w:r w:rsidRPr="00CE0847">
              <w:rPr>
                <w:sz w:val="16"/>
                <w:szCs w:val="16"/>
              </w:rPr>
              <w:t>3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2B3095E4" w14:textId="77777777" w:rsidR="00CE0847" w:rsidRPr="00CE0847" w:rsidRDefault="00CE0847" w:rsidP="00B16199">
            <w:pPr>
              <w:rPr>
                <w:rFonts w:cs="Times New Roman"/>
                <w:sz w:val="16"/>
                <w:szCs w:val="16"/>
                <w:vertAlign w:val="superscript"/>
              </w:rPr>
            </w:pPr>
            <w:r w:rsidRPr="00CE0847">
              <w:rPr>
                <w:sz w:val="16"/>
                <w:szCs w:val="16"/>
              </w:rPr>
              <w:t>3.8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01F3090C" w14:textId="77777777" w:rsidR="00CE0847" w:rsidRPr="00CE0847" w:rsidRDefault="00CE0847" w:rsidP="00B16199">
            <w:pPr>
              <w:rPr>
                <w:rFonts w:cs="Times New Roman"/>
                <w:sz w:val="16"/>
                <w:szCs w:val="16"/>
                <w:vertAlign w:val="superscript"/>
              </w:rPr>
            </w:pPr>
            <w:r w:rsidRPr="00CE0847">
              <w:rPr>
                <w:sz w:val="16"/>
                <w:szCs w:val="16"/>
              </w:rPr>
              <w:t>3.7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3AED432" w14:textId="77777777" w:rsidR="00CE0847" w:rsidRPr="00CE0847" w:rsidRDefault="00CE0847" w:rsidP="00B16199">
            <w:pPr>
              <w:rPr>
                <w:rFonts w:cs="Times New Roman"/>
                <w:sz w:val="16"/>
                <w:szCs w:val="16"/>
                <w:vertAlign w:val="superscript"/>
              </w:rPr>
            </w:pPr>
            <w:r w:rsidRPr="00CE0847">
              <w:rPr>
                <w:sz w:val="16"/>
                <w:szCs w:val="16"/>
              </w:rPr>
              <w:t>4.5 (4.9)</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50F5CE8" w14:textId="77777777" w:rsidR="00CE0847" w:rsidRPr="00CE0847" w:rsidRDefault="00CE0847" w:rsidP="00B16199">
            <w:pPr>
              <w:rPr>
                <w:sz w:val="16"/>
                <w:szCs w:val="16"/>
                <w:vertAlign w:val="superscript"/>
              </w:rPr>
            </w:pPr>
            <w:r w:rsidRPr="00CE0847">
              <w:rPr>
                <w:sz w:val="16"/>
                <w:szCs w:val="16"/>
              </w:rPr>
              <w:t>8.8 (4.4)</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03A7E217" w14:textId="77777777" w:rsidTr="00A84CFA">
        <w:trPr>
          <w:jc w:val="center"/>
        </w:trPr>
        <w:tc>
          <w:tcPr>
            <w:tcW w:w="0" w:type="auto"/>
            <w:tcBorders>
              <w:top w:val="single" w:sz="4" w:space="0" w:color="000000"/>
            </w:tcBorders>
          </w:tcPr>
          <w:p w14:paraId="3E4EF5A5" w14:textId="77777777" w:rsidR="00CE0847" w:rsidRPr="00CE0847" w:rsidRDefault="00CE0847" w:rsidP="00B16199">
            <w:pPr>
              <w:rPr>
                <w:sz w:val="16"/>
                <w:szCs w:val="16"/>
              </w:rPr>
            </w:pPr>
            <w:r w:rsidRPr="00CE0847">
              <w:rPr>
                <w:sz w:val="16"/>
                <w:szCs w:val="16"/>
              </w:rPr>
              <w:t>7. Urinary</w:t>
            </w:r>
          </w:p>
        </w:tc>
        <w:tc>
          <w:tcPr>
            <w:tcW w:w="0" w:type="auto"/>
            <w:tcBorders>
              <w:top w:val="single" w:sz="4" w:space="0" w:color="000000"/>
            </w:tcBorders>
          </w:tcPr>
          <w:p w14:paraId="76328E7C" w14:textId="77777777" w:rsidR="00CE0847" w:rsidRPr="00CE0847" w:rsidRDefault="00CE0847" w:rsidP="00B16199">
            <w:pPr>
              <w:rPr>
                <w:rFonts w:cs="Times New Roman"/>
                <w:sz w:val="16"/>
                <w:szCs w:val="16"/>
              </w:rPr>
            </w:pPr>
            <w:r w:rsidRPr="00CE0847">
              <w:rPr>
                <w:sz w:val="16"/>
                <w:szCs w:val="16"/>
              </w:rPr>
              <w:t>Urinary urgency</w:t>
            </w:r>
          </w:p>
        </w:tc>
        <w:tc>
          <w:tcPr>
            <w:tcW w:w="0" w:type="auto"/>
            <w:tcBorders>
              <w:top w:val="single" w:sz="4" w:space="0" w:color="000000"/>
            </w:tcBorders>
          </w:tcPr>
          <w:p w14:paraId="0C911932" w14:textId="77777777" w:rsidR="00CE0847" w:rsidRPr="00CE0847" w:rsidRDefault="00CE0847" w:rsidP="00B16199">
            <w:pPr>
              <w:rPr>
                <w:rFonts w:cs="Times New Roman"/>
                <w:sz w:val="16"/>
                <w:szCs w:val="16"/>
                <w:vertAlign w:val="superscript"/>
              </w:rPr>
            </w:pPr>
            <w:r w:rsidRPr="00CE0847">
              <w:rPr>
                <w:sz w:val="16"/>
                <w:szCs w:val="16"/>
              </w:rPr>
              <w:t>0.9 (1.7)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3580473D" w14:textId="77777777" w:rsidR="00CE0847" w:rsidRPr="00CE0847" w:rsidRDefault="00CE0847" w:rsidP="00B16199">
            <w:pPr>
              <w:rPr>
                <w:rFonts w:cs="Times New Roman"/>
                <w:sz w:val="16"/>
                <w:szCs w:val="16"/>
                <w:vertAlign w:val="superscript"/>
              </w:rPr>
            </w:pPr>
            <w:r w:rsidRPr="00CE0847">
              <w:rPr>
                <w:sz w:val="16"/>
                <w:szCs w:val="16"/>
              </w:rPr>
              <w:t>1.8 (2.4)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539D238" w14:textId="77777777" w:rsidR="00CE0847" w:rsidRPr="00CE0847" w:rsidRDefault="00CE0847" w:rsidP="00B16199">
            <w:pPr>
              <w:rPr>
                <w:rFonts w:cs="Times New Roman"/>
                <w:sz w:val="16"/>
                <w:szCs w:val="16"/>
                <w:vertAlign w:val="superscript"/>
              </w:rPr>
            </w:pPr>
            <w:r w:rsidRPr="00CE0847">
              <w:rPr>
                <w:sz w:val="16"/>
                <w:szCs w:val="16"/>
              </w:rPr>
              <w:t>6.6 (3.8)</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664266C3" w14:textId="77777777" w:rsidR="00CE0847" w:rsidRPr="00CE0847" w:rsidRDefault="00CE0847" w:rsidP="00B16199">
            <w:pPr>
              <w:rPr>
                <w:rFonts w:cs="Times New Roman"/>
                <w:sz w:val="16"/>
                <w:szCs w:val="16"/>
                <w:vertAlign w:val="superscript"/>
              </w:rPr>
            </w:pPr>
            <w:r w:rsidRPr="00CE0847">
              <w:rPr>
                <w:sz w:val="16"/>
                <w:szCs w:val="16"/>
              </w:rPr>
              <w:t>2.4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C6D3E6E" w14:textId="77777777" w:rsidR="00CE0847" w:rsidRPr="00CE0847" w:rsidRDefault="00CE0847" w:rsidP="00B16199">
            <w:pPr>
              <w:rPr>
                <w:rFonts w:cs="Times New Roman"/>
                <w:sz w:val="16"/>
                <w:szCs w:val="16"/>
                <w:vertAlign w:val="superscript"/>
              </w:rPr>
            </w:pPr>
            <w:r w:rsidRPr="00CE0847">
              <w:rPr>
                <w:sz w:val="16"/>
                <w:szCs w:val="16"/>
              </w:rPr>
              <w:t>7.7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2600B18B" w14:textId="77777777" w:rsidR="00CE0847" w:rsidRPr="00CE0847" w:rsidRDefault="00CE0847" w:rsidP="00B16199">
            <w:pPr>
              <w:rPr>
                <w:sz w:val="16"/>
                <w:szCs w:val="16"/>
                <w:vertAlign w:val="superscript"/>
              </w:rPr>
            </w:pPr>
            <w:r w:rsidRPr="00CE0847">
              <w:rPr>
                <w:sz w:val="16"/>
                <w:szCs w:val="16"/>
              </w:rPr>
              <w:t>6.2 (3.5)</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r>
      <w:tr w:rsidR="00CE0847" w:rsidRPr="00CE0847" w14:paraId="5D07741F" w14:textId="77777777" w:rsidTr="00A84CFA">
        <w:trPr>
          <w:jc w:val="center"/>
        </w:trPr>
        <w:tc>
          <w:tcPr>
            <w:tcW w:w="0" w:type="auto"/>
          </w:tcPr>
          <w:p w14:paraId="5A992F7F" w14:textId="77777777" w:rsidR="00CE0847" w:rsidRPr="00CE0847" w:rsidRDefault="00CE0847" w:rsidP="00B16199">
            <w:pPr>
              <w:rPr>
                <w:sz w:val="16"/>
                <w:szCs w:val="16"/>
              </w:rPr>
            </w:pPr>
          </w:p>
        </w:tc>
        <w:tc>
          <w:tcPr>
            <w:tcW w:w="0" w:type="auto"/>
          </w:tcPr>
          <w:p w14:paraId="41BFFC3E" w14:textId="77777777" w:rsidR="00CE0847" w:rsidRPr="00CE0847" w:rsidRDefault="00CE0847" w:rsidP="00B16199">
            <w:pPr>
              <w:rPr>
                <w:rFonts w:cs="Times New Roman"/>
                <w:sz w:val="16"/>
                <w:szCs w:val="16"/>
              </w:rPr>
            </w:pPr>
            <w:r w:rsidRPr="00CE0847">
              <w:rPr>
                <w:sz w:val="16"/>
                <w:szCs w:val="16"/>
              </w:rPr>
              <w:t>Urinary frequency</w:t>
            </w:r>
          </w:p>
        </w:tc>
        <w:tc>
          <w:tcPr>
            <w:tcW w:w="0" w:type="auto"/>
          </w:tcPr>
          <w:p w14:paraId="7D3CBFF2" w14:textId="77777777" w:rsidR="00CE0847" w:rsidRPr="00CE0847" w:rsidRDefault="00CE0847" w:rsidP="00B16199">
            <w:pPr>
              <w:rPr>
                <w:rFonts w:cs="Times New Roman"/>
                <w:sz w:val="16"/>
                <w:szCs w:val="16"/>
                <w:vertAlign w:val="superscript"/>
              </w:rPr>
            </w:pPr>
            <w:r w:rsidRPr="00CE0847">
              <w:rPr>
                <w:sz w:val="16"/>
                <w:szCs w:val="16"/>
              </w:rPr>
              <w:t>0.9 (1.8)</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1E9C968F" w14:textId="77777777" w:rsidR="00CE0847" w:rsidRPr="00CE0847" w:rsidRDefault="00CE0847" w:rsidP="00B16199">
            <w:pPr>
              <w:rPr>
                <w:rFonts w:cs="Times New Roman"/>
                <w:sz w:val="16"/>
                <w:szCs w:val="16"/>
                <w:vertAlign w:val="superscript"/>
              </w:rPr>
            </w:pPr>
            <w:r w:rsidRPr="00CE0847">
              <w:rPr>
                <w:sz w:val="16"/>
                <w:szCs w:val="16"/>
              </w:rPr>
              <w:t>1.3 (1.9)</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848B84C" w14:textId="77777777" w:rsidR="00CE0847" w:rsidRPr="00CE0847" w:rsidRDefault="00CE0847" w:rsidP="00B16199">
            <w:pPr>
              <w:rPr>
                <w:rFonts w:cs="Times New Roman"/>
                <w:sz w:val="16"/>
                <w:szCs w:val="16"/>
                <w:vertAlign w:val="superscript"/>
              </w:rPr>
            </w:pPr>
            <w:r w:rsidRPr="00CE0847">
              <w:rPr>
                <w:sz w:val="16"/>
                <w:szCs w:val="16"/>
              </w:rPr>
              <w:t>7.7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Pr>
          <w:p w14:paraId="18D33F56" w14:textId="77777777" w:rsidR="00CE0847" w:rsidRPr="00CE0847" w:rsidRDefault="00CE0847" w:rsidP="00B16199">
            <w:pPr>
              <w:rPr>
                <w:rFonts w:cs="Times New Roman"/>
                <w:sz w:val="16"/>
                <w:szCs w:val="16"/>
                <w:vertAlign w:val="superscript"/>
              </w:rPr>
            </w:pPr>
            <w:r w:rsidRPr="00CE0847">
              <w:rPr>
                <w:sz w:val="16"/>
                <w:szCs w:val="16"/>
              </w:rPr>
              <w:t>3.1 (3.6)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B31864D" w14:textId="77777777" w:rsidR="00CE0847" w:rsidRPr="00CE0847" w:rsidRDefault="00CE0847" w:rsidP="00B16199">
            <w:pPr>
              <w:rPr>
                <w:rFonts w:cs="Times New Roman"/>
                <w:sz w:val="16"/>
                <w:szCs w:val="16"/>
                <w:vertAlign w:val="superscript"/>
              </w:rPr>
            </w:pPr>
            <w:r w:rsidRPr="00CE0847">
              <w:rPr>
                <w:sz w:val="16"/>
                <w:szCs w:val="16"/>
              </w:rPr>
              <w:t>6.2 (4.5)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Pr>
          <w:p w14:paraId="35FA43CA" w14:textId="77777777" w:rsidR="00CE0847" w:rsidRPr="00CE0847" w:rsidRDefault="00CE0847" w:rsidP="00B16199">
            <w:pPr>
              <w:rPr>
                <w:sz w:val="16"/>
                <w:szCs w:val="16"/>
                <w:vertAlign w:val="superscript"/>
              </w:rPr>
            </w:pPr>
            <w:r w:rsidRPr="00CE0847">
              <w:rPr>
                <w:sz w:val="16"/>
                <w:szCs w:val="16"/>
              </w:rPr>
              <w:t>6.7 (3.1)</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r>
      <w:tr w:rsidR="00CE0847" w:rsidRPr="00CE0847" w14:paraId="5FC2A558" w14:textId="77777777" w:rsidTr="00A84CFA">
        <w:trPr>
          <w:jc w:val="center"/>
        </w:trPr>
        <w:tc>
          <w:tcPr>
            <w:tcW w:w="0" w:type="auto"/>
            <w:tcBorders>
              <w:bottom w:val="single" w:sz="4" w:space="0" w:color="000000"/>
            </w:tcBorders>
          </w:tcPr>
          <w:p w14:paraId="01FEBE01" w14:textId="77777777" w:rsidR="00CE0847" w:rsidRPr="00CE0847" w:rsidRDefault="00CE0847" w:rsidP="00B16199">
            <w:pPr>
              <w:rPr>
                <w:sz w:val="16"/>
                <w:szCs w:val="16"/>
              </w:rPr>
            </w:pPr>
          </w:p>
        </w:tc>
        <w:tc>
          <w:tcPr>
            <w:tcW w:w="0" w:type="auto"/>
            <w:tcBorders>
              <w:bottom w:val="single" w:sz="4" w:space="0" w:color="000000"/>
            </w:tcBorders>
          </w:tcPr>
          <w:p w14:paraId="24CBDFB1" w14:textId="77777777" w:rsidR="00CE0847" w:rsidRPr="00CE0847" w:rsidRDefault="00CE0847" w:rsidP="00B16199">
            <w:pPr>
              <w:rPr>
                <w:rFonts w:cs="Times New Roman"/>
                <w:sz w:val="16"/>
                <w:szCs w:val="16"/>
              </w:rPr>
            </w:pPr>
            <w:r w:rsidRPr="00CE0847">
              <w:rPr>
                <w:sz w:val="16"/>
                <w:szCs w:val="16"/>
              </w:rPr>
              <w:t>Nocturia</w:t>
            </w:r>
          </w:p>
        </w:tc>
        <w:tc>
          <w:tcPr>
            <w:tcW w:w="0" w:type="auto"/>
            <w:tcBorders>
              <w:bottom w:val="single" w:sz="4" w:space="0" w:color="000000"/>
            </w:tcBorders>
          </w:tcPr>
          <w:p w14:paraId="3C514D0A" w14:textId="77777777" w:rsidR="00CE0847" w:rsidRPr="00CE0847" w:rsidRDefault="00CE0847" w:rsidP="00B16199">
            <w:pPr>
              <w:rPr>
                <w:rFonts w:cs="Times New Roman"/>
                <w:sz w:val="16"/>
                <w:szCs w:val="16"/>
                <w:vertAlign w:val="superscript"/>
              </w:rPr>
            </w:pPr>
            <w:r w:rsidRPr="00CE0847">
              <w:rPr>
                <w:sz w:val="16"/>
                <w:szCs w:val="16"/>
              </w:rPr>
              <w:t>1.7 (2.3)</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16054AE8" w14:textId="77777777" w:rsidR="00CE0847" w:rsidRPr="00CE0847" w:rsidRDefault="00CE0847" w:rsidP="00B16199">
            <w:pPr>
              <w:rPr>
                <w:rFonts w:cs="Times New Roman"/>
                <w:sz w:val="16"/>
                <w:szCs w:val="16"/>
                <w:vertAlign w:val="superscript"/>
              </w:rPr>
            </w:pPr>
            <w:r w:rsidRPr="00CE0847">
              <w:rPr>
                <w:sz w:val="16"/>
                <w:szCs w:val="16"/>
              </w:rPr>
              <w:t>2.6 (2.9)</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4176AB0" w14:textId="77777777" w:rsidR="00CE0847" w:rsidRPr="00CE0847" w:rsidRDefault="00CE0847" w:rsidP="00B16199">
            <w:pPr>
              <w:rPr>
                <w:rFonts w:cs="Times New Roman"/>
                <w:sz w:val="16"/>
                <w:szCs w:val="16"/>
                <w:vertAlign w:val="superscript"/>
              </w:rPr>
            </w:pPr>
            <w:r w:rsidRPr="00CE0847">
              <w:rPr>
                <w:sz w:val="16"/>
                <w:szCs w:val="16"/>
              </w:rPr>
              <w:t>8.5 (3.5)</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7164DBEB" w14:textId="77777777" w:rsidR="00CE0847" w:rsidRPr="00CE0847" w:rsidRDefault="00CE0847" w:rsidP="00B16199">
            <w:pPr>
              <w:rPr>
                <w:rFonts w:cs="Times New Roman"/>
                <w:sz w:val="16"/>
                <w:szCs w:val="16"/>
                <w:vertAlign w:val="superscript"/>
              </w:rPr>
            </w:pPr>
            <w:r w:rsidRPr="00CE0847">
              <w:rPr>
                <w:sz w:val="16"/>
                <w:szCs w:val="16"/>
              </w:rPr>
              <w:t>4.6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4555BB7C" w14:textId="77777777" w:rsidR="00CE0847" w:rsidRPr="00CE0847" w:rsidRDefault="00CE0847" w:rsidP="00B16199">
            <w:pPr>
              <w:rPr>
                <w:rFonts w:cs="Times New Roman"/>
                <w:sz w:val="16"/>
                <w:szCs w:val="16"/>
                <w:vertAlign w:val="superscript"/>
              </w:rPr>
            </w:pPr>
            <w:r w:rsidRPr="00CE0847">
              <w:rPr>
                <w:sz w:val="16"/>
                <w:szCs w:val="16"/>
              </w:rPr>
              <w:t>6.9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05065A4B" w14:textId="77777777" w:rsidR="00CE0847" w:rsidRPr="00CE0847" w:rsidRDefault="00CE0847" w:rsidP="00B16199">
            <w:pPr>
              <w:rPr>
                <w:sz w:val="16"/>
                <w:szCs w:val="16"/>
                <w:vertAlign w:val="superscript"/>
              </w:rPr>
            </w:pPr>
            <w:r w:rsidRPr="00CE0847">
              <w:rPr>
                <w:sz w:val="16"/>
                <w:szCs w:val="16"/>
              </w:rPr>
              <w:t>7.1 (3.4)</w:t>
            </w:r>
            <w:r w:rsidRPr="00CE0847">
              <w:rPr>
                <w:sz w:val="16"/>
                <w:szCs w:val="16"/>
                <w:vertAlign w:val="superscript"/>
              </w:rPr>
              <w:t>1</w:t>
            </w:r>
            <w:r w:rsidR="004B357D">
              <w:rPr>
                <w:sz w:val="16"/>
                <w:szCs w:val="16"/>
                <w:vertAlign w:val="superscript"/>
              </w:rPr>
              <w:t>,</w:t>
            </w:r>
            <w:r w:rsidRPr="00CE0847">
              <w:rPr>
                <w:sz w:val="16"/>
                <w:szCs w:val="16"/>
                <w:vertAlign w:val="superscript"/>
              </w:rPr>
              <w:t>2</w:t>
            </w:r>
          </w:p>
        </w:tc>
      </w:tr>
      <w:tr w:rsidR="00CE0847" w:rsidRPr="00CE0847" w14:paraId="04530DA9" w14:textId="77777777" w:rsidTr="00A84CFA">
        <w:trPr>
          <w:jc w:val="center"/>
        </w:trPr>
        <w:tc>
          <w:tcPr>
            <w:tcW w:w="0" w:type="auto"/>
            <w:tcBorders>
              <w:top w:val="single" w:sz="4" w:space="0" w:color="000000"/>
            </w:tcBorders>
          </w:tcPr>
          <w:p w14:paraId="494E005A" w14:textId="77777777" w:rsidR="00CE0847" w:rsidRPr="00CE0847" w:rsidRDefault="00CE0847" w:rsidP="00B16199">
            <w:pPr>
              <w:rPr>
                <w:sz w:val="16"/>
                <w:szCs w:val="16"/>
              </w:rPr>
            </w:pPr>
            <w:r w:rsidRPr="00CE0847">
              <w:rPr>
                <w:sz w:val="16"/>
                <w:szCs w:val="16"/>
              </w:rPr>
              <w:t>8. Sexual</w:t>
            </w:r>
          </w:p>
        </w:tc>
        <w:tc>
          <w:tcPr>
            <w:tcW w:w="0" w:type="auto"/>
            <w:tcBorders>
              <w:top w:val="single" w:sz="4" w:space="0" w:color="000000"/>
            </w:tcBorders>
          </w:tcPr>
          <w:p w14:paraId="50705F4D" w14:textId="77777777" w:rsidR="00CE0847" w:rsidRPr="00CE0847" w:rsidRDefault="00CE0847" w:rsidP="00B16199">
            <w:pPr>
              <w:rPr>
                <w:rFonts w:cs="Times New Roman"/>
                <w:sz w:val="16"/>
                <w:szCs w:val="16"/>
              </w:rPr>
            </w:pPr>
            <w:r w:rsidRPr="00CE0847">
              <w:rPr>
                <w:sz w:val="16"/>
                <w:szCs w:val="16"/>
              </w:rPr>
              <w:t>Sex drive</w:t>
            </w:r>
          </w:p>
        </w:tc>
        <w:tc>
          <w:tcPr>
            <w:tcW w:w="0" w:type="auto"/>
            <w:tcBorders>
              <w:top w:val="single" w:sz="4" w:space="0" w:color="000000"/>
            </w:tcBorders>
          </w:tcPr>
          <w:p w14:paraId="0204E850" w14:textId="77777777" w:rsidR="00CE0847" w:rsidRPr="00CE0847" w:rsidRDefault="00CE0847" w:rsidP="00B16199">
            <w:pPr>
              <w:rPr>
                <w:rFonts w:cs="Times New Roman"/>
                <w:sz w:val="16"/>
                <w:szCs w:val="16"/>
                <w:vertAlign w:val="superscript"/>
              </w:rPr>
            </w:pPr>
            <w:r w:rsidRPr="00CE0847">
              <w:rPr>
                <w:sz w:val="16"/>
                <w:szCs w:val="16"/>
              </w:rPr>
              <w:t>0.7 (1.7)</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115108A7" w14:textId="77777777" w:rsidR="00CE0847" w:rsidRPr="00CE0847" w:rsidRDefault="00CE0847" w:rsidP="00B16199">
            <w:pPr>
              <w:rPr>
                <w:rFonts w:cs="Times New Roman"/>
                <w:sz w:val="16"/>
                <w:szCs w:val="16"/>
                <w:vertAlign w:val="superscript"/>
              </w:rPr>
            </w:pPr>
            <w:r w:rsidRPr="00CE0847">
              <w:rPr>
                <w:sz w:val="16"/>
                <w:szCs w:val="16"/>
              </w:rPr>
              <w:t>1.9 (3.4)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6CC59C00" w14:textId="77777777" w:rsidR="00CE0847" w:rsidRPr="00CE0847" w:rsidRDefault="00CE0847" w:rsidP="00B16199">
            <w:pPr>
              <w:rPr>
                <w:rFonts w:cs="Times New Roman"/>
                <w:sz w:val="16"/>
                <w:szCs w:val="16"/>
                <w:vertAlign w:val="superscript"/>
              </w:rPr>
            </w:pPr>
            <w:r w:rsidRPr="00CE0847">
              <w:rPr>
                <w:sz w:val="16"/>
                <w:szCs w:val="16"/>
              </w:rPr>
              <w:t>3 (4.1)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73FE98B8" w14:textId="77777777" w:rsidR="00CE0847" w:rsidRPr="00CE0847" w:rsidRDefault="00CE0847" w:rsidP="00B16199">
            <w:pPr>
              <w:rPr>
                <w:rFonts w:cs="Times New Roman"/>
                <w:sz w:val="16"/>
                <w:szCs w:val="16"/>
                <w:vertAlign w:val="superscript"/>
              </w:rPr>
            </w:pPr>
            <w:r w:rsidRPr="00CE0847">
              <w:rPr>
                <w:sz w:val="16"/>
                <w:szCs w:val="16"/>
              </w:rPr>
              <w:t>3.6 (4.4)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top w:val="single" w:sz="4" w:space="0" w:color="000000"/>
            </w:tcBorders>
          </w:tcPr>
          <w:p w14:paraId="0935BA44" w14:textId="77777777" w:rsidR="00CE0847" w:rsidRPr="00CE0847" w:rsidRDefault="00CE0847" w:rsidP="00B16199">
            <w:pPr>
              <w:rPr>
                <w:rFonts w:cs="Times New Roman"/>
                <w:sz w:val="16"/>
                <w:szCs w:val="16"/>
                <w:vertAlign w:val="superscript"/>
              </w:rPr>
            </w:pPr>
            <w:r w:rsidRPr="00CE0847">
              <w:rPr>
                <w:sz w:val="16"/>
                <w:szCs w:val="16"/>
              </w:rPr>
              <w:t>6 (5.3)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p>
        </w:tc>
        <w:tc>
          <w:tcPr>
            <w:tcW w:w="0" w:type="auto"/>
            <w:tcBorders>
              <w:top w:val="single" w:sz="4" w:space="0" w:color="000000"/>
            </w:tcBorders>
          </w:tcPr>
          <w:p w14:paraId="6D377A13" w14:textId="77777777" w:rsidR="00CE0847" w:rsidRPr="00CE0847" w:rsidRDefault="00CE0847" w:rsidP="00B16199">
            <w:pPr>
              <w:rPr>
                <w:sz w:val="16"/>
                <w:szCs w:val="16"/>
                <w:vertAlign w:val="superscript"/>
              </w:rPr>
            </w:pPr>
            <w:r w:rsidRPr="00CE0847">
              <w:rPr>
                <w:sz w:val="16"/>
                <w:szCs w:val="16"/>
              </w:rPr>
              <w:t>3.9 (5.3)</w:t>
            </w:r>
            <w:r w:rsidRPr="00CE0847">
              <w:rPr>
                <w:sz w:val="16"/>
                <w:szCs w:val="16"/>
                <w:vertAlign w:val="superscript"/>
              </w:rPr>
              <w:t>1</w:t>
            </w:r>
          </w:p>
        </w:tc>
      </w:tr>
      <w:tr w:rsidR="00CE0847" w:rsidRPr="00CE0847" w14:paraId="71F627B8" w14:textId="77777777" w:rsidTr="00A84CFA">
        <w:trPr>
          <w:jc w:val="center"/>
        </w:trPr>
        <w:tc>
          <w:tcPr>
            <w:tcW w:w="0" w:type="auto"/>
            <w:tcBorders>
              <w:bottom w:val="single" w:sz="4" w:space="0" w:color="000000"/>
            </w:tcBorders>
          </w:tcPr>
          <w:p w14:paraId="013FCF76" w14:textId="77777777" w:rsidR="00CE0847" w:rsidRPr="00CE0847" w:rsidRDefault="00CE0847" w:rsidP="00B16199">
            <w:pPr>
              <w:rPr>
                <w:sz w:val="16"/>
                <w:szCs w:val="16"/>
              </w:rPr>
            </w:pPr>
          </w:p>
        </w:tc>
        <w:tc>
          <w:tcPr>
            <w:tcW w:w="0" w:type="auto"/>
            <w:tcBorders>
              <w:bottom w:val="single" w:sz="4" w:space="0" w:color="000000"/>
            </w:tcBorders>
          </w:tcPr>
          <w:p w14:paraId="080684CA" w14:textId="77777777" w:rsidR="00CE0847" w:rsidRPr="00CE0847" w:rsidRDefault="00CE0847" w:rsidP="00B16199">
            <w:pPr>
              <w:rPr>
                <w:sz w:val="16"/>
                <w:szCs w:val="16"/>
              </w:rPr>
            </w:pPr>
            <w:r w:rsidRPr="00CE0847">
              <w:rPr>
                <w:sz w:val="16"/>
                <w:szCs w:val="16"/>
              </w:rPr>
              <w:t>Sex dysfunction</w:t>
            </w:r>
          </w:p>
        </w:tc>
        <w:tc>
          <w:tcPr>
            <w:tcW w:w="0" w:type="auto"/>
            <w:tcBorders>
              <w:bottom w:val="single" w:sz="4" w:space="0" w:color="000000"/>
            </w:tcBorders>
          </w:tcPr>
          <w:p w14:paraId="7D20DF38" w14:textId="77777777" w:rsidR="00CE0847" w:rsidRPr="00CE0847" w:rsidRDefault="00CE0847" w:rsidP="00B16199">
            <w:pPr>
              <w:rPr>
                <w:sz w:val="16"/>
                <w:szCs w:val="16"/>
                <w:vertAlign w:val="superscript"/>
              </w:rPr>
            </w:pPr>
            <w:r w:rsidRPr="00CE0847">
              <w:rPr>
                <w:sz w:val="16"/>
                <w:szCs w:val="16"/>
              </w:rPr>
              <w:t>0.7 (2)</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12068A1" w14:textId="77777777" w:rsidR="00CE0847" w:rsidRPr="00CE0847" w:rsidRDefault="00CE0847" w:rsidP="00B16199">
            <w:pPr>
              <w:rPr>
                <w:sz w:val="16"/>
                <w:szCs w:val="16"/>
                <w:vertAlign w:val="superscript"/>
              </w:rPr>
            </w:pPr>
            <w:r w:rsidRPr="00CE0847">
              <w:rPr>
                <w:sz w:val="16"/>
                <w:szCs w:val="16"/>
              </w:rPr>
              <w:t>1.8 (3.3)</w:t>
            </w:r>
            <w:r w:rsidR="006F6430" w:rsidRPr="00CE0847">
              <w:rPr>
                <w:sz w:val="16"/>
                <w:szCs w:val="16"/>
                <w:vertAlign w:val="superscript"/>
              </w:rPr>
              <w:t>3</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035AE5B3" w14:textId="77777777" w:rsidR="00CE0847" w:rsidRPr="00CE0847" w:rsidRDefault="00CE0847" w:rsidP="00B16199">
            <w:pPr>
              <w:rPr>
                <w:sz w:val="16"/>
                <w:szCs w:val="16"/>
                <w:vertAlign w:val="superscript"/>
              </w:rPr>
            </w:pPr>
            <w:r w:rsidRPr="00CE0847">
              <w:rPr>
                <w:sz w:val="16"/>
                <w:szCs w:val="16"/>
              </w:rPr>
              <w:t>3.4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p>
        </w:tc>
        <w:tc>
          <w:tcPr>
            <w:tcW w:w="0" w:type="auto"/>
            <w:tcBorders>
              <w:bottom w:val="single" w:sz="4" w:space="0" w:color="000000"/>
            </w:tcBorders>
          </w:tcPr>
          <w:p w14:paraId="512AA538" w14:textId="77777777" w:rsidR="00CE0847" w:rsidRPr="00CE0847" w:rsidRDefault="00CE0847" w:rsidP="00B16199">
            <w:pPr>
              <w:rPr>
                <w:sz w:val="16"/>
                <w:szCs w:val="16"/>
                <w:vertAlign w:val="superscript"/>
              </w:rPr>
            </w:pPr>
            <w:r w:rsidRPr="00CE0847">
              <w:rPr>
                <w:sz w:val="16"/>
                <w:szCs w:val="16"/>
              </w:rPr>
              <w:t>2.3 (4.2)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Borders>
              <w:bottom w:val="single" w:sz="4" w:space="0" w:color="000000"/>
            </w:tcBorders>
          </w:tcPr>
          <w:p w14:paraId="6C114117" w14:textId="77777777" w:rsidR="00CE0847" w:rsidRPr="00CE0847" w:rsidRDefault="00CE0847" w:rsidP="00B16199">
            <w:pPr>
              <w:rPr>
                <w:sz w:val="16"/>
                <w:szCs w:val="16"/>
                <w:vertAlign w:val="superscript"/>
              </w:rPr>
            </w:pPr>
            <w:r w:rsidRPr="00CE0847">
              <w:rPr>
                <w:sz w:val="16"/>
                <w:szCs w:val="16"/>
              </w:rPr>
              <w:t>5 (5.2)</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4</w:t>
            </w:r>
          </w:p>
        </w:tc>
        <w:tc>
          <w:tcPr>
            <w:tcW w:w="0" w:type="auto"/>
            <w:tcBorders>
              <w:bottom w:val="single" w:sz="4" w:space="0" w:color="000000"/>
            </w:tcBorders>
          </w:tcPr>
          <w:p w14:paraId="6CFAF0D6" w14:textId="77777777" w:rsidR="00CE0847" w:rsidRPr="00CE0847" w:rsidRDefault="00CE0847" w:rsidP="00B16199">
            <w:pPr>
              <w:rPr>
                <w:sz w:val="16"/>
                <w:szCs w:val="16"/>
                <w:vertAlign w:val="superscript"/>
              </w:rPr>
            </w:pPr>
            <w:r w:rsidRPr="00CE0847">
              <w:rPr>
                <w:sz w:val="16"/>
                <w:szCs w:val="16"/>
              </w:rPr>
              <w:t>3.8 (5.6)</w:t>
            </w:r>
            <w:r w:rsidRPr="00CE0847">
              <w:rPr>
                <w:sz w:val="16"/>
                <w:szCs w:val="16"/>
                <w:vertAlign w:val="superscript"/>
              </w:rPr>
              <w:t>1</w:t>
            </w:r>
          </w:p>
        </w:tc>
      </w:tr>
      <w:tr w:rsidR="00CE0847" w:rsidRPr="00CE0847" w14:paraId="14553C2C" w14:textId="77777777" w:rsidTr="00A84CFA">
        <w:trPr>
          <w:jc w:val="center"/>
        </w:trPr>
        <w:tc>
          <w:tcPr>
            <w:tcW w:w="0" w:type="auto"/>
            <w:tcBorders>
              <w:top w:val="single" w:sz="4" w:space="0" w:color="000000"/>
            </w:tcBorders>
          </w:tcPr>
          <w:p w14:paraId="0B5E9FEE" w14:textId="77777777" w:rsidR="00CE0847" w:rsidRPr="00CE0847" w:rsidRDefault="00CE0847" w:rsidP="00B16199">
            <w:pPr>
              <w:rPr>
                <w:sz w:val="16"/>
                <w:szCs w:val="16"/>
              </w:rPr>
            </w:pPr>
            <w:r w:rsidRPr="00CE0847">
              <w:rPr>
                <w:sz w:val="16"/>
                <w:szCs w:val="16"/>
              </w:rPr>
              <w:t>9.</w:t>
            </w:r>
          </w:p>
        </w:tc>
        <w:tc>
          <w:tcPr>
            <w:tcW w:w="0" w:type="auto"/>
            <w:tcBorders>
              <w:top w:val="single" w:sz="4" w:space="0" w:color="000000"/>
            </w:tcBorders>
          </w:tcPr>
          <w:p w14:paraId="482A1818" w14:textId="77777777" w:rsidR="00CE0847" w:rsidRPr="00CE0847" w:rsidRDefault="00CE0847" w:rsidP="00B16199">
            <w:pPr>
              <w:rPr>
                <w:sz w:val="16"/>
                <w:szCs w:val="16"/>
              </w:rPr>
            </w:pPr>
            <w:r w:rsidRPr="00CE0847">
              <w:rPr>
                <w:sz w:val="16"/>
                <w:szCs w:val="16"/>
              </w:rPr>
              <w:t>Unexplained pain</w:t>
            </w:r>
          </w:p>
        </w:tc>
        <w:tc>
          <w:tcPr>
            <w:tcW w:w="0" w:type="auto"/>
            <w:tcBorders>
              <w:top w:val="single" w:sz="4" w:space="0" w:color="000000"/>
            </w:tcBorders>
          </w:tcPr>
          <w:p w14:paraId="11EB381F" w14:textId="77777777" w:rsidR="00CE0847" w:rsidRPr="00CE0847" w:rsidRDefault="00CE0847" w:rsidP="00B16199">
            <w:pPr>
              <w:rPr>
                <w:sz w:val="16"/>
                <w:szCs w:val="16"/>
                <w:vertAlign w:val="superscript"/>
              </w:rPr>
            </w:pPr>
            <w:r w:rsidRPr="00CE0847">
              <w:rPr>
                <w:sz w:val="16"/>
                <w:szCs w:val="16"/>
              </w:rPr>
              <w:t>0.7 (1.8)</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07D4CA38" w14:textId="77777777" w:rsidR="00CE0847" w:rsidRPr="00CE0847" w:rsidRDefault="00CE0847" w:rsidP="00B16199">
            <w:pPr>
              <w:rPr>
                <w:sz w:val="16"/>
                <w:szCs w:val="16"/>
                <w:vertAlign w:val="superscript"/>
              </w:rPr>
            </w:pPr>
            <w:r w:rsidRPr="00CE0847">
              <w:rPr>
                <w:sz w:val="16"/>
                <w:szCs w:val="16"/>
              </w:rPr>
              <w:t>2.6 (3.9)</w:t>
            </w:r>
            <w:r w:rsidR="006F6430" w:rsidRPr="00CE0847">
              <w:rPr>
                <w:sz w:val="16"/>
                <w:szCs w:val="16"/>
                <w:vertAlign w:val="superscript"/>
              </w:rPr>
              <w:t>1</w:t>
            </w:r>
          </w:p>
        </w:tc>
        <w:tc>
          <w:tcPr>
            <w:tcW w:w="0" w:type="auto"/>
            <w:tcBorders>
              <w:top w:val="single" w:sz="4" w:space="0" w:color="000000"/>
            </w:tcBorders>
          </w:tcPr>
          <w:p w14:paraId="095E685D" w14:textId="77777777" w:rsidR="00CE0847" w:rsidRPr="00CE0847" w:rsidRDefault="00CE0847" w:rsidP="00B16199">
            <w:pPr>
              <w:rPr>
                <w:sz w:val="16"/>
                <w:szCs w:val="16"/>
                <w:vertAlign w:val="superscript"/>
              </w:rPr>
            </w:pPr>
            <w:r w:rsidRPr="00CE0847">
              <w:rPr>
                <w:sz w:val="16"/>
                <w:szCs w:val="16"/>
              </w:rPr>
              <w:t>2.4 (4)</w:t>
            </w:r>
            <w:r w:rsidR="006F6430" w:rsidRPr="00CE0847">
              <w:rPr>
                <w:sz w:val="16"/>
                <w:szCs w:val="16"/>
                <w:vertAlign w:val="superscript"/>
              </w:rPr>
              <w:t>1</w:t>
            </w:r>
          </w:p>
        </w:tc>
        <w:tc>
          <w:tcPr>
            <w:tcW w:w="0" w:type="auto"/>
            <w:tcBorders>
              <w:top w:val="single" w:sz="4" w:space="0" w:color="000000"/>
            </w:tcBorders>
          </w:tcPr>
          <w:p w14:paraId="05D67D19" w14:textId="77777777" w:rsidR="00CE0847" w:rsidRPr="00CE0847" w:rsidRDefault="00CE0847" w:rsidP="00B16199">
            <w:pPr>
              <w:rPr>
                <w:sz w:val="16"/>
                <w:szCs w:val="16"/>
                <w:vertAlign w:val="superscript"/>
              </w:rPr>
            </w:pPr>
            <w:r w:rsidRPr="00CE0847">
              <w:rPr>
                <w:sz w:val="16"/>
                <w:szCs w:val="16"/>
              </w:rPr>
              <w:t>2.3 (3.6)</w:t>
            </w:r>
            <w:r w:rsidR="006F6430" w:rsidRPr="00CE0847">
              <w:rPr>
                <w:sz w:val="16"/>
                <w:szCs w:val="16"/>
                <w:vertAlign w:val="superscript"/>
              </w:rPr>
              <w:t>1</w:t>
            </w:r>
          </w:p>
        </w:tc>
        <w:tc>
          <w:tcPr>
            <w:tcW w:w="0" w:type="auto"/>
            <w:tcBorders>
              <w:top w:val="single" w:sz="4" w:space="0" w:color="000000"/>
            </w:tcBorders>
          </w:tcPr>
          <w:p w14:paraId="1089DC3C" w14:textId="77777777" w:rsidR="00CE0847" w:rsidRPr="00CE0847" w:rsidRDefault="00CE0847" w:rsidP="00B16199">
            <w:pPr>
              <w:rPr>
                <w:sz w:val="16"/>
                <w:szCs w:val="16"/>
                <w:vertAlign w:val="superscript"/>
              </w:rPr>
            </w:pPr>
            <w:r w:rsidRPr="00CE0847">
              <w:rPr>
                <w:sz w:val="16"/>
                <w:szCs w:val="16"/>
              </w:rPr>
              <w:t>4.3 (5)</w:t>
            </w:r>
            <w:r w:rsidR="006F6430" w:rsidRPr="00CE0847">
              <w:rPr>
                <w:sz w:val="16"/>
                <w:szCs w:val="16"/>
                <w:vertAlign w:val="superscript"/>
              </w:rPr>
              <w:t>1</w:t>
            </w:r>
          </w:p>
        </w:tc>
        <w:tc>
          <w:tcPr>
            <w:tcW w:w="0" w:type="auto"/>
            <w:tcBorders>
              <w:top w:val="single" w:sz="4" w:space="0" w:color="000000"/>
            </w:tcBorders>
          </w:tcPr>
          <w:p w14:paraId="13D2AD76" w14:textId="77777777" w:rsidR="00CE0847" w:rsidRPr="00CE0847" w:rsidRDefault="00CE0847" w:rsidP="00B16199">
            <w:pPr>
              <w:rPr>
                <w:sz w:val="16"/>
                <w:szCs w:val="16"/>
                <w:vertAlign w:val="superscript"/>
              </w:rPr>
            </w:pPr>
            <w:r w:rsidRPr="00CE0847">
              <w:rPr>
                <w:sz w:val="16"/>
                <w:szCs w:val="16"/>
              </w:rPr>
              <w:t>4.3 (2.2)</w:t>
            </w:r>
            <w:r w:rsidRPr="00CE0847">
              <w:rPr>
                <w:sz w:val="16"/>
                <w:szCs w:val="16"/>
                <w:vertAlign w:val="superscript"/>
              </w:rPr>
              <w:t>1</w:t>
            </w:r>
          </w:p>
        </w:tc>
      </w:tr>
      <w:tr w:rsidR="00CE0847" w:rsidRPr="00CE0847" w14:paraId="51186827" w14:textId="77777777" w:rsidTr="00A84CFA">
        <w:trPr>
          <w:jc w:val="center"/>
        </w:trPr>
        <w:tc>
          <w:tcPr>
            <w:tcW w:w="0" w:type="auto"/>
          </w:tcPr>
          <w:p w14:paraId="24F20F38" w14:textId="77777777" w:rsidR="00CE0847" w:rsidRPr="00CE0847" w:rsidRDefault="00CE0847" w:rsidP="00B16199">
            <w:pPr>
              <w:rPr>
                <w:sz w:val="16"/>
                <w:szCs w:val="16"/>
              </w:rPr>
            </w:pPr>
            <w:r w:rsidRPr="00CE0847">
              <w:rPr>
                <w:sz w:val="16"/>
                <w:szCs w:val="16"/>
              </w:rPr>
              <w:t>Miscellaneous</w:t>
            </w:r>
          </w:p>
        </w:tc>
        <w:tc>
          <w:tcPr>
            <w:tcW w:w="0" w:type="auto"/>
          </w:tcPr>
          <w:p w14:paraId="753EA9C3" w14:textId="77777777" w:rsidR="00CE0847" w:rsidRPr="00CE0847" w:rsidRDefault="00CE0847" w:rsidP="00B16199">
            <w:pPr>
              <w:rPr>
                <w:sz w:val="16"/>
                <w:szCs w:val="16"/>
              </w:rPr>
            </w:pPr>
            <w:r w:rsidRPr="00CE0847">
              <w:rPr>
                <w:sz w:val="16"/>
                <w:szCs w:val="16"/>
              </w:rPr>
              <w:t>Gustation/olfaction</w:t>
            </w:r>
          </w:p>
        </w:tc>
        <w:tc>
          <w:tcPr>
            <w:tcW w:w="0" w:type="auto"/>
          </w:tcPr>
          <w:p w14:paraId="0003968E" w14:textId="77777777" w:rsidR="00CE0847" w:rsidRPr="00CE0847" w:rsidRDefault="00CE0847" w:rsidP="00B16199">
            <w:pPr>
              <w:rPr>
                <w:sz w:val="16"/>
                <w:szCs w:val="16"/>
                <w:vertAlign w:val="superscript"/>
              </w:rPr>
            </w:pPr>
            <w:r w:rsidRPr="00CE0847">
              <w:rPr>
                <w:sz w:val="16"/>
                <w:szCs w:val="16"/>
              </w:rPr>
              <w:t>1.2 (2.5)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4B36AAD" w14:textId="77777777" w:rsidR="00CE0847" w:rsidRPr="00CE0847" w:rsidRDefault="00CE0847" w:rsidP="00B16199">
            <w:pPr>
              <w:rPr>
                <w:sz w:val="16"/>
                <w:szCs w:val="16"/>
                <w:vertAlign w:val="superscript"/>
              </w:rPr>
            </w:pPr>
            <w:r w:rsidRPr="00CE0847">
              <w:rPr>
                <w:sz w:val="16"/>
                <w:szCs w:val="16"/>
              </w:rPr>
              <w:t>4 (4.2)</w:t>
            </w:r>
            <w:r w:rsidR="006F6430" w:rsidRPr="00CE0847">
              <w:rPr>
                <w:sz w:val="16"/>
                <w:szCs w:val="16"/>
                <w:vertAlign w:val="superscript"/>
              </w:rPr>
              <w:t>1</w:t>
            </w:r>
          </w:p>
        </w:tc>
        <w:tc>
          <w:tcPr>
            <w:tcW w:w="0" w:type="auto"/>
          </w:tcPr>
          <w:p w14:paraId="12104552" w14:textId="77777777" w:rsidR="00CE0847" w:rsidRPr="00CE0847" w:rsidRDefault="00CE0847" w:rsidP="00B16199">
            <w:pPr>
              <w:rPr>
                <w:sz w:val="16"/>
                <w:szCs w:val="16"/>
                <w:vertAlign w:val="superscript"/>
              </w:rPr>
            </w:pPr>
            <w:r w:rsidRPr="00CE0847">
              <w:rPr>
                <w:sz w:val="16"/>
                <w:szCs w:val="16"/>
              </w:rPr>
              <w:t>2.5 (3.6)</w:t>
            </w:r>
          </w:p>
        </w:tc>
        <w:tc>
          <w:tcPr>
            <w:tcW w:w="0" w:type="auto"/>
          </w:tcPr>
          <w:p w14:paraId="15400D42" w14:textId="77777777" w:rsidR="00CE0847" w:rsidRPr="00CE0847" w:rsidRDefault="00CE0847" w:rsidP="00B16199">
            <w:pPr>
              <w:rPr>
                <w:sz w:val="16"/>
                <w:szCs w:val="16"/>
                <w:vertAlign w:val="superscript"/>
              </w:rPr>
            </w:pPr>
            <w:r w:rsidRPr="00CE0847">
              <w:rPr>
                <w:sz w:val="16"/>
                <w:szCs w:val="16"/>
              </w:rPr>
              <w:t>3 (3.9)</w:t>
            </w:r>
            <w:r w:rsidRPr="00CE0847">
              <w:rPr>
                <w:sz w:val="16"/>
                <w:szCs w:val="16"/>
                <w:vertAlign w:val="superscript"/>
              </w:rPr>
              <w:t>1</w:t>
            </w:r>
          </w:p>
        </w:tc>
        <w:tc>
          <w:tcPr>
            <w:tcW w:w="0" w:type="auto"/>
          </w:tcPr>
          <w:p w14:paraId="55494A1F" w14:textId="77777777" w:rsidR="00CE0847" w:rsidRPr="00CE0847" w:rsidRDefault="00CE0847" w:rsidP="00B16199">
            <w:pPr>
              <w:rPr>
                <w:sz w:val="16"/>
                <w:szCs w:val="16"/>
                <w:vertAlign w:val="superscript"/>
              </w:rPr>
            </w:pPr>
            <w:r w:rsidRPr="00CE0847">
              <w:rPr>
                <w:sz w:val="16"/>
                <w:szCs w:val="16"/>
              </w:rPr>
              <w:t>4 (4.7)</w:t>
            </w:r>
            <w:r w:rsidRPr="00CE0847">
              <w:rPr>
                <w:sz w:val="16"/>
                <w:szCs w:val="16"/>
                <w:vertAlign w:val="superscript"/>
              </w:rPr>
              <w:t>1</w:t>
            </w:r>
          </w:p>
        </w:tc>
        <w:tc>
          <w:tcPr>
            <w:tcW w:w="0" w:type="auto"/>
          </w:tcPr>
          <w:p w14:paraId="77AD5EBD" w14:textId="77777777" w:rsidR="00CE0847" w:rsidRPr="00CE0847" w:rsidRDefault="00CE0847" w:rsidP="00B16199">
            <w:pPr>
              <w:rPr>
                <w:sz w:val="16"/>
                <w:szCs w:val="16"/>
                <w:vertAlign w:val="superscript"/>
              </w:rPr>
            </w:pPr>
            <w:r w:rsidRPr="00CE0847">
              <w:rPr>
                <w:sz w:val="16"/>
                <w:szCs w:val="16"/>
              </w:rPr>
              <w:t>5.5 (4.7)</w:t>
            </w:r>
            <w:r w:rsidRPr="00CE0847">
              <w:rPr>
                <w:sz w:val="16"/>
                <w:szCs w:val="16"/>
                <w:vertAlign w:val="superscript"/>
              </w:rPr>
              <w:t>1</w:t>
            </w:r>
          </w:p>
        </w:tc>
      </w:tr>
      <w:tr w:rsidR="00CE0847" w:rsidRPr="00CE0847" w14:paraId="117EB8DB" w14:textId="77777777" w:rsidTr="00A84CFA">
        <w:trPr>
          <w:trHeight w:val="377"/>
          <w:jc w:val="center"/>
        </w:trPr>
        <w:tc>
          <w:tcPr>
            <w:tcW w:w="0" w:type="auto"/>
          </w:tcPr>
          <w:p w14:paraId="306084CC" w14:textId="77777777" w:rsidR="00CE0847" w:rsidRPr="00CE0847" w:rsidRDefault="00CE0847" w:rsidP="00B16199">
            <w:pPr>
              <w:rPr>
                <w:sz w:val="16"/>
                <w:szCs w:val="16"/>
              </w:rPr>
            </w:pPr>
          </w:p>
        </w:tc>
        <w:tc>
          <w:tcPr>
            <w:tcW w:w="0" w:type="auto"/>
          </w:tcPr>
          <w:p w14:paraId="01D35DC8" w14:textId="77777777" w:rsidR="00CE0847" w:rsidRPr="00CE0847" w:rsidRDefault="00CE0847" w:rsidP="00B16199">
            <w:pPr>
              <w:rPr>
                <w:sz w:val="16"/>
                <w:szCs w:val="16"/>
              </w:rPr>
            </w:pPr>
            <w:r w:rsidRPr="00CE0847">
              <w:rPr>
                <w:sz w:val="16"/>
                <w:szCs w:val="16"/>
              </w:rPr>
              <w:t>Weight change</w:t>
            </w:r>
          </w:p>
        </w:tc>
        <w:tc>
          <w:tcPr>
            <w:tcW w:w="0" w:type="auto"/>
          </w:tcPr>
          <w:p w14:paraId="24C162B4" w14:textId="77777777" w:rsidR="00CE0847" w:rsidRPr="00CE0847" w:rsidRDefault="00CE0847" w:rsidP="00B16199">
            <w:pPr>
              <w:rPr>
                <w:sz w:val="16"/>
                <w:szCs w:val="16"/>
                <w:vertAlign w:val="superscript"/>
              </w:rPr>
            </w:pPr>
            <w:r w:rsidRPr="00CE0847">
              <w:rPr>
                <w:sz w:val="16"/>
                <w:szCs w:val="16"/>
              </w:rPr>
              <w:t>0.8 (1.4)</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29F44AD7" w14:textId="77777777" w:rsidR="00CE0847" w:rsidRPr="00CE0847" w:rsidRDefault="00CE0847" w:rsidP="00B16199">
            <w:pPr>
              <w:rPr>
                <w:sz w:val="16"/>
                <w:szCs w:val="16"/>
                <w:vertAlign w:val="superscript"/>
              </w:rPr>
            </w:pPr>
            <w:r w:rsidRPr="00CE0847">
              <w:rPr>
                <w:sz w:val="16"/>
                <w:szCs w:val="16"/>
              </w:rPr>
              <w:t>1.9 (3.1)</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5</w:t>
            </w:r>
          </w:p>
        </w:tc>
        <w:tc>
          <w:tcPr>
            <w:tcW w:w="0" w:type="auto"/>
          </w:tcPr>
          <w:p w14:paraId="1BE7F479" w14:textId="77777777" w:rsidR="00CE0847" w:rsidRPr="00CE0847" w:rsidRDefault="00CE0847" w:rsidP="00B16199">
            <w:pPr>
              <w:rPr>
                <w:sz w:val="16"/>
                <w:szCs w:val="16"/>
                <w:vertAlign w:val="superscript"/>
              </w:rPr>
            </w:pPr>
            <w:r w:rsidRPr="00CE0847">
              <w:rPr>
                <w:sz w:val="16"/>
                <w:szCs w:val="16"/>
              </w:rPr>
              <w:t>1.8 (3)</w:t>
            </w:r>
            <w:r w:rsidR="006F6430" w:rsidRPr="00CE0847">
              <w:rPr>
                <w:sz w:val="16"/>
                <w:szCs w:val="16"/>
                <w:vertAlign w:val="superscript"/>
              </w:rPr>
              <w:t>5</w:t>
            </w:r>
          </w:p>
        </w:tc>
        <w:tc>
          <w:tcPr>
            <w:tcW w:w="0" w:type="auto"/>
          </w:tcPr>
          <w:p w14:paraId="2C9A7BAF" w14:textId="77777777" w:rsidR="00CE0847" w:rsidRPr="00CE0847" w:rsidRDefault="00CE0847" w:rsidP="00B16199">
            <w:pPr>
              <w:rPr>
                <w:sz w:val="16"/>
                <w:szCs w:val="16"/>
                <w:vertAlign w:val="superscript"/>
              </w:rPr>
            </w:pPr>
            <w:r w:rsidRPr="00CE0847">
              <w:rPr>
                <w:sz w:val="16"/>
                <w:szCs w:val="16"/>
              </w:rPr>
              <w:t>2.1 (2.8)</w:t>
            </w:r>
            <w:r w:rsidR="006F6430" w:rsidRPr="00CE0847">
              <w:rPr>
                <w:sz w:val="16"/>
                <w:szCs w:val="16"/>
                <w:vertAlign w:val="superscript"/>
              </w:rPr>
              <w:t>1</w:t>
            </w:r>
          </w:p>
        </w:tc>
        <w:tc>
          <w:tcPr>
            <w:tcW w:w="0" w:type="auto"/>
          </w:tcPr>
          <w:p w14:paraId="3D87A51E" w14:textId="77777777" w:rsidR="00CE0847" w:rsidRPr="00CE0847" w:rsidRDefault="00CE0847" w:rsidP="00B16199">
            <w:pPr>
              <w:rPr>
                <w:sz w:val="16"/>
                <w:szCs w:val="16"/>
                <w:vertAlign w:val="superscript"/>
              </w:rPr>
            </w:pPr>
            <w:r w:rsidRPr="00CE0847">
              <w:rPr>
                <w:sz w:val="16"/>
                <w:szCs w:val="16"/>
              </w:rPr>
              <w:t>3.6 (4.3)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p>
        </w:tc>
        <w:tc>
          <w:tcPr>
            <w:tcW w:w="0" w:type="auto"/>
          </w:tcPr>
          <w:p w14:paraId="17D640C0" w14:textId="77777777" w:rsidR="00CE0847" w:rsidRPr="00CE0847" w:rsidRDefault="00CE0847" w:rsidP="00B16199">
            <w:pPr>
              <w:rPr>
                <w:sz w:val="16"/>
                <w:szCs w:val="16"/>
                <w:vertAlign w:val="superscript"/>
              </w:rPr>
            </w:pPr>
            <w:r w:rsidRPr="00CE0847">
              <w:rPr>
                <w:sz w:val="16"/>
                <w:szCs w:val="16"/>
              </w:rPr>
              <w:t>4 (3.9)</w:t>
            </w:r>
            <w:r w:rsidRPr="00CE0847">
              <w:rPr>
                <w:sz w:val="16"/>
                <w:szCs w:val="16"/>
                <w:vertAlign w:val="superscript"/>
              </w:rPr>
              <w:t>1</w:t>
            </w:r>
          </w:p>
        </w:tc>
      </w:tr>
      <w:tr w:rsidR="00CE0847" w:rsidRPr="00CE0847" w14:paraId="0DE0C70D" w14:textId="77777777" w:rsidTr="00A84CFA">
        <w:trPr>
          <w:jc w:val="center"/>
        </w:trPr>
        <w:tc>
          <w:tcPr>
            <w:tcW w:w="0" w:type="auto"/>
            <w:tcBorders>
              <w:bottom w:val="single" w:sz="4" w:space="0" w:color="000000"/>
            </w:tcBorders>
          </w:tcPr>
          <w:p w14:paraId="45865864" w14:textId="77777777" w:rsidR="00CE0847" w:rsidRPr="00CE0847" w:rsidRDefault="00CE0847" w:rsidP="00B16199">
            <w:pPr>
              <w:rPr>
                <w:sz w:val="16"/>
                <w:szCs w:val="16"/>
              </w:rPr>
            </w:pPr>
          </w:p>
        </w:tc>
        <w:tc>
          <w:tcPr>
            <w:tcW w:w="0" w:type="auto"/>
            <w:tcBorders>
              <w:bottom w:val="single" w:sz="4" w:space="0" w:color="000000"/>
            </w:tcBorders>
          </w:tcPr>
          <w:p w14:paraId="4DF9BBF6" w14:textId="77777777" w:rsidR="00CE0847" w:rsidRPr="00CE0847" w:rsidRDefault="00CE0847" w:rsidP="00B16199">
            <w:pPr>
              <w:rPr>
                <w:sz w:val="16"/>
                <w:szCs w:val="16"/>
              </w:rPr>
            </w:pPr>
            <w:r w:rsidRPr="00CE0847">
              <w:rPr>
                <w:sz w:val="16"/>
                <w:szCs w:val="16"/>
              </w:rPr>
              <w:t>Sweating</w:t>
            </w:r>
          </w:p>
        </w:tc>
        <w:tc>
          <w:tcPr>
            <w:tcW w:w="0" w:type="auto"/>
            <w:tcBorders>
              <w:bottom w:val="single" w:sz="4" w:space="0" w:color="000000"/>
            </w:tcBorders>
          </w:tcPr>
          <w:p w14:paraId="00AC98B9" w14:textId="77777777" w:rsidR="00CE0847" w:rsidRPr="00CE0847" w:rsidRDefault="00CE0847" w:rsidP="00B16199">
            <w:pPr>
              <w:rPr>
                <w:sz w:val="16"/>
                <w:szCs w:val="16"/>
                <w:vertAlign w:val="superscript"/>
              </w:rPr>
            </w:pPr>
            <w:r w:rsidRPr="00CE0847">
              <w:rPr>
                <w:sz w:val="16"/>
                <w:szCs w:val="16"/>
              </w:rPr>
              <w:t>0.6 (1.6)</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786BA834" w14:textId="77777777" w:rsidR="00CE0847" w:rsidRPr="00CE0847" w:rsidRDefault="00CE0847" w:rsidP="00B16199">
            <w:pPr>
              <w:rPr>
                <w:sz w:val="16"/>
                <w:szCs w:val="16"/>
                <w:vertAlign w:val="superscript"/>
              </w:rPr>
            </w:pPr>
            <w:r w:rsidRPr="00CE0847">
              <w:rPr>
                <w:sz w:val="16"/>
                <w:szCs w:val="16"/>
              </w:rPr>
              <w:t>2.5 (3.9)</w:t>
            </w:r>
            <w:r w:rsidR="006F6430" w:rsidRPr="00CE0847">
              <w:rPr>
                <w:sz w:val="16"/>
                <w:szCs w:val="16"/>
                <w:vertAlign w:val="superscript"/>
              </w:rPr>
              <w:t>1</w:t>
            </w:r>
          </w:p>
        </w:tc>
        <w:tc>
          <w:tcPr>
            <w:tcW w:w="0" w:type="auto"/>
            <w:tcBorders>
              <w:bottom w:val="single" w:sz="4" w:space="0" w:color="000000"/>
            </w:tcBorders>
          </w:tcPr>
          <w:p w14:paraId="5520B92B" w14:textId="77777777" w:rsidR="00CE0847" w:rsidRPr="00CE0847" w:rsidRDefault="00CE0847" w:rsidP="00B16199">
            <w:pPr>
              <w:rPr>
                <w:sz w:val="16"/>
                <w:szCs w:val="16"/>
                <w:vertAlign w:val="superscript"/>
              </w:rPr>
            </w:pPr>
            <w:r w:rsidRPr="00CE0847">
              <w:rPr>
                <w:sz w:val="16"/>
                <w:szCs w:val="16"/>
              </w:rPr>
              <w:t>2.4 (3.9)</w:t>
            </w:r>
            <w:r w:rsidR="006F6430" w:rsidRPr="00CE0847">
              <w:rPr>
                <w:sz w:val="16"/>
                <w:szCs w:val="16"/>
                <w:vertAlign w:val="superscript"/>
              </w:rPr>
              <w:t>1</w:t>
            </w:r>
          </w:p>
        </w:tc>
        <w:tc>
          <w:tcPr>
            <w:tcW w:w="0" w:type="auto"/>
            <w:tcBorders>
              <w:bottom w:val="single" w:sz="4" w:space="0" w:color="000000"/>
            </w:tcBorders>
          </w:tcPr>
          <w:p w14:paraId="636C89C0" w14:textId="77777777" w:rsidR="00CE0847" w:rsidRPr="00CE0847" w:rsidRDefault="00CE0847" w:rsidP="00B16199">
            <w:pPr>
              <w:rPr>
                <w:sz w:val="16"/>
                <w:szCs w:val="16"/>
                <w:vertAlign w:val="superscript"/>
              </w:rPr>
            </w:pPr>
            <w:r w:rsidRPr="00CE0847">
              <w:rPr>
                <w:sz w:val="16"/>
                <w:szCs w:val="16"/>
              </w:rPr>
              <w:t>2.1 (3.6)</w:t>
            </w:r>
            <w:r w:rsidR="006F6430" w:rsidRPr="00CE0847">
              <w:rPr>
                <w:sz w:val="16"/>
                <w:szCs w:val="16"/>
                <w:vertAlign w:val="superscript"/>
              </w:rPr>
              <w:t>1</w:t>
            </w:r>
          </w:p>
        </w:tc>
        <w:tc>
          <w:tcPr>
            <w:tcW w:w="0" w:type="auto"/>
            <w:tcBorders>
              <w:bottom w:val="single" w:sz="4" w:space="0" w:color="000000"/>
            </w:tcBorders>
          </w:tcPr>
          <w:p w14:paraId="55ED7080" w14:textId="77777777" w:rsidR="00CE0847" w:rsidRPr="00CE0847" w:rsidRDefault="00CE0847" w:rsidP="00B16199">
            <w:pPr>
              <w:rPr>
                <w:sz w:val="16"/>
                <w:szCs w:val="16"/>
                <w:vertAlign w:val="superscript"/>
              </w:rPr>
            </w:pPr>
            <w:r w:rsidRPr="00CE0847">
              <w:rPr>
                <w:sz w:val="16"/>
                <w:szCs w:val="16"/>
              </w:rPr>
              <w:t>2.8 (3.9)</w:t>
            </w:r>
            <w:r w:rsidR="006F6430" w:rsidRPr="00CE0847">
              <w:rPr>
                <w:sz w:val="16"/>
                <w:szCs w:val="16"/>
                <w:vertAlign w:val="superscript"/>
              </w:rPr>
              <w:t>1</w:t>
            </w:r>
          </w:p>
        </w:tc>
        <w:tc>
          <w:tcPr>
            <w:tcW w:w="0" w:type="auto"/>
            <w:tcBorders>
              <w:bottom w:val="single" w:sz="4" w:space="0" w:color="000000"/>
            </w:tcBorders>
          </w:tcPr>
          <w:p w14:paraId="1101D1F8" w14:textId="77777777" w:rsidR="00CE0847" w:rsidRPr="00CE0847" w:rsidRDefault="00CE0847" w:rsidP="00B16199">
            <w:pPr>
              <w:rPr>
                <w:sz w:val="16"/>
                <w:szCs w:val="16"/>
                <w:vertAlign w:val="superscript"/>
              </w:rPr>
            </w:pPr>
            <w:r w:rsidRPr="00CE0847">
              <w:rPr>
                <w:sz w:val="16"/>
                <w:szCs w:val="16"/>
              </w:rPr>
              <w:t>3.9 (3.4)</w:t>
            </w:r>
            <w:r w:rsidRPr="00CE0847">
              <w:rPr>
                <w:sz w:val="16"/>
                <w:szCs w:val="16"/>
                <w:vertAlign w:val="superscript"/>
              </w:rPr>
              <w:t>1</w:t>
            </w:r>
          </w:p>
        </w:tc>
      </w:tr>
      <w:tr w:rsidR="00AA1A2F" w:rsidRPr="00CE0847" w14:paraId="5822C778" w14:textId="77777777" w:rsidTr="00A84CFA">
        <w:trPr>
          <w:jc w:val="center"/>
        </w:trPr>
        <w:tc>
          <w:tcPr>
            <w:tcW w:w="0" w:type="auto"/>
            <w:tcBorders>
              <w:top w:val="single" w:sz="4" w:space="0" w:color="000000"/>
            </w:tcBorders>
          </w:tcPr>
          <w:p w14:paraId="0340FACB" w14:textId="77777777" w:rsidR="00AA1A2F" w:rsidRPr="00CE0847" w:rsidRDefault="00AA1A2F" w:rsidP="00B16199">
            <w:pPr>
              <w:rPr>
                <w:sz w:val="16"/>
                <w:szCs w:val="16"/>
              </w:rPr>
            </w:pPr>
            <w:r w:rsidRPr="00CE0847">
              <w:rPr>
                <w:sz w:val="16"/>
                <w:szCs w:val="16"/>
              </w:rPr>
              <w:t xml:space="preserve">Motor </w:t>
            </w:r>
          </w:p>
        </w:tc>
        <w:tc>
          <w:tcPr>
            <w:tcW w:w="0" w:type="auto"/>
            <w:tcBorders>
              <w:top w:val="single" w:sz="4" w:space="0" w:color="000000"/>
            </w:tcBorders>
          </w:tcPr>
          <w:p w14:paraId="6EE1F2A5" w14:textId="77777777" w:rsidR="00AA1A2F" w:rsidRPr="00CE0847" w:rsidRDefault="00AA1A2F" w:rsidP="00B16199">
            <w:pPr>
              <w:tabs>
                <w:tab w:val="left" w:pos="1187"/>
              </w:tabs>
              <w:rPr>
                <w:sz w:val="16"/>
                <w:szCs w:val="16"/>
              </w:rPr>
            </w:pPr>
            <w:r w:rsidRPr="00CE0847">
              <w:rPr>
                <w:sz w:val="16"/>
                <w:szCs w:val="16"/>
              </w:rPr>
              <w:t>Axial</w:t>
            </w:r>
          </w:p>
        </w:tc>
        <w:tc>
          <w:tcPr>
            <w:tcW w:w="0" w:type="auto"/>
            <w:tcBorders>
              <w:top w:val="single" w:sz="4" w:space="0" w:color="000000"/>
            </w:tcBorders>
          </w:tcPr>
          <w:p w14:paraId="6D2686EC" w14:textId="77777777" w:rsidR="00AA1A2F" w:rsidRPr="00CE0847" w:rsidRDefault="00AA1A2F" w:rsidP="00B16199">
            <w:pPr>
              <w:rPr>
                <w:sz w:val="16"/>
                <w:szCs w:val="16"/>
                <w:vertAlign w:val="superscript"/>
              </w:rPr>
            </w:pPr>
            <w:r w:rsidRPr="00CE0847">
              <w:rPr>
                <w:sz w:val="16"/>
                <w:szCs w:val="16"/>
              </w:rPr>
              <w:t>2.3 (2)</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7A12FA8D" w14:textId="77777777" w:rsidR="00AA1A2F" w:rsidRPr="00CE0847" w:rsidRDefault="00AA1A2F" w:rsidP="00B16199">
            <w:pPr>
              <w:rPr>
                <w:sz w:val="16"/>
                <w:szCs w:val="16"/>
                <w:vertAlign w:val="superscript"/>
              </w:rPr>
            </w:pPr>
            <w:r w:rsidRPr="00CE0847">
              <w:rPr>
                <w:sz w:val="16"/>
                <w:szCs w:val="16"/>
              </w:rPr>
              <w:t>3.5 (2.6)</w:t>
            </w:r>
            <w:r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4522E5F0" w14:textId="77777777" w:rsidR="00AA1A2F" w:rsidRPr="00CE0847" w:rsidRDefault="00AA1A2F" w:rsidP="00B16199">
            <w:pPr>
              <w:rPr>
                <w:sz w:val="16"/>
                <w:szCs w:val="16"/>
                <w:vertAlign w:val="superscript"/>
              </w:rPr>
            </w:pPr>
            <w:r w:rsidRPr="00CE0847">
              <w:rPr>
                <w:sz w:val="16"/>
                <w:szCs w:val="16"/>
              </w:rPr>
              <w:t>4 (2.8)</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66DC059F" w14:textId="77777777" w:rsidR="00AA1A2F" w:rsidRPr="00CE0847" w:rsidRDefault="00AA1A2F" w:rsidP="00B16199">
            <w:pPr>
              <w:rPr>
                <w:sz w:val="16"/>
                <w:szCs w:val="16"/>
                <w:vertAlign w:val="superscript"/>
              </w:rPr>
            </w:pPr>
            <w:r w:rsidRPr="00CE0847">
              <w:rPr>
                <w:sz w:val="16"/>
                <w:szCs w:val="16"/>
              </w:rPr>
              <w:t>4.4 (2.7)</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21D09202" w14:textId="77777777" w:rsidR="00AA1A2F" w:rsidRPr="00CE0847" w:rsidRDefault="00AA1A2F" w:rsidP="00B16199">
            <w:pPr>
              <w:rPr>
                <w:sz w:val="16"/>
                <w:szCs w:val="16"/>
                <w:vertAlign w:val="superscript"/>
              </w:rPr>
            </w:pPr>
            <w:r w:rsidRPr="00CE0847">
              <w:rPr>
                <w:sz w:val="16"/>
                <w:szCs w:val="16"/>
              </w:rPr>
              <w:t>5.3 (3.3)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Borders>
              <w:top w:val="single" w:sz="4" w:space="0" w:color="000000"/>
            </w:tcBorders>
          </w:tcPr>
          <w:p w14:paraId="597E2A1F" w14:textId="77777777" w:rsidR="00AA1A2F" w:rsidRPr="00CE0847" w:rsidRDefault="00AA1A2F" w:rsidP="00B16199">
            <w:pPr>
              <w:rPr>
                <w:sz w:val="16"/>
                <w:szCs w:val="16"/>
                <w:vertAlign w:val="superscript"/>
              </w:rPr>
            </w:pPr>
            <w:r w:rsidRPr="00CE0847">
              <w:rPr>
                <w:sz w:val="16"/>
                <w:szCs w:val="16"/>
              </w:rPr>
              <w:t>8.5 (2.3)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B59D2BA" w14:textId="77777777" w:rsidTr="00A84CFA">
        <w:trPr>
          <w:jc w:val="center"/>
        </w:trPr>
        <w:tc>
          <w:tcPr>
            <w:tcW w:w="0" w:type="auto"/>
          </w:tcPr>
          <w:p w14:paraId="494B2920" w14:textId="77777777" w:rsidR="00CE0847" w:rsidRPr="00CE0847" w:rsidRDefault="00CE0847" w:rsidP="00B16199">
            <w:pPr>
              <w:rPr>
                <w:sz w:val="16"/>
                <w:szCs w:val="16"/>
              </w:rPr>
            </w:pPr>
            <w:r w:rsidRPr="00CE0847">
              <w:rPr>
                <w:sz w:val="16"/>
                <w:szCs w:val="16"/>
              </w:rPr>
              <w:t>symptoms</w:t>
            </w:r>
          </w:p>
        </w:tc>
        <w:tc>
          <w:tcPr>
            <w:tcW w:w="0" w:type="auto"/>
          </w:tcPr>
          <w:p w14:paraId="637584FE" w14:textId="77777777" w:rsidR="00CE0847" w:rsidRPr="00CE0847" w:rsidRDefault="00CE0847" w:rsidP="00B16199">
            <w:pPr>
              <w:rPr>
                <w:sz w:val="16"/>
                <w:szCs w:val="16"/>
              </w:rPr>
            </w:pPr>
            <w:r w:rsidRPr="00CE0847">
              <w:rPr>
                <w:sz w:val="16"/>
                <w:szCs w:val="16"/>
              </w:rPr>
              <w:t>Bradykinesia</w:t>
            </w:r>
          </w:p>
        </w:tc>
        <w:tc>
          <w:tcPr>
            <w:tcW w:w="0" w:type="auto"/>
          </w:tcPr>
          <w:p w14:paraId="2E7BF258" w14:textId="77777777" w:rsidR="00CE0847" w:rsidRPr="00CE0847" w:rsidRDefault="00CE0847" w:rsidP="00B16199">
            <w:pPr>
              <w:rPr>
                <w:sz w:val="16"/>
                <w:szCs w:val="16"/>
                <w:vertAlign w:val="superscript"/>
              </w:rPr>
            </w:pPr>
            <w:r w:rsidRPr="00CE0847">
              <w:rPr>
                <w:sz w:val="16"/>
                <w:szCs w:val="16"/>
              </w:rPr>
              <w:t>2.1 (1.2)</w:t>
            </w:r>
            <w:r w:rsidR="006F6430"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640CED4A" w14:textId="77777777" w:rsidR="00CE0847" w:rsidRPr="00CE0847" w:rsidRDefault="00CE0847" w:rsidP="00B16199">
            <w:pPr>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5EF8091F" w14:textId="77777777" w:rsidR="00CE0847" w:rsidRPr="00CE0847" w:rsidRDefault="00CE0847" w:rsidP="00B16199">
            <w:pPr>
              <w:rPr>
                <w:sz w:val="16"/>
                <w:szCs w:val="16"/>
                <w:vertAlign w:val="superscript"/>
              </w:rPr>
            </w:pPr>
            <w:r w:rsidRPr="00CE0847">
              <w:rPr>
                <w:sz w:val="16"/>
                <w:szCs w:val="16"/>
              </w:rPr>
              <w:t>2.5 (1.4)</w:t>
            </w:r>
            <w:r w:rsidR="006F6430" w:rsidRPr="00CE0847">
              <w:rPr>
                <w:sz w:val="16"/>
                <w:szCs w:val="16"/>
                <w:vertAlign w:val="superscript"/>
              </w:rPr>
              <w:t>6</w:t>
            </w:r>
          </w:p>
        </w:tc>
        <w:tc>
          <w:tcPr>
            <w:tcW w:w="0" w:type="auto"/>
          </w:tcPr>
          <w:p w14:paraId="6C82D0E9" w14:textId="77777777" w:rsidR="00CE0847" w:rsidRPr="00CE0847" w:rsidRDefault="00CE0847" w:rsidP="00B16199">
            <w:pPr>
              <w:rPr>
                <w:sz w:val="16"/>
                <w:szCs w:val="16"/>
                <w:vertAlign w:val="superscript"/>
              </w:rPr>
            </w:pPr>
            <w:r w:rsidRPr="00CE0847">
              <w:rPr>
                <w:sz w:val="16"/>
                <w:szCs w:val="16"/>
              </w:rPr>
              <w:t>2.9 (1.4)</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71957500" w14:textId="77777777" w:rsidR="00CE0847" w:rsidRPr="00CE0847" w:rsidRDefault="00CE0847" w:rsidP="00B16199">
            <w:pPr>
              <w:rPr>
                <w:sz w:val="16"/>
                <w:szCs w:val="16"/>
                <w:vertAlign w:val="superscript"/>
              </w:rPr>
            </w:pPr>
            <w:r w:rsidRPr="00CE0847">
              <w:rPr>
                <w:sz w:val="16"/>
                <w:szCs w:val="16"/>
              </w:rPr>
              <w:t>3 (1.6)</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0DB672AB" w14:textId="77777777" w:rsidR="00CE0847" w:rsidRPr="00CE0847" w:rsidRDefault="00CE0847" w:rsidP="00B16199">
            <w:pPr>
              <w:rPr>
                <w:sz w:val="16"/>
                <w:szCs w:val="16"/>
                <w:vertAlign w:val="superscript"/>
              </w:rPr>
            </w:pPr>
            <w:r w:rsidRPr="00CE0847">
              <w:rPr>
                <w:sz w:val="16"/>
                <w:szCs w:val="16"/>
              </w:rPr>
              <w:t>4.5 (1.7)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0AF4FE74" w14:textId="77777777" w:rsidTr="00AA1A2F">
        <w:trPr>
          <w:trHeight w:val="297"/>
          <w:jc w:val="center"/>
        </w:trPr>
        <w:tc>
          <w:tcPr>
            <w:tcW w:w="0" w:type="auto"/>
          </w:tcPr>
          <w:p w14:paraId="2FF603C9" w14:textId="77777777" w:rsidR="00CE0847" w:rsidRPr="00CE0847" w:rsidRDefault="00CE0847" w:rsidP="00B16199">
            <w:pPr>
              <w:rPr>
                <w:sz w:val="16"/>
                <w:szCs w:val="16"/>
              </w:rPr>
            </w:pPr>
          </w:p>
        </w:tc>
        <w:tc>
          <w:tcPr>
            <w:tcW w:w="0" w:type="auto"/>
          </w:tcPr>
          <w:p w14:paraId="0BFC042C" w14:textId="77777777" w:rsidR="00CE0847" w:rsidRPr="00CE0847" w:rsidRDefault="00CE0847" w:rsidP="00B16199">
            <w:pPr>
              <w:rPr>
                <w:sz w:val="16"/>
                <w:szCs w:val="16"/>
              </w:rPr>
            </w:pPr>
            <w:r w:rsidRPr="00CE0847">
              <w:rPr>
                <w:sz w:val="16"/>
                <w:szCs w:val="16"/>
              </w:rPr>
              <w:t>Rigidity</w:t>
            </w:r>
          </w:p>
        </w:tc>
        <w:tc>
          <w:tcPr>
            <w:tcW w:w="0" w:type="auto"/>
          </w:tcPr>
          <w:p w14:paraId="5E38D0C4" w14:textId="77777777" w:rsidR="00CE0847" w:rsidRPr="00CE0847" w:rsidRDefault="00CE0847" w:rsidP="00B16199">
            <w:pPr>
              <w:rPr>
                <w:sz w:val="16"/>
                <w:szCs w:val="16"/>
                <w:vertAlign w:val="superscript"/>
              </w:rPr>
            </w:pPr>
            <w:r w:rsidRPr="00CE0847">
              <w:rPr>
                <w:sz w:val="16"/>
                <w:szCs w:val="16"/>
              </w:rPr>
              <w:t>2 (1.2)</w:t>
            </w:r>
            <w:r w:rsidR="006F6430" w:rsidRPr="00CE0847">
              <w:rPr>
                <w:sz w:val="16"/>
                <w:szCs w:val="16"/>
                <w:vertAlign w:val="superscript"/>
              </w:rPr>
              <w:t>6</w:t>
            </w:r>
          </w:p>
        </w:tc>
        <w:tc>
          <w:tcPr>
            <w:tcW w:w="0" w:type="auto"/>
          </w:tcPr>
          <w:p w14:paraId="44ADE5AA" w14:textId="77777777" w:rsidR="00CE0847" w:rsidRPr="00CE0847" w:rsidRDefault="00CE0847" w:rsidP="00B16199">
            <w:pPr>
              <w:rPr>
                <w:sz w:val="16"/>
                <w:szCs w:val="16"/>
                <w:vertAlign w:val="superscript"/>
              </w:rPr>
            </w:pPr>
            <w:r w:rsidRPr="00CE0847">
              <w:rPr>
                <w:sz w:val="16"/>
                <w:szCs w:val="16"/>
              </w:rPr>
              <w:t>2.3 (1.5)</w:t>
            </w:r>
            <w:r w:rsidR="006F6430" w:rsidRPr="00CE0847">
              <w:rPr>
                <w:sz w:val="16"/>
                <w:szCs w:val="16"/>
                <w:vertAlign w:val="superscript"/>
              </w:rPr>
              <w:t>6</w:t>
            </w:r>
          </w:p>
        </w:tc>
        <w:tc>
          <w:tcPr>
            <w:tcW w:w="0" w:type="auto"/>
          </w:tcPr>
          <w:p w14:paraId="5E508B44" w14:textId="77777777" w:rsidR="00CE0847" w:rsidRPr="00CE0847" w:rsidRDefault="00CE0847" w:rsidP="00B16199">
            <w:pPr>
              <w:rPr>
                <w:sz w:val="16"/>
                <w:szCs w:val="16"/>
                <w:vertAlign w:val="superscript"/>
              </w:rPr>
            </w:pPr>
            <w:r w:rsidRPr="00CE0847">
              <w:rPr>
                <w:sz w:val="16"/>
                <w:szCs w:val="16"/>
              </w:rPr>
              <w:t>2.3 (1.4)</w:t>
            </w:r>
            <w:r w:rsidR="006F6430" w:rsidRPr="00CE0847">
              <w:rPr>
                <w:sz w:val="16"/>
                <w:szCs w:val="16"/>
                <w:vertAlign w:val="superscript"/>
              </w:rPr>
              <w:t>6</w:t>
            </w:r>
          </w:p>
        </w:tc>
        <w:tc>
          <w:tcPr>
            <w:tcW w:w="0" w:type="auto"/>
          </w:tcPr>
          <w:p w14:paraId="52FB87BE" w14:textId="77777777" w:rsidR="00CE0847" w:rsidRPr="00CE0847" w:rsidRDefault="00CE0847" w:rsidP="00B16199">
            <w:pPr>
              <w:rPr>
                <w:sz w:val="16"/>
                <w:szCs w:val="16"/>
                <w:vertAlign w:val="superscript"/>
              </w:rPr>
            </w:pPr>
            <w:r w:rsidRPr="00CE0847">
              <w:rPr>
                <w:sz w:val="16"/>
                <w:szCs w:val="16"/>
              </w:rPr>
              <w:t>2.5 (1.3)</w:t>
            </w:r>
            <w:r w:rsidR="006F6430" w:rsidRPr="00CE0847">
              <w:rPr>
                <w:sz w:val="16"/>
                <w:szCs w:val="16"/>
                <w:vertAlign w:val="superscript"/>
              </w:rPr>
              <w:t>6</w:t>
            </w:r>
          </w:p>
        </w:tc>
        <w:tc>
          <w:tcPr>
            <w:tcW w:w="0" w:type="auto"/>
          </w:tcPr>
          <w:p w14:paraId="16936E46" w14:textId="77777777" w:rsidR="00CE0847" w:rsidRPr="00CE0847" w:rsidRDefault="00CE0847" w:rsidP="00B16199">
            <w:pPr>
              <w:rPr>
                <w:sz w:val="16"/>
                <w:szCs w:val="16"/>
                <w:vertAlign w:val="superscript"/>
              </w:rPr>
            </w:pPr>
            <w:r w:rsidRPr="00CE0847">
              <w:rPr>
                <w:sz w:val="16"/>
                <w:szCs w:val="16"/>
              </w:rPr>
              <w:t>2.6 (1.5)</w:t>
            </w:r>
            <w:r w:rsidR="006F6430" w:rsidRPr="00CE0847">
              <w:rPr>
                <w:sz w:val="16"/>
                <w:szCs w:val="16"/>
                <w:vertAlign w:val="superscript"/>
              </w:rPr>
              <w:t>6</w:t>
            </w:r>
          </w:p>
        </w:tc>
        <w:tc>
          <w:tcPr>
            <w:tcW w:w="0" w:type="auto"/>
          </w:tcPr>
          <w:p w14:paraId="30FA3CA3" w14:textId="77777777" w:rsidR="00CE0847" w:rsidRPr="00CE0847" w:rsidRDefault="00CE0847" w:rsidP="00B16199">
            <w:pPr>
              <w:rPr>
                <w:sz w:val="16"/>
                <w:szCs w:val="16"/>
                <w:vertAlign w:val="superscript"/>
              </w:rPr>
            </w:pPr>
            <w:r w:rsidRPr="00CE0847">
              <w:rPr>
                <w:sz w:val="16"/>
                <w:szCs w:val="16"/>
              </w:rPr>
              <w:t>4.7 (1)</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AA1A2F" w:rsidRPr="00CE0847" w14:paraId="363FCC15" w14:textId="77777777" w:rsidTr="00A84CFA">
        <w:trPr>
          <w:jc w:val="center"/>
        </w:trPr>
        <w:tc>
          <w:tcPr>
            <w:tcW w:w="0" w:type="auto"/>
          </w:tcPr>
          <w:p w14:paraId="73D25552" w14:textId="77777777" w:rsidR="00AA1A2F" w:rsidRPr="00CE0847" w:rsidRDefault="00AA1A2F" w:rsidP="00B16199">
            <w:pPr>
              <w:rPr>
                <w:sz w:val="16"/>
                <w:szCs w:val="16"/>
              </w:rPr>
            </w:pPr>
          </w:p>
        </w:tc>
        <w:tc>
          <w:tcPr>
            <w:tcW w:w="0" w:type="auto"/>
          </w:tcPr>
          <w:p w14:paraId="672018EE" w14:textId="77777777" w:rsidR="00AA1A2F" w:rsidRPr="00CE0847" w:rsidRDefault="00AA1A2F" w:rsidP="00B16199">
            <w:pPr>
              <w:rPr>
                <w:sz w:val="16"/>
                <w:szCs w:val="16"/>
              </w:rPr>
            </w:pPr>
            <w:r w:rsidRPr="00CE0847">
              <w:rPr>
                <w:sz w:val="16"/>
                <w:szCs w:val="16"/>
              </w:rPr>
              <w:t>Tremor</w:t>
            </w:r>
            <w:r>
              <w:rPr>
                <w:sz w:val="16"/>
                <w:szCs w:val="16"/>
              </w:rPr>
              <w:tab/>
            </w:r>
          </w:p>
        </w:tc>
        <w:tc>
          <w:tcPr>
            <w:tcW w:w="0" w:type="auto"/>
          </w:tcPr>
          <w:p w14:paraId="55696343" w14:textId="77777777" w:rsidR="00AA1A2F" w:rsidRPr="00CE0847" w:rsidRDefault="00AA1A2F" w:rsidP="00B16199">
            <w:pPr>
              <w:rPr>
                <w:sz w:val="16"/>
                <w:szCs w:val="16"/>
              </w:rPr>
            </w:pPr>
            <w:r w:rsidRPr="00CE0847">
              <w:rPr>
                <w:sz w:val="16"/>
                <w:szCs w:val="16"/>
              </w:rPr>
              <w:t>2.6 (2.4)</w:t>
            </w:r>
            <w:r w:rsidRPr="00CE0847">
              <w:rPr>
                <w:sz w:val="16"/>
                <w:szCs w:val="16"/>
                <w:vertAlign w:val="superscript"/>
              </w:rPr>
              <w:t>6</w:t>
            </w:r>
          </w:p>
        </w:tc>
        <w:tc>
          <w:tcPr>
            <w:tcW w:w="0" w:type="auto"/>
          </w:tcPr>
          <w:p w14:paraId="4711E465" w14:textId="77777777" w:rsidR="00AA1A2F" w:rsidRPr="00CE0847" w:rsidRDefault="00AA1A2F" w:rsidP="00B16199">
            <w:pPr>
              <w:rPr>
                <w:sz w:val="16"/>
                <w:szCs w:val="16"/>
              </w:rPr>
            </w:pPr>
            <w:r w:rsidRPr="00CE0847">
              <w:rPr>
                <w:sz w:val="16"/>
                <w:szCs w:val="16"/>
              </w:rPr>
              <w:t>2.5 (2.4)</w:t>
            </w:r>
            <w:r w:rsidRPr="00CE0847">
              <w:rPr>
                <w:sz w:val="16"/>
                <w:szCs w:val="16"/>
                <w:vertAlign w:val="superscript"/>
              </w:rPr>
              <w:t>6</w:t>
            </w:r>
          </w:p>
        </w:tc>
        <w:tc>
          <w:tcPr>
            <w:tcW w:w="0" w:type="auto"/>
          </w:tcPr>
          <w:p w14:paraId="1473D57B" w14:textId="77777777" w:rsidR="00AA1A2F" w:rsidRPr="00CE0847" w:rsidRDefault="00AA1A2F" w:rsidP="00B16199">
            <w:pPr>
              <w:rPr>
                <w:sz w:val="16"/>
                <w:szCs w:val="16"/>
              </w:rPr>
            </w:pPr>
            <w:r w:rsidRPr="00CE0847">
              <w:rPr>
                <w:sz w:val="16"/>
                <w:szCs w:val="16"/>
              </w:rPr>
              <w:t>2.1 (2.5)</w:t>
            </w:r>
            <w:r w:rsidRPr="00CE0847">
              <w:rPr>
                <w:sz w:val="16"/>
                <w:szCs w:val="16"/>
                <w:vertAlign w:val="superscript"/>
              </w:rPr>
              <w:t>6</w:t>
            </w:r>
          </w:p>
        </w:tc>
        <w:tc>
          <w:tcPr>
            <w:tcW w:w="0" w:type="auto"/>
          </w:tcPr>
          <w:p w14:paraId="3AD17A8B" w14:textId="77777777" w:rsidR="00AA1A2F" w:rsidRPr="00CE0847" w:rsidRDefault="00AA1A2F" w:rsidP="00B16199">
            <w:pPr>
              <w:rPr>
                <w:sz w:val="16"/>
                <w:szCs w:val="16"/>
              </w:rPr>
            </w:pPr>
            <w:r w:rsidRPr="00CE0847">
              <w:rPr>
                <w:sz w:val="16"/>
                <w:szCs w:val="16"/>
              </w:rPr>
              <w:t>2.5 (2.6)</w:t>
            </w:r>
            <w:r w:rsidRPr="00CE0847">
              <w:rPr>
                <w:sz w:val="16"/>
                <w:szCs w:val="16"/>
                <w:vertAlign w:val="superscript"/>
              </w:rPr>
              <w:t>6</w:t>
            </w:r>
          </w:p>
        </w:tc>
        <w:tc>
          <w:tcPr>
            <w:tcW w:w="0" w:type="auto"/>
          </w:tcPr>
          <w:p w14:paraId="1156FC71" w14:textId="77777777" w:rsidR="00AA1A2F" w:rsidRPr="00CE0847" w:rsidRDefault="00AA1A2F" w:rsidP="00B16199">
            <w:pPr>
              <w:rPr>
                <w:sz w:val="16"/>
                <w:szCs w:val="16"/>
              </w:rPr>
            </w:pPr>
            <w:r w:rsidRPr="00CE0847">
              <w:rPr>
                <w:sz w:val="16"/>
                <w:szCs w:val="16"/>
              </w:rPr>
              <w:t>2.4 (2.8)</w:t>
            </w:r>
            <w:r w:rsidRPr="00CE0847">
              <w:rPr>
                <w:sz w:val="16"/>
                <w:szCs w:val="16"/>
                <w:vertAlign w:val="superscript"/>
              </w:rPr>
              <w:t>6</w:t>
            </w:r>
          </w:p>
        </w:tc>
        <w:tc>
          <w:tcPr>
            <w:tcW w:w="0" w:type="auto"/>
          </w:tcPr>
          <w:p w14:paraId="511F3BA3" w14:textId="77777777" w:rsidR="00AA1A2F" w:rsidRPr="00CE0847" w:rsidRDefault="00AA1A2F" w:rsidP="00B16199">
            <w:pPr>
              <w:rPr>
                <w:sz w:val="16"/>
                <w:szCs w:val="16"/>
              </w:rPr>
            </w:pPr>
            <w:r w:rsidRPr="00CE0847">
              <w:rPr>
                <w:sz w:val="16"/>
                <w:szCs w:val="16"/>
              </w:rPr>
              <w:t>5.8 (5.3)</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8D95D5C" w14:textId="77777777" w:rsidTr="00A84CFA">
        <w:trPr>
          <w:jc w:val="center"/>
        </w:trPr>
        <w:tc>
          <w:tcPr>
            <w:tcW w:w="0" w:type="auto"/>
            <w:tcBorders>
              <w:bottom w:val="single" w:sz="4" w:space="0" w:color="000000"/>
            </w:tcBorders>
          </w:tcPr>
          <w:p w14:paraId="488522BC" w14:textId="77777777" w:rsidR="00CE0847" w:rsidRPr="00CE0847" w:rsidRDefault="00CE0847" w:rsidP="00B16199">
            <w:pPr>
              <w:rPr>
                <w:sz w:val="16"/>
                <w:szCs w:val="16"/>
              </w:rPr>
            </w:pPr>
          </w:p>
        </w:tc>
        <w:tc>
          <w:tcPr>
            <w:tcW w:w="0" w:type="auto"/>
            <w:tcBorders>
              <w:bottom w:val="single" w:sz="4" w:space="0" w:color="000000"/>
            </w:tcBorders>
          </w:tcPr>
          <w:p w14:paraId="36926FB9" w14:textId="77777777" w:rsidR="00CE0847" w:rsidRPr="00CE0847" w:rsidRDefault="00CE0847" w:rsidP="00B16199">
            <w:pPr>
              <w:rPr>
                <w:sz w:val="16"/>
                <w:szCs w:val="16"/>
              </w:rPr>
            </w:pPr>
            <w:r w:rsidRPr="00CE0847">
              <w:rPr>
                <w:sz w:val="16"/>
                <w:szCs w:val="16"/>
              </w:rPr>
              <w:t>Motor comp</w:t>
            </w:r>
          </w:p>
        </w:tc>
        <w:tc>
          <w:tcPr>
            <w:tcW w:w="0" w:type="auto"/>
            <w:tcBorders>
              <w:bottom w:val="single" w:sz="4" w:space="0" w:color="000000"/>
            </w:tcBorders>
          </w:tcPr>
          <w:p w14:paraId="2AD4D57D" w14:textId="77777777" w:rsidR="00CE0847" w:rsidRPr="00CE0847" w:rsidRDefault="00CE0847" w:rsidP="00B16199">
            <w:pPr>
              <w:rPr>
                <w:sz w:val="16"/>
                <w:szCs w:val="16"/>
                <w:vertAlign w:val="superscript"/>
              </w:rPr>
            </w:pPr>
            <w:r w:rsidRPr="00CE0847">
              <w:rPr>
                <w:sz w:val="16"/>
                <w:szCs w:val="16"/>
              </w:rPr>
              <w:t>1.9 (2.5)</w:t>
            </w:r>
            <w:r w:rsidR="006F6430" w:rsidRPr="00CE0847">
              <w:rPr>
                <w:sz w:val="16"/>
                <w:szCs w:val="16"/>
                <w:vertAlign w:val="superscript"/>
              </w:rPr>
              <w:t>2</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20EE89D" w14:textId="77777777" w:rsidR="00CE0847" w:rsidRPr="00CE0847" w:rsidRDefault="00CE0847" w:rsidP="00B16199">
            <w:pPr>
              <w:rPr>
                <w:sz w:val="16"/>
                <w:szCs w:val="16"/>
                <w:vertAlign w:val="superscript"/>
              </w:rPr>
            </w:pPr>
            <w:r w:rsidRPr="00CE0847">
              <w:rPr>
                <w:sz w:val="16"/>
                <w:szCs w:val="16"/>
              </w:rPr>
              <w:t>3.5 (3)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50FE9E75" w14:textId="77777777" w:rsidR="00CE0847" w:rsidRPr="00CE0847" w:rsidRDefault="00CE0847" w:rsidP="00B16199">
            <w:pPr>
              <w:rPr>
                <w:sz w:val="16"/>
                <w:szCs w:val="16"/>
                <w:vertAlign w:val="superscript"/>
              </w:rPr>
            </w:pPr>
            <w:r w:rsidRPr="00CE0847">
              <w:rPr>
                <w:sz w:val="16"/>
                <w:szCs w:val="16"/>
              </w:rPr>
              <w:t>2.7 (2.7)</w:t>
            </w:r>
            <w:r w:rsidR="006F6430" w:rsidRPr="00CE0847">
              <w:rPr>
                <w:sz w:val="16"/>
                <w:szCs w:val="16"/>
                <w:vertAlign w:val="superscript"/>
              </w:rPr>
              <w:t>6</w:t>
            </w:r>
          </w:p>
        </w:tc>
        <w:tc>
          <w:tcPr>
            <w:tcW w:w="0" w:type="auto"/>
            <w:tcBorders>
              <w:bottom w:val="single" w:sz="4" w:space="0" w:color="000000"/>
            </w:tcBorders>
          </w:tcPr>
          <w:p w14:paraId="5311DD06" w14:textId="77777777" w:rsidR="00CE0847" w:rsidRPr="00CE0847" w:rsidRDefault="00CE0847" w:rsidP="00B16199">
            <w:pPr>
              <w:rPr>
                <w:sz w:val="16"/>
                <w:szCs w:val="16"/>
                <w:vertAlign w:val="superscript"/>
              </w:rPr>
            </w:pPr>
            <w:r w:rsidRPr="00CE0847">
              <w:rPr>
                <w:sz w:val="16"/>
                <w:szCs w:val="16"/>
              </w:rPr>
              <w:t>3.7 (3.3)</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6F5905F2" w14:textId="77777777" w:rsidR="00CE0847" w:rsidRPr="00CE0847" w:rsidRDefault="00CE0847" w:rsidP="00B16199">
            <w:pPr>
              <w:rPr>
                <w:sz w:val="16"/>
                <w:szCs w:val="16"/>
                <w:vertAlign w:val="superscript"/>
              </w:rPr>
            </w:pPr>
            <w:r w:rsidRPr="00CE0847">
              <w:rPr>
                <w:sz w:val="16"/>
                <w:szCs w:val="16"/>
              </w:rPr>
              <w:t>3.9 (3.7)</w:t>
            </w:r>
            <w:r w:rsidR="006F6430"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Borders>
              <w:bottom w:val="single" w:sz="4" w:space="0" w:color="000000"/>
            </w:tcBorders>
          </w:tcPr>
          <w:p w14:paraId="4545FBCA" w14:textId="77777777" w:rsidR="00CE0847" w:rsidRPr="00CE0847" w:rsidRDefault="00CE0847" w:rsidP="00B16199">
            <w:pPr>
              <w:rPr>
                <w:sz w:val="16"/>
                <w:szCs w:val="16"/>
                <w:vertAlign w:val="superscript"/>
              </w:rPr>
            </w:pPr>
            <w:r w:rsidRPr="00CE0847">
              <w:rPr>
                <w:sz w:val="16"/>
                <w:szCs w:val="16"/>
              </w:rPr>
              <w:t>8 (3.7)</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2A4DB68B" w14:textId="77777777" w:rsidTr="00A84CFA">
        <w:trPr>
          <w:jc w:val="center"/>
        </w:trPr>
        <w:tc>
          <w:tcPr>
            <w:tcW w:w="0" w:type="auto"/>
            <w:tcBorders>
              <w:top w:val="single" w:sz="4" w:space="0" w:color="000000"/>
            </w:tcBorders>
          </w:tcPr>
          <w:p w14:paraId="35DF5842" w14:textId="77777777" w:rsidR="00CE0847" w:rsidRPr="00CE0847" w:rsidRDefault="00CE0847" w:rsidP="00B16199">
            <w:pPr>
              <w:rPr>
                <w:sz w:val="16"/>
                <w:szCs w:val="16"/>
              </w:rPr>
            </w:pPr>
            <w:r w:rsidRPr="00CE0847">
              <w:rPr>
                <w:sz w:val="16"/>
                <w:szCs w:val="16"/>
              </w:rPr>
              <w:t>Variables not</w:t>
            </w:r>
          </w:p>
        </w:tc>
        <w:tc>
          <w:tcPr>
            <w:tcW w:w="0" w:type="auto"/>
            <w:tcBorders>
              <w:top w:val="single" w:sz="4" w:space="0" w:color="000000"/>
            </w:tcBorders>
          </w:tcPr>
          <w:p w14:paraId="54499A8A" w14:textId="77777777" w:rsidR="00CE0847" w:rsidRPr="00CE0847" w:rsidRDefault="00CE0847" w:rsidP="00B16199">
            <w:pPr>
              <w:rPr>
                <w:sz w:val="16"/>
                <w:szCs w:val="16"/>
              </w:rPr>
            </w:pPr>
            <w:r w:rsidRPr="00CE0847">
              <w:rPr>
                <w:sz w:val="16"/>
                <w:szCs w:val="16"/>
              </w:rPr>
              <w:t>Sex</w:t>
            </w:r>
          </w:p>
        </w:tc>
        <w:tc>
          <w:tcPr>
            <w:tcW w:w="0" w:type="auto"/>
            <w:tcBorders>
              <w:top w:val="single" w:sz="4" w:space="0" w:color="000000"/>
            </w:tcBorders>
          </w:tcPr>
          <w:p w14:paraId="26BA93AD" w14:textId="77777777" w:rsidR="00CE0847" w:rsidRPr="00CE0847" w:rsidRDefault="006F6430" w:rsidP="00B16199">
            <w:pPr>
              <w:rPr>
                <w:sz w:val="16"/>
                <w:szCs w:val="16"/>
                <w:vertAlign w:val="superscript"/>
              </w:rPr>
            </w:pPr>
            <w:r>
              <w:rPr>
                <w:sz w:val="16"/>
                <w:szCs w:val="16"/>
              </w:rPr>
              <w:t>67</w:t>
            </w:r>
          </w:p>
        </w:tc>
        <w:tc>
          <w:tcPr>
            <w:tcW w:w="0" w:type="auto"/>
            <w:tcBorders>
              <w:top w:val="single" w:sz="4" w:space="0" w:color="000000"/>
            </w:tcBorders>
          </w:tcPr>
          <w:p w14:paraId="5EC00AC5" w14:textId="77777777" w:rsidR="00CE0847" w:rsidRPr="00CE0847" w:rsidRDefault="006F6430" w:rsidP="00B16199">
            <w:pPr>
              <w:rPr>
                <w:sz w:val="16"/>
                <w:szCs w:val="16"/>
                <w:vertAlign w:val="superscript"/>
              </w:rPr>
            </w:pPr>
            <w:r>
              <w:rPr>
                <w:sz w:val="16"/>
                <w:szCs w:val="16"/>
              </w:rPr>
              <w:t>57</w:t>
            </w:r>
          </w:p>
        </w:tc>
        <w:tc>
          <w:tcPr>
            <w:tcW w:w="0" w:type="auto"/>
            <w:tcBorders>
              <w:top w:val="single" w:sz="4" w:space="0" w:color="000000"/>
            </w:tcBorders>
          </w:tcPr>
          <w:p w14:paraId="086A06E1" w14:textId="77777777" w:rsidR="00CE0847" w:rsidRPr="00CE0847" w:rsidRDefault="006F6430" w:rsidP="00B16199">
            <w:pPr>
              <w:rPr>
                <w:sz w:val="16"/>
                <w:szCs w:val="16"/>
                <w:vertAlign w:val="superscript"/>
              </w:rPr>
            </w:pPr>
            <w:r>
              <w:rPr>
                <w:sz w:val="16"/>
                <w:szCs w:val="16"/>
              </w:rPr>
              <w:t>64</w:t>
            </w:r>
          </w:p>
        </w:tc>
        <w:tc>
          <w:tcPr>
            <w:tcW w:w="0" w:type="auto"/>
            <w:tcBorders>
              <w:top w:val="single" w:sz="4" w:space="0" w:color="000000"/>
            </w:tcBorders>
          </w:tcPr>
          <w:p w14:paraId="66969B03" w14:textId="77777777" w:rsidR="00CE0847" w:rsidRPr="00CE0847" w:rsidRDefault="006F6430" w:rsidP="00B16199">
            <w:pPr>
              <w:rPr>
                <w:sz w:val="16"/>
                <w:szCs w:val="16"/>
                <w:vertAlign w:val="superscript"/>
              </w:rPr>
            </w:pPr>
            <w:r>
              <w:rPr>
                <w:sz w:val="16"/>
                <w:szCs w:val="16"/>
              </w:rPr>
              <w:t>49</w:t>
            </w:r>
          </w:p>
        </w:tc>
        <w:tc>
          <w:tcPr>
            <w:tcW w:w="0" w:type="auto"/>
            <w:tcBorders>
              <w:top w:val="single" w:sz="4" w:space="0" w:color="000000"/>
            </w:tcBorders>
          </w:tcPr>
          <w:p w14:paraId="3AC5A18D" w14:textId="77777777" w:rsidR="00CE0847" w:rsidRPr="00CE0847" w:rsidRDefault="006F6430" w:rsidP="00B16199">
            <w:pPr>
              <w:rPr>
                <w:sz w:val="16"/>
                <w:szCs w:val="16"/>
                <w:vertAlign w:val="superscript"/>
              </w:rPr>
            </w:pPr>
            <w:r>
              <w:rPr>
                <w:sz w:val="16"/>
                <w:szCs w:val="16"/>
              </w:rPr>
              <w:t>63</w:t>
            </w:r>
          </w:p>
        </w:tc>
        <w:tc>
          <w:tcPr>
            <w:tcW w:w="0" w:type="auto"/>
            <w:tcBorders>
              <w:top w:val="single" w:sz="4" w:space="0" w:color="000000"/>
            </w:tcBorders>
          </w:tcPr>
          <w:p w14:paraId="4AD3616F" w14:textId="77777777" w:rsidR="00CE0847" w:rsidRPr="00CE0847" w:rsidRDefault="006F6430" w:rsidP="00B16199">
            <w:pPr>
              <w:rPr>
                <w:sz w:val="16"/>
                <w:szCs w:val="16"/>
                <w:vertAlign w:val="superscript"/>
              </w:rPr>
            </w:pPr>
            <w:r>
              <w:rPr>
                <w:sz w:val="16"/>
                <w:szCs w:val="16"/>
              </w:rPr>
              <w:t>50</w:t>
            </w:r>
          </w:p>
        </w:tc>
      </w:tr>
      <w:tr w:rsidR="00571C87" w:rsidRPr="00CE0847" w14:paraId="15E5F5D3" w14:textId="77777777" w:rsidTr="00A84CFA">
        <w:trPr>
          <w:jc w:val="center"/>
        </w:trPr>
        <w:tc>
          <w:tcPr>
            <w:tcW w:w="0" w:type="auto"/>
          </w:tcPr>
          <w:p w14:paraId="0260B676" w14:textId="77777777" w:rsidR="00571C87" w:rsidRPr="00CE0847" w:rsidRDefault="00571C87" w:rsidP="00B16199">
            <w:pPr>
              <w:rPr>
                <w:sz w:val="16"/>
                <w:szCs w:val="16"/>
              </w:rPr>
            </w:pPr>
            <w:r>
              <w:rPr>
                <w:sz w:val="16"/>
                <w:szCs w:val="16"/>
              </w:rPr>
              <w:t>used in analysis</w:t>
            </w:r>
          </w:p>
        </w:tc>
        <w:tc>
          <w:tcPr>
            <w:tcW w:w="0" w:type="auto"/>
          </w:tcPr>
          <w:p w14:paraId="534476AD" w14:textId="77777777" w:rsidR="00571C87" w:rsidRPr="00CE0847" w:rsidRDefault="00571C87" w:rsidP="00B16199">
            <w:pPr>
              <w:rPr>
                <w:sz w:val="16"/>
                <w:szCs w:val="16"/>
              </w:rPr>
            </w:pPr>
            <w:r w:rsidRPr="00CE0847">
              <w:rPr>
                <w:sz w:val="16"/>
                <w:szCs w:val="16"/>
              </w:rPr>
              <w:t>CISI PD total</w:t>
            </w:r>
          </w:p>
        </w:tc>
        <w:tc>
          <w:tcPr>
            <w:tcW w:w="0" w:type="auto"/>
          </w:tcPr>
          <w:p w14:paraId="0489B254" w14:textId="77777777" w:rsidR="00571C87" w:rsidRDefault="00571C87" w:rsidP="00B16199">
            <w:pPr>
              <w:rPr>
                <w:sz w:val="16"/>
                <w:szCs w:val="16"/>
              </w:rPr>
            </w:pPr>
            <w:r w:rsidRPr="00CE0847">
              <w:rPr>
                <w:sz w:val="16"/>
                <w:szCs w:val="16"/>
              </w:rPr>
              <w:t>6.4 (3.5)</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18B0514" w14:textId="77777777" w:rsidR="00571C87" w:rsidRDefault="00571C87" w:rsidP="00B16199">
            <w:pPr>
              <w:rPr>
                <w:sz w:val="16"/>
                <w:szCs w:val="16"/>
              </w:rPr>
            </w:pPr>
            <w:r w:rsidRPr="00CE0847">
              <w:rPr>
                <w:sz w:val="16"/>
                <w:szCs w:val="16"/>
              </w:rPr>
              <w:t>9.3 (4.1)</w:t>
            </w:r>
            <w:r w:rsidRPr="00CE0847">
              <w:rPr>
                <w:sz w:val="16"/>
                <w:szCs w:val="16"/>
                <w:vertAlign w:val="superscript"/>
              </w:rPr>
              <w:t>1</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3D4E8B76" w14:textId="77777777" w:rsidR="00571C87" w:rsidRDefault="00571C87" w:rsidP="00B16199">
            <w:pPr>
              <w:rPr>
                <w:sz w:val="16"/>
                <w:szCs w:val="16"/>
              </w:rPr>
            </w:pPr>
            <w:r w:rsidRPr="00CE0847">
              <w:rPr>
                <w:sz w:val="16"/>
                <w:szCs w:val="16"/>
              </w:rPr>
              <w:t>9.4 (4.1)</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0948F461" w14:textId="77777777" w:rsidR="00571C87" w:rsidRDefault="00571C87" w:rsidP="00B16199">
            <w:pPr>
              <w:rPr>
                <w:sz w:val="16"/>
                <w:szCs w:val="16"/>
              </w:rPr>
            </w:pPr>
            <w:r w:rsidRPr="00CE0847">
              <w:rPr>
                <w:sz w:val="16"/>
                <w:szCs w:val="16"/>
              </w:rPr>
              <w:t>10.7 (4.6)</w:t>
            </w:r>
            <w:r w:rsidRPr="00CE0847">
              <w:rPr>
                <w:sz w:val="16"/>
                <w:szCs w:val="16"/>
                <w:vertAlign w:val="superscript"/>
              </w:rPr>
              <w:t>1</w:t>
            </w:r>
            <w:r w:rsidR="004B357D">
              <w:rPr>
                <w:sz w:val="16"/>
                <w:szCs w:val="16"/>
                <w:vertAlign w:val="superscript"/>
              </w:rPr>
              <w:t>,</w:t>
            </w:r>
            <w:r w:rsidRPr="00CE0847">
              <w:rPr>
                <w:sz w:val="16"/>
                <w:szCs w:val="16"/>
                <w:vertAlign w:val="superscript"/>
              </w:rPr>
              <w:t>6</w:t>
            </w:r>
          </w:p>
        </w:tc>
        <w:tc>
          <w:tcPr>
            <w:tcW w:w="0" w:type="auto"/>
          </w:tcPr>
          <w:p w14:paraId="4ED3DDCB" w14:textId="77777777" w:rsidR="00571C87" w:rsidRDefault="00571C87" w:rsidP="00B16199">
            <w:pPr>
              <w:rPr>
                <w:sz w:val="16"/>
                <w:szCs w:val="16"/>
              </w:rPr>
            </w:pPr>
            <w:r w:rsidRPr="00CE0847">
              <w:rPr>
                <w:sz w:val="16"/>
                <w:szCs w:val="16"/>
              </w:rPr>
              <w:t>11.8 (5.5)</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6</w:t>
            </w:r>
          </w:p>
        </w:tc>
        <w:tc>
          <w:tcPr>
            <w:tcW w:w="0" w:type="auto"/>
          </w:tcPr>
          <w:p w14:paraId="30F08332" w14:textId="77777777" w:rsidR="00571C87" w:rsidRDefault="00571C87" w:rsidP="00B16199">
            <w:pPr>
              <w:rPr>
                <w:sz w:val="16"/>
                <w:szCs w:val="16"/>
              </w:rPr>
            </w:pPr>
            <w:r w:rsidRPr="00CE0847">
              <w:rPr>
                <w:sz w:val="16"/>
                <w:szCs w:val="16"/>
              </w:rPr>
              <w:t>18.4 (4.2)</w:t>
            </w:r>
            <w:r w:rsidRPr="00CE0847">
              <w:rPr>
                <w:sz w:val="16"/>
                <w:szCs w:val="16"/>
                <w:vertAlign w:val="superscript"/>
              </w:rPr>
              <w:t>1</w:t>
            </w:r>
            <w:r w:rsidR="004B357D">
              <w:rPr>
                <w:sz w:val="16"/>
                <w:szCs w:val="16"/>
                <w:vertAlign w:val="superscript"/>
              </w:rPr>
              <w:t>,</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4</w:t>
            </w:r>
            <w:r w:rsidR="004B357D">
              <w:rPr>
                <w:sz w:val="16"/>
                <w:szCs w:val="16"/>
                <w:vertAlign w:val="superscript"/>
              </w:rPr>
              <w:t>,</w:t>
            </w:r>
            <w:r w:rsidRPr="00CE0847">
              <w:rPr>
                <w:sz w:val="16"/>
                <w:szCs w:val="16"/>
                <w:vertAlign w:val="superscript"/>
              </w:rPr>
              <w:t>5</w:t>
            </w:r>
          </w:p>
        </w:tc>
      </w:tr>
      <w:tr w:rsidR="00CE0847" w:rsidRPr="00CE0847" w14:paraId="63394F93" w14:textId="77777777" w:rsidTr="00A84CFA">
        <w:trPr>
          <w:jc w:val="center"/>
        </w:trPr>
        <w:tc>
          <w:tcPr>
            <w:tcW w:w="0" w:type="auto"/>
          </w:tcPr>
          <w:p w14:paraId="32145F45" w14:textId="77777777" w:rsidR="00CE0847" w:rsidRPr="00CE0847" w:rsidRDefault="00CE0847" w:rsidP="00B16199">
            <w:pPr>
              <w:rPr>
                <w:sz w:val="16"/>
                <w:szCs w:val="16"/>
              </w:rPr>
            </w:pPr>
          </w:p>
        </w:tc>
        <w:tc>
          <w:tcPr>
            <w:tcW w:w="0" w:type="auto"/>
          </w:tcPr>
          <w:p w14:paraId="529795B5" w14:textId="77777777" w:rsidR="00CE0847" w:rsidRPr="00CE0847" w:rsidRDefault="00CE0847" w:rsidP="00B16199">
            <w:pPr>
              <w:rPr>
                <w:sz w:val="16"/>
                <w:szCs w:val="16"/>
              </w:rPr>
            </w:pPr>
            <w:r w:rsidRPr="00CE0847">
              <w:rPr>
                <w:sz w:val="16"/>
                <w:szCs w:val="16"/>
              </w:rPr>
              <w:t>Age</w:t>
            </w:r>
          </w:p>
        </w:tc>
        <w:tc>
          <w:tcPr>
            <w:tcW w:w="0" w:type="auto"/>
          </w:tcPr>
          <w:p w14:paraId="1C573113" w14:textId="77777777" w:rsidR="00CE0847" w:rsidRPr="006F6430" w:rsidRDefault="00CE0847" w:rsidP="00B16199">
            <w:pPr>
              <w:rPr>
                <w:sz w:val="16"/>
                <w:szCs w:val="16"/>
                <w:vertAlign w:val="superscript"/>
              </w:rPr>
            </w:pPr>
            <w:r w:rsidRPr="00CE0847">
              <w:rPr>
                <w:sz w:val="16"/>
                <w:szCs w:val="16"/>
              </w:rPr>
              <w:t>62.8 (10)</w:t>
            </w:r>
            <w:r w:rsidR="006F6430">
              <w:rPr>
                <w:sz w:val="16"/>
                <w:szCs w:val="16"/>
                <w:vertAlign w:val="superscript"/>
              </w:rPr>
              <w:t>3</w:t>
            </w:r>
            <w:r w:rsidR="004B357D">
              <w:rPr>
                <w:sz w:val="16"/>
                <w:szCs w:val="16"/>
                <w:vertAlign w:val="superscript"/>
              </w:rPr>
              <w:t>,</w:t>
            </w:r>
            <w:r w:rsidR="006F6430">
              <w:rPr>
                <w:sz w:val="16"/>
                <w:szCs w:val="16"/>
                <w:vertAlign w:val="superscript"/>
              </w:rPr>
              <w:t>5</w:t>
            </w:r>
            <w:r w:rsidR="004B357D">
              <w:rPr>
                <w:sz w:val="16"/>
                <w:szCs w:val="16"/>
                <w:vertAlign w:val="superscript"/>
              </w:rPr>
              <w:t>,</w:t>
            </w:r>
            <w:r w:rsidR="006F6430">
              <w:rPr>
                <w:sz w:val="16"/>
                <w:szCs w:val="16"/>
                <w:vertAlign w:val="superscript"/>
              </w:rPr>
              <w:t>6</w:t>
            </w:r>
          </w:p>
        </w:tc>
        <w:tc>
          <w:tcPr>
            <w:tcW w:w="0" w:type="auto"/>
          </w:tcPr>
          <w:p w14:paraId="58026417" w14:textId="77777777" w:rsidR="00CE0847" w:rsidRPr="006F6430" w:rsidRDefault="00CE0847" w:rsidP="00B16199">
            <w:pPr>
              <w:rPr>
                <w:sz w:val="16"/>
                <w:szCs w:val="16"/>
                <w:vertAlign w:val="superscript"/>
              </w:rPr>
            </w:pPr>
            <w:r w:rsidRPr="00CE0847">
              <w:rPr>
                <w:sz w:val="16"/>
                <w:szCs w:val="16"/>
              </w:rPr>
              <w:t>63.8 (10)</w:t>
            </w:r>
            <w:r w:rsidR="006F6430">
              <w:rPr>
                <w:sz w:val="16"/>
                <w:szCs w:val="16"/>
                <w:vertAlign w:val="superscript"/>
              </w:rPr>
              <w:t>5</w:t>
            </w:r>
          </w:p>
        </w:tc>
        <w:tc>
          <w:tcPr>
            <w:tcW w:w="0" w:type="auto"/>
          </w:tcPr>
          <w:p w14:paraId="6EC6BD6A" w14:textId="77777777" w:rsidR="00CE0847" w:rsidRPr="006F6430" w:rsidRDefault="00CE0847" w:rsidP="00B16199">
            <w:pPr>
              <w:rPr>
                <w:sz w:val="16"/>
                <w:szCs w:val="16"/>
                <w:vertAlign w:val="superscript"/>
              </w:rPr>
            </w:pPr>
            <w:r w:rsidRPr="00CE0847">
              <w:rPr>
                <w:sz w:val="16"/>
                <w:szCs w:val="16"/>
              </w:rPr>
              <w:t>68.3 (7.5)</w:t>
            </w:r>
            <w:r w:rsidR="006F6430">
              <w:rPr>
                <w:sz w:val="16"/>
                <w:szCs w:val="16"/>
                <w:vertAlign w:val="superscript"/>
              </w:rPr>
              <w:t>1</w:t>
            </w:r>
          </w:p>
        </w:tc>
        <w:tc>
          <w:tcPr>
            <w:tcW w:w="0" w:type="auto"/>
          </w:tcPr>
          <w:p w14:paraId="595D7D66" w14:textId="77777777" w:rsidR="00CE0847" w:rsidRPr="00CE0847" w:rsidRDefault="00CE0847" w:rsidP="00B16199">
            <w:pPr>
              <w:rPr>
                <w:sz w:val="16"/>
                <w:szCs w:val="16"/>
                <w:vertAlign w:val="superscript"/>
              </w:rPr>
            </w:pPr>
            <w:r w:rsidRPr="00CE0847">
              <w:rPr>
                <w:sz w:val="16"/>
                <w:szCs w:val="16"/>
              </w:rPr>
              <w:t>63.1 (9.2)</w:t>
            </w:r>
          </w:p>
        </w:tc>
        <w:tc>
          <w:tcPr>
            <w:tcW w:w="0" w:type="auto"/>
          </w:tcPr>
          <w:p w14:paraId="72A08F7D" w14:textId="77777777" w:rsidR="00CE0847" w:rsidRPr="006F6430" w:rsidRDefault="00CE0847" w:rsidP="00B16199">
            <w:pPr>
              <w:rPr>
                <w:sz w:val="16"/>
                <w:szCs w:val="16"/>
                <w:vertAlign w:val="superscript"/>
              </w:rPr>
            </w:pPr>
            <w:r w:rsidRPr="00CE0847">
              <w:rPr>
                <w:sz w:val="16"/>
                <w:szCs w:val="16"/>
              </w:rPr>
              <w:t>69.7 (9.2)</w:t>
            </w:r>
            <w:r w:rsidR="006F6430">
              <w:rPr>
                <w:sz w:val="16"/>
                <w:szCs w:val="16"/>
                <w:vertAlign w:val="superscript"/>
              </w:rPr>
              <w:t>1</w:t>
            </w:r>
            <w:r w:rsidR="004B357D">
              <w:rPr>
                <w:sz w:val="16"/>
                <w:szCs w:val="16"/>
                <w:vertAlign w:val="superscript"/>
              </w:rPr>
              <w:t>,</w:t>
            </w:r>
            <w:r w:rsidR="006F6430">
              <w:rPr>
                <w:sz w:val="16"/>
                <w:szCs w:val="16"/>
                <w:vertAlign w:val="superscript"/>
              </w:rPr>
              <w:t>2</w:t>
            </w:r>
          </w:p>
        </w:tc>
        <w:tc>
          <w:tcPr>
            <w:tcW w:w="0" w:type="auto"/>
          </w:tcPr>
          <w:p w14:paraId="14AD9BA9" w14:textId="77777777" w:rsidR="00CE0847" w:rsidRPr="006F6430" w:rsidRDefault="00CE0847" w:rsidP="00B16199">
            <w:pPr>
              <w:rPr>
                <w:sz w:val="16"/>
                <w:szCs w:val="16"/>
                <w:vertAlign w:val="superscript"/>
              </w:rPr>
            </w:pPr>
            <w:r w:rsidRPr="00CE0847">
              <w:rPr>
                <w:sz w:val="16"/>
                <w:szCs w:val="16"/>
              </w:rPr>
              <w:t>72.1 (7.7)</w:t>
            </w:r>
            <w:r w:rsidR="006F6430">
              <w:rPr>
                <w:sz w:val="16"/>
                <w:szCs w:val="16"/>
                <w:vertAlign w:val="superscript"/>
              </w:rPr>
              <w:t>1</w:t>
            </w:r>
          </w:p>
        </w:tc>
      </w:tr>
      <w:tr w:rsidR="00CE0847" w:rsidRPr="00CE0847" w14:paraId="26CF92A1" w14:textId="77777777" w:rsidTr="00A84CFA">
        <w:trPr>
          <w:jc w:val="center"/>
        </w:trPr>
        <w:tc>
          <w:tcPr>
            <w:tcW w:w="0" w:type="auto"/>
          </w:tcPr>
          <w:p w14:paraId="28AEA88C" w14:textId="77777777" w:rsidR="00CE0847" w:rsidRPr="00CE0847" w:rsidRDefault="00CE0847" w:rsidP="00B16199">
            <w:pPr>
              <w:rPr>
                <w:sz w:val="16"/>
                <w:szCs w:val="16"/>
              </w:rPr>
            </w:pPr>
          </w:p>
        </w:tc>
        <w:tc>
          <w:tcPr>
            <w:tcW w:w="0" w:type="auto"/>
          </w:tcPr>
          <w:p w14:paraId="4F84DD26" w14:textId="77777777" w:rsidR="00CE0847" w:rsidRPr="00CE0847" w:rsidRDefault="00CE0847" w:rsidP="00B16199">
            <w:pPr>
              <w:rPr>
                <w:sz w:val="16"/>
                <w:szCs w:val="16"/>
              </w:rPr>
            </w:pPr>
            <w:r w:rsidRPr="00CE0847">
              <w:rPr>
                <w:sz w:val="16"/>
                <w:szCs w:val="16"/>
              </w:rPr>
              <w:t>PD onset</w:t>
            </w:r>
          </w:p>
        </w:tc>
        <w:tc>
          <w:tcPr>
            <w:tcW w:w="0" w:type="auto"/>
          </w:tcPr>
          <w:p w14:paraId="3724CFED" w14:textId="77777777" w:rsidR="00CE0847" w:rsidRPr="00CE0847" w:rsidRDefault="00CE0847" w:rsidP="00B16199">
            <w:pPr>
              <w:rPr>
                <w:sz w:val="16"/>
                <w:szCs w:val="16"/>
                <w:vertAlign w:val="superscript"/>
              </w:rPr>
            </w:pPr>
            <w:r w:rsidRPr="00CE0847">
              <w:rPr>
                <w:sz w:val="16"/>
                <w:szCs w:val="16"/>
              </w:rPr>
              <w:t>56.2 (10.8)</w:t>
            </w:r>
          </w:p>
        </w:tc>
        <w:tc>
          <w:tcPr>
            <w:tcW w:w="0" w:type="auto"/>
          </w:tcPr>
          <w:p w14:paraId="1A4977C3" w14:textId="77777777" w:rsidR="00CE0847" w:rsidRPr="00CE0847" w:rsidRDefault="00CE0847" w:rsidP="00B16199">
            <w:pPr>
              <w:rPr>
                <w:sz w:val="16"/>
                <w:szCs w:val="16"/>
                <w:vertAlign w:val="superscript"/>
              </w:rPr>
            </w:pPr>
            <w:r w:rsidRPr="00CE0847">
              <w:rPr>
                <w:sz w:val="16"/>
                <w:szCs w:val="16"/>
              </w:rPr>
              <w:t>55 (10.7)</w:t>
            </w:r>
          </w:p>
        </w:tc>
        <w:tc>
          <w:tcPr>
            <w:tcW w:w="0" w:type="auto"/>
          </w:tcPr>
          <w:p w14:paraId="0F844451" w14:textId="77777777" w:rsidR="00CE0847" w:rsidRPr="00CE0847" w:rsidRDefault="00CE0847" w:rsidP="00B16199">
            <w:pPr>
              <w:rPr>
                <w:sz w:val="16"/>
                <w:szCs w:val="16"/>
                <w:vertAlign w:val="superscript"/>
              </w:rPr>
            </w:pPr>
            <w:r w:rsidRPr="00CE0847">
              <w:rPr>
                <w:sz w:val="16"/>
                <w:szCs w:val="16"/>
              </w:rPr>
              <w:t>58.2 (10)</w:t>
            </w:r>
          </w:p>
        </w:tc>
        <w:tc>
          <w:tcPr>
            <w:tcW w:w="0" w:type="auto"/>
          </w:tcPr>
          <w:p w14:paraId="603D8E0C" w14:textId="77777777" w:rsidR="00CE0847" w:rsidRPr="00CE0847" w:rsidRDefault="00CE0847" w:rsidP="00B16199">
            <w:pPr>
              <w:rPr>
                <w:sz w:val="16"/>
                <w:szCs w:val="16"/>
                <w:vertAlign w:val="superscript"/>
              </w:rPr>
            </w:pPr>
            <w:r w:rsidRPr="00CE0847">
              <w:rPr>
                <w:sz w:val="16"/>
                <w:szCs w:val="16"/>
              </w:rPr>
              <w:t>54.8 (10.3)</w:t>
            </w:r>
          </w:p>
        </w:tc>
        <w:tc>
          <w:tcPr>
            <w:tcW w:w="0" w:type="auto"/>
          </w:tcPr>
          <w:p w14:paraId="347F4C29" w14:textId="77777777" w:rsidR="00CE0847" w:rsidRPr="00CE0847" w:rsidRDefault="00CE0847" w:rsidP="00B16199">
            <w:pPr>
              <w:rPr>
                <w:sz w:val="16"/>
                <w:szCs w:val="16"/>
                <w:vertAlign w:val="superscript"/>
              </w:rPr>
            </w:pPr>
            <w:r w:rsidRPr="00CE0847">
              <w:rPr>
                <w:sz w:val="16"/>
                <w:szCs w:val="16"/>
              </w:rPr>
              <w:t>58.8 (11.7)</w:t>
            </w:r>
          </w:p>
        </w:tc>
        <w:tc>
          <w:tcPr>
            <w:tcW w:w="0" w:type="auto"/>
          </w:tcPr>
          <w:p w14:paraId="129986A8" w14:textId="77777777" w:rsidR="00CE0847" w:rsidRPr="00CE0847" w:rsidRDefault="00CE0847" w:rsidP="00B16199">
            <w:pPr>
              <w:rPr>
                <w:sz w:val="16"/>
                <w:szCs w:val="16"/>
                <w:vertAlign w:val="superscript"/>
              </w:rPr>
            </w:pPr>
            <w:r w:rsidRPr="00CE0847">
              <w:rPr>
                <w:sz w:val="16"/>
                <w:szCs w:val="16"/>
              </w:rPr>
              <w:t xml:space="preserve">59.2 (8.6) </w:t>
            </w:r>
          </w:p>
        </w:tc>
      </w:tr>
      <w:tr w:rsidR="00CE0847" w:rsidRPr="00CE0847" w14:paraId="79E7368C" w14:textId="77777777" w:rsidTr="00A84CFA">
        <w:trPr>
          <w:jc w:val="center"/>
        </w:trPr>
        <w:tc>
          <w:tcPr>
            <w:tcW w:w="0" w:type="auto"/>
          </w:tcPr>
          <w:p w14:paraId="0438FBCA" w14:textId="77777777" w:rsidR="00CE0847" w:rsidRPr="00CE0847" w:rsidRDefault="00CE0847" w:rsidP="00B16199">
            <w:pPr>
              <w:rPr>
                <w:sz w:val="16"/>
                <w:szCs w:val="16"/>
              </w:rPr>
            </w:pPr>
          </w:p>
        </w:tc>
        <w:tc>
          <w:tcPr>
            <w:tcW w:w="0" w:type="auto"/>
          </w:tcPr>
          <w:p w14:paraId="19202AEF" w14:textId="77777777" w:rsidR="00CE0847" w:rsidRPr="00CE0847" w:rsidRDefault="00CE0847" w:rsidP="00B16199">
            <w:pPr>
              <w:rPr>
                <w:sz w:val="16"/>
                <w:szCs w:val="16"/>
              </w:rPr>
            </w:pPr>
            <w:r w:rsidRPr="00CE0847">
              <w:rPr>
                <w:sz w:val="16"/>
                <w:szCs w:val="16"/>
              </w:rPr>
              <w:t>PD duration</w:t>
            </w:r>
          </w:p>
        </w:tc>
        <w:tc>
          <w:tcPr>
            <w:tcW w:w="0" w:type="auto"/>
          </w:tcPr>
          <w:p w14:paraId="021BCF4C" w14:textId="77777777" w:rsidR="00CE0847" w:rsidRPr="00CE0847" w:rsidRDefault="00CE0847" w:rsidP="00B16199">
            <w:pPr>
              <w:rPr>
                <w:sz w:val="16"/>
                <w:szCs w:val="16"/>
                <w:vertAlign w:val="superscript"/>
              </w:rPr>
            </w:pPr>
            <w:r w:rsidRPr="00CE0847">
              <w:rPr>
                <w:sz w:val="16"/>
                <w:szCs w:val="16"/>
              </w:rPr>
              <w:t>6.6 (4.8)</w:t>
            </w:r>
            <w:r w:rsidRPr="00CE0847">
              <w:rPr>
                <w:sz w:val="16"/>
                <w:szCs w:val="16"/>
                <w:vertAlign w:val="superscript"/>
              </w:rPr>
              <w:t>2</w:t>
            </w:r>
            <w:r w:rsidR="004B357D">
              <w:rPr>
                <w:sz w:val="16"/>
                <w:szCs w:val="16"/>
                <w:vertAlign w:val="superscript"/>
              </w:rPr>
              <w:t>,</w:t>
            </w:r>
            <w:r w:rsidRPr="00CE0847">
              <w:rPr>
                <w:sz w:val="16"/>
                <w:szCs w:val="16"/>
                <w:vertAlign w:val="superscript"/>
              </w:rPr>
              <w:t>3</w:t>
            </w:r>
            <w:r w:rsidR="004B357D">
              <w:rPr>
                <w:sz w:val="16"/>
                <w:szCs w:val="16"/>
                <w:vertAlign w:val="superscript"/>
              </w:rPr>
              <w:t>,</w:t>
            </w:r>
            <w:r w:rsidRPr="00CE0847">
              <w:rPr>
                <w:sz w:val="16"/>
                <w:szCs w:val="16"/>
                <w:vertAlign w:val="superscript"/>
              </w:rPr>
              <w:t>5</w:t>
            </w:r>
            <w:r w:rsidR="004B357D">
              <w:rPr>
                <w:sz w:val="16"/>
                <w:szCs w:val="16"/>
                <w:vertAlign w:val="superscript"/>
              </w:rPr>
              <w:t>,</w:t>
            </w:r>
            <w:r w:rsidRPr="00CE0847">
              <w:rPr>
                <w:sz w:val="16"/>
                <w:szCs w:val="16"/>
                <w:vertAlign w:val="superscript"/>
              </w:rPr>
              <w:t>6</w:t>
            </w:r>
          </w:p>
        </w:tc>
        <w:tc>
          <w:tcPr>
            <w:tcW w:w="0" w:type="auto"/>
          </w:tcPr>
          <w:p w14:paraId="7FEC3A1F" w14:textId="77777777" w:rsidR="00CE0847" w:rsidRPr="00CE0847" w:rsidRDefault="00CE0847" w:rsidP="00B16199">
            <w:pPr>
              <w:rPr>
                <w:sz w:val="16"/>
                <w:szCs w:val="16"/>
                <w:vertAlign w:val="superscript"/>
              </w:rPr>
            </w:pPr>
            <w:r w:rsidRPr="00CE0847">
              <w:rPr>
                <w:sz w:val="16"/>
                <w:szCs w:val="16"/>
              </w:rPr>
              <w:t>8.8 (5.9)</w:t>
            </w:r>
            <w:r w:rsidRPr="00CE0847">
              <w:rPr>
                <w:sz w:val="16"/>
                <w:szCs w:val="16"/>
                <w:vertAlign w:val="superscript"/>
              </w:rPr>
              <w:t>1</w:t>
            </w:r>
          </w:p>
        </w:tc>
        <w:tc>
          <w:tcPr>
            <w:tcW w:w="0" w:type="auto"/>
          </w:tcPr>
          <w:p w14:paraId="247EBB37" w14:textId="77777777" w:rsidR="00CE0847" w:rsidRPr="00CE0847" w:rsidRDefault="00CE0847" w:rsidP="00B16199">
            <w:pPr>
              <w:rPr>
                <w:sz w:val="16"/>
                <w:szCs w:val="16"/>
                <w:vertAlign w:val="superscript"/>
              </w:rPr>
            </w:pPr>
            <w:r w:rsidRPr="00CE0847">
              <w:rPr>
                <w:sz w:val="16"/>
                <w:szCs w:val="16"/>
              </w:rPr>
              <w:t>10.1 (6.7)</w:t>
            </w:r>
            <w:r w:rsidRPr="00CE0847">
              <w:rPr>
                <w:sz w:val="16"/>
                <w:szCs w:val="16"/>
                <w:vertAlign w:val="superscript"/>
              </w:rPr>
              <w:t>1</w:t>
            </w:r>
          </w:p>
        </w:tc>
        <w:tc>
          <w:tcPr>
            <w:tcW w:w="0" w:type="auto"/>
          </w:tcPr>
          <w:p w14:paraId="2CE0F271" w14:textId="77777777" w:rsidR="00CE0847" w:rsidRPr="00CE0847" w:rsidRDefault="00CE0847" w:rsidP="00B16199">
            <w:pPr>
              <w:rPr>
                <w:sz w:val="16"/>
                <w:szCs w:val="16"/>
                <w:vertAlign w:val="superscript"/>
              </w:rPr>
            </w:pPr>
            <w:r w:rsidRPr="00CE0847">
              <w:rPr>
                <w:sz w:val="16"/>
                <w:szCs w:val="16"/>
              </w:rPr>
              <w:t>8.3 (4.9)</w:t>
            </w:r>
          </w:p>
        </w:tc>
        <w:tc>
          <w:tcPr>
            <w:tcW w:w="0" w:type="auto"/>
          </w:tcPr>
          <w:p w14:paraId="4CC19B23" w14:textId="77777777" w:rsidR="00CE0847" w:rsidRPr="00CE0847" w:rsidRDefault="00CE0847" w:rsidP="00B16199">
            <w:pPr>
              <w:rPr>
                <w:sz w:val="16"/>
                <w:szCs w:val="16"/>
                <w:vertAlign w:val="superscript"/>
              </w:rPr>
            </w:pPr>
            <w:r w:rsidRPr="00CE0847">
              <w:rPr>
                <w:sz w:val="16"/>
                <w:szCs w:val="16"/>
              </w:rPr>
              <w:t>11 (8.5)</w:t>
            </w:r>
            <w:r w:rsidRPr="00CE0847">
              <w:rPr>
                <w:sz w:val="16"/>
                <w:szCs w:val="16"/>
                <w:vertAlign w:val="superscript"/>
              </w:rPr>
              <w:t>1</w:t>
            </w:r>
          </w:p>
        </w:tc>
        <w:tc>
          <w:tcPr>
            <w:tcW w:w="0" w:type="auto"/>
          </w:tcPr>
          <w:p w14:paraId="3A696F7F" w14:textId="77777777" w:rsidR="00CE0847" w:rsidRPr="00CE0847" w:rsidRDefault="00CE0847" w:rsidP="00B16199">
            <w:pPr>
              <w:rPr>
                <w:sz w:val="16"/>
                <w:szCs w:val="16"/>
                <w:vertAlign w:val="superscript"/>
              </w:rPr>
            </w:pPr>
            <w:r w:rsidRPr="00CE0847">
              <w:rPr>
                <w:sz w:val="16"/>
                <w:szCs w:val="16"/>
              </w:rPr>
              <w:t>12.8 (6.5)</w:t>
            </w:r>
            <w:r w:rsidRPr="00CE0847">
              <w:rPr>
                <w:sz w:val="16"/>
                <w:szCs w:val="16"/>
                <w:vertAlign w:val="superscript"/>
              </w:rPr>
              <w:t>1</w:t>
            </w:r>
          </w:p>
        </w:tc>
      </w:tr>
      <w:tr w:rsidR="00CE0847" w:rsidRPr="00CE0847" w14:paraId="32C666F1" w14:textId="77777777" w:rsidTr="00A84CFA">
        <w:trPr>
          <w:jc w:val="center"/>
        </w:trPr>
        <w:tc>
          <w:tcPr>
            <w:tcW w:w="0" w:type="auto"/>
            <w:gridSpan w:val="8"/>
            <w:tcBorders>
              <w:top w:val="single" w:sz="4" w:space="0" w:color="000000"/>
              <w:bottom w:val="single" w:sz="4" w:space="0" w:color="000000"/>
            </w:tcBorders>
          </w:tcPr>
          <w:p w14:paraId="362489C7" w14:textId="77777777" w:rsidR="00CE0847" w:rsidRPr="00AA1A2F" w:rsidRDefault="00AA1A2F" w:rsidP="00B16199">
            <w:pPr>
              <w:rPr>
                <w:rFonts w:cs="Times New Roman"/>
                <w:sz w:val="16"/>
                <w:szCs w:val="16"/>
              </w:rPr>
            </w:pPr>
            <w:r w:rsidRPr="00AA1A2F">
              <w:rPr>
                <w:rFonts w:cs="Times New Roman"/>
                <w:i/>
                <w:sz w:val="16"/>
                <w:szCs w:val="16"/>
                <w:vertAlign w:val="superscript"/>
              </w:rPr>
              <w:t>n</w:t>
            </w:r>
            <w:r w:rsidR="00CE0847" w:rsidRPr="00CE0847">
              <w:rPr>
                <w:rFonts w:cs="Times New Roman"/>
                <w:sz w:val="16"/>
                <w:szCs w:val="16"/>
              </w:rPr>
              <w:t xml:space="preserve"> Signi</w:t>
            </w:r>
            <w:r>
              <w:rPr>
                <w:rFonts w:cs="Times New Roman"/>
                <w:sz w:val="16"/>
                <w:szCs w:val="16"/>
              </w:rPr>
              <w:t xml:space="preserve">ficant difference with cluster </w:t>
            </w:r>
            <w:r w:rsidR="001541C0">
              <w:rPr>
                <w:rFonts w:cs="Times New Roman"/>
                <w:sz w:val="16"/>
                <w:szCs w:val="16"/>
              </w:rPr>
              <w:t>S</w:t>
            </w:r>
            <w:r>
              <w:rPr>
                <w:rFonts w:cs="Times New Roman"/>
                <w:i/>
                <w:sz w:val="16"/>
                <w:szCs w:val="16"/>
              </w:rPr>
              <w:t>n</w:t>
            </w:r>
            <w:r w:rsidR="00CE0847" w:rsidRPr="00CE0847">
              <w:rPr>
                <w:rFonts w:cs="Times New Roman"/>
                <w:sz w:val="16"/>
                <w:szCs w:val="16"/>
              </w:rPr>
              <w:t xml:space="preserve"> (corrected </w:t>
            </w:r>
            <m:oMath>
              <m:r>
                <w:rPr>
                  <w:rFonts w:ascii="Cambria Math" w:hAnsi="Cambria Math" w:cs="Times New Roman"/>
                  <w:sz w:val="16"/>
                  <w:szCs w:val="16"/>
                </w:rPr>
                <m:t>p &lt; 0.05</m:t>
              </m:r>
            </m:oMath>
            <w:r w:rsidR="00CE0847" w:rsidRPr="00CE0847">
              <w:rPr>
                <w:rFonts w:cs="Times New Roman"/>
                <w:sz w:val="16"/>
                <w:szCs w:val="16"/>
              </w:rPr>
              <w:t>)</w:t>
            </w:r>
          </w:p>
        </w:tc>
      </w:tr>
    </w:tbl>
    <w:p w14:paraId="0068089E" w14:textId="77777777" w:rsidR="003D476B" w:rsidRDefault="003D476B" w:rsidP="00B16199">
      <w:pPr>
        <w:pStyle w:val="Heading2"/>
        <w:jc w:val="both"/>
        <w:rPr>
          <w:rFonts w:cs="Times New Roman"/>
        </w:rPr>
      </w:pPr>
    </w:p>
    <w:p w14:paraId="321F3971" w14:textId="77777777" w:rsidR="00C0617B" w:rsidRPr="00E75106" w:rsidRDefault="00C0617B" w:rsidP="00B16199">
      <w:pPr>
        <w:pStyle w:val="Heading2"/>
        <w:jc w:val="both"/>
        <w:rPr>
          <w:rFonts w:cs="Times New Roman"/>
          <w:i/>
        </w:rPr>
      </w:pPr>
      <w:r w:rsidRPr="00E75106">
        <w:rPr>
          <w:rFonts w:cs="Times New Roman"/>
          <w:i/>
        </w:rPr>
        <w:t>Comparison between clusterings</w:t>
      </w:r>
    </w:p>
    <w:p w14:paraId="72EB65B0" w14:textId="3EBC8559" w:rsidR="00100C07" w:rsidRDefault="004A1F21" w:rsidP="00B16199">
      <w:pPr>
        <w:rPr>
          <w:rFonts w:cs="Times New Roman"/>
        </w:rPr>
      </w:pPr>
      <w:r>
        <w:rPr>
          <w:rFonts w:cs="Times New Roman"/>
        </w:rPr>
        <w:tab/>
      </w:r>
      <w:r w:rsidR="00C0617B" w:rsidRPr="008614C4">
        <w:rPr>
          <w:rFonts w:cs="Times New Roman"/>
        </w:rPr>
        <w:t xml:space="preserve">Alignment of the </w:t>
      </w:r>
      <w:r w:rsidR="00A029F4">
        <w:rPr>
          <w:rFonts w:cs="Times New Roman"/>
        </w:rPr>
        <w:t xml:space="preserve">D and S </w:t>
      </w:r>
      <w:r w:rsidR="00C0617B" w:rsidRPr="008614C4">
        <w:rPr>
          <w:rFonts w:cs="Times New Roman"/>
        </w:rPr>
        <w:t xml:space="preserve">clusters is visualized in </w:t>
      </w:r>
      <w:r w:rsidR="006E606F">
        <w:rPr>
          <w:rFonts w:cs="Times New Roman"/>
        </w:rPr>
        <w:t>Table</w:t>
      </w:r>
      <w:r w:rsidR="005E661E">
        <w:rPr>
          <w:rFonts w:cs="Times New Roman"/>
        </w:rPr>
        <w:t xml:space="preserve"> 4</w:t>
      </w:r>
      <w:r w:rsidR="00CE102E">
        <w:rPr>
          <w:rFonts w:cs="Times New Roman"/>
        </w:rPr>
        <w:t>.</w:t>
      </w:r>
      <w:r w:rsidR="00A029F4">
        <w:rPr>
          <w:rFonts w:cs="Times New Roman"/>
        </w:rPr>
        <w:t xml:space="preserve"> While S1 grouped patients from D1</w:t>
      </w:r>
      <w:r w:rsidR="0017701B">
        <w:rPr>
          <w:rFonts w:cs="Times New Roman"/>
        </w:rPr>
        <w:t xml:space="preserve"> (mild)</w:t>
      </w:r>
      <w:r w:rsidR="00A029F4">
        <w:rPr>
          <w:rFonts w:cs="Times New Roman"/>
        </w:rPr>
        <w:t xml:space="preserve"> and D3 </w:t>
      </w:r>
      <w:r w:rsidR="0017701B">
        <w:rPr>
          <w:rFonts w:cs="Times New Roman"/>
        </w:rPr>
        <w:t>(motor-dominant),</w:t>
      </w:r>
      <w:r w:rsidR="006E033E">
        <w:rPr>
          <w:rFonts w:cs="Times New Roman"/>
        </w:rPr>
        <w:t xml:space="preserve"> and</w:t>
      </w:r>
      <w:r w:rsidR="0017701B">
        <w:rPr>
          <w:rFonts w:cs="Times New Roman"/>
        </w:rPr>
        <w:t xml:space="preserve"> </w:t>
      </w:r>
      <w:r w:rsidR="00A029F4">
        <w:rPr>
          <w:rFonts w:cs="Times New Roman"/>
        </w:rPr>
        <w:t xml:space="preserve">D4 </w:t>
      </w:r>
      <w:r w:rsidR="0017701B">
        <w:rPr>
          <w:rFonts w:cs="Times New Roman"/>
        </w:rPr>
        <w:t xml:space="preserve">(severe) </w:t>
      </w:r>
      <w:r w:rsidR="00A029F4">
        <w:rPr>
          <w:rFonts w:cs="Times New Roman"/>
        </w:rPr>
        <w:t>showed a predominant contribution from S5</w:t>
      </w:r>
      <w:r w:rsidR="0017701B">
        <w:rPr>
          <w:rFonts w:cs="Times New Roman"/>
        </w:rPr>
        <w:t xml:space="preserve"> (severe non-motor)</w:t>
      </w:r>
      <w:r w:rsidR="00A029F4">
        <w:rPr>
          <w:rFonts w:cs="Times New Roman"/>
        </w:rPr>
        <w:t xml:space="preserve"> and S6</w:t>
      </w:r>
      <w:r w:rsidR="0017701B">
        <w:rPr>
          <w:rFonts w:cs="Times New Roman"/>
        </w:rPr>
        <w:t xml:space="preserve"> (severe motor and </w:t>
      </w:r>
      <w:r w:rsidR="006E6892">
        <w:rPr>
          <w:rFonts w:cs="Times New Roman"/>
        </w:rPr>
        <w:t>non-motor)</w:t>
      </w:r>
      <w:r w:rsidR="00A029F4">
        <w:rPr>
          <w:rFonts w:cs="Times New Roman"/>
        </w:rPr>
        <w:t>, the remaining clusters were fragmentarily distributed</w:t>
      </w:r>
      <w:r w:rsidR="00B4008C">
        <w:rPr>
          <w:rFonts w:cs="Times New Roman"/>
        </w:rPr>
        <w:t>, as indicated by low similarity metrics</w:t>
      </w:r>
      <w:r w:rsidR="0091038D">
        <w:rPr>
          <w:rFonts w:cs="Times New Roman"/>
        </w:rPr>
        <w:t xml:space="preserve"> </w:t>
      </w:r>
      <w:r w:rsidR="00E128F9">
        <w:rPr>
          <w:rFonts w:cs="Times New Roman"/>
        </w:rPr>
        <w:t>(</w:t>
      </w:r>
      <m:oMath>
        <m:r>
          <m:rPr>
            <m:sty m:val="p"/>
          </m:rPr>
          <w:rPr>
            <w:rFonts w:ascii="Cambria Math" w:hAnsi="Cambria Math" w:cs="Times New Roman"/>
          </w:rPr>
          <m:t>ARI</m:t>
        </m:r>
        <m:r>
          <w:rPr>
            <w:rFonts w:ascii="Cambria Math" w:hAnsi="Cambria Math" w:cs="Times New Roman"/>
          </w:rPr>
          <m:t xml:space="preserve">=0.32; </m:t>
        </m:r>
        <m:r>
          <m:rPr>
            <m:nor/>
          </m:rPr>
          <w:rPr>
            <w:rFonts w:cs="Times New Roman"/>
            <w:i/>
          </w:rPr>
          <m:t>v</m:t>
        </m:r>
        <m:r>
          <m:rPr>
            <m:nor/>
          </m:rPr>
          <w:rPr>
            <w:rFonts w:cs="Times New Roman"/>
          </w:rPr>
          <m:t>-measure</m:t>
        </m:r>
        <m:r>
          <w:rPr>
            <w:rFonts w:ascii="Cambria Math" w:hAnsi="Cambria Math" w:cs="Times New Roman"/>
          </w:rPr>
          <m:t>=0.31</m:t>
        </m:r>
      </m:oMath>
      <w:r w:rsidR="00A029F4" w:rsidRPr="008614C4">
        <w:rPr>
          <w:rFonts w:cs="Times New Roman"/>
        </w:rPr>
        <w:t>).</w:t>
      </w:r>
      <w:r w:rsidR="006D4E6A">
        <w:rPr>
          <w:rFonts w:cs="Times New Roman"/>
        </w:rPr>
        <w:t xml:space="preserve"> For the domains clustering, patients in clusters mildly</w:t>
      </w:r>
      <w:r w:rsidR="00E67D0E">
        <w:rPr>
          <w:rFonts w:cs="Times New Roman"/>
        </w:rPr>
        <w:t xml:space="preserve"> affected in </w:t>
      </w:r>
      <w:r w:rsidR="00571C87">
        <w:rPr>
          <w:rFonts w:cs="Times New Roman"/>
        </w:rPr>
        <w:t>non-motor</w:t>
      </w:r>
      <w:r w:rsidR="00E67D0E">
        <w:rPr>
          <w:rFonts w:cs="Times New Roman"/>
        </w:rPr>
        <w:t xml:space="preserve"> domains (</w:t>
      </w:r>
      <w:r w:rsidR="00CE102E">
        <w:rPr>
          <w:rFonts w:cs="Times New Roman"/>
        </w:rPr>
        <w:t>D1, D3</w:t>
      </w:r>
      <w:r w:rsidR="006D4E6A">
        <w:rPr>
          <w:rFonts w:cs="Times New Roman"/>
        </w:rPr>
        <w:t>) were</w:t>
      </w:r>
      <w:r w:rsidR="00923E30">
        <w:rPr>
          <w:rFonts w:cs="Times New Roman"/>
        </w:rPr>
        <w:t xml:space="preserve"> correspondingly</w:t>
      </w:r>
      <w:r w:rsidR="00BD7781">
        <w:rPr>
          <w:rFonts w:cs="Times New Roman"/>
        </w:rPr>
        <w:t xml:space="preserve"> </w:t>
      </w:r>
      <w:r w:rsidR="00923E30">
        <w:rPr>
          <w:rFonts w:cs="Times New Roman"/>
        </w:rPr>
        <w:t>distributed among the</w:t>
      </w:r>
      <w:r w:rsidR="006D4E6A">
        <w:rPr>
          <w:rFonts w:cs="Times New Roman"/>
        </w:rPr>
        <w:t xml:space="preserve"> milder symptoms clusters (</w:t>
      </w:r>
      <w:r w:rsidR="00CE102E">
        <w:rPr>
          <w:rFonts w:cs="Times New Roman"/>
        </w:rPr>
        <w:t xml:space="preserve">S1–S4, </w:t>
      </w:r>
      <w:r w:rsidR="006D4E6A">
        <w:rPr>
          <w:rFonts w:cs="Times New Roman"/>
        </w:rPr>
        <w:t xml:space="preserve">skewed left). </w:t>
      </w:r>
      <w:r w:rsidR="006D4E6A">
        <w:rPr>
          <w:rFonts w:cs="Times New Roman"/>
        </w:rPr>
        <w:lastRenderedPageBreak/>
        <w:t xml:space="preserve">Conversely, patients in clusters with severe </w:t>
      </w:r>
      <w:r w:rsidR="005E661E">
        <w:rPr>
          <w:rFonts w:cs="Times New Roman"/>
        </w:rPr>
        <w:t>non-motor</w:t>
      </w:r>
      <w:r w:rsidR="006D4E6A">
        <w:rPr>
          <w:rFonts w:cs="Times New Roman"/>
        </w:rPr>
        <w:t xml:space="preserve"> symptoms (</w:t>
      </w:r>
      <w:r w:rsidR="00CE102E">
        <w:rPr>
          <w:rFonts w:cs="Times New Roman"/>
        </w:rPr>
        <w:t>D2, D4</w:t>
      </w:r>
      <w:r w:rsidR="006D4E6A">
        <w:rPr>
          <w:rFonts w:cs="Times New Roman"/>
        </w:rPr>
        <w:t xml:space="preserve">) were </w:t>
      </w:r>
      <w:r w:rsidR="00E67D0E">
        <w:rPr>
          <w:rFonts w:cs="Times New Roman"/>
        </w:rPr>
        <w:t>split among</w:t>
      </w:r>
      <w:r w:rsidR="006D4E6A">
        <w:rPr>
          <w:rFonts w:cs="Times New Roman"/>
        </w:rPr>
        <w:t xml:space="preserve"> the </w:t>
      </w:r>
      <w:r w:rsidR="006D4E6A" w:rsidRPr="00591748">
        <w:rPr>
          <w:rFonts w:cs="Times New Roman"/>
        </w:rPr>
        <w:t>various</w:t>
      </w:r>
      <w:r w:rsidR="00E67D0E">
        <w:rPr>
          <w:rFonts w:cs="Times New Roman"/>
        </w:rPr>
        <w:t xml:space="preserve"> specific</w:t>
      </w:r>
      <w:r w:rsidR="0091038D">
        <w:rPr>
          <w:rFonts w:cs="Times New Roman"/>
        </w:rPr>
        <w:t xml:space="preserve"> </w:t>
      </w:r>
      <w:r w:rsidR="00571C87">
        <w:rPr>
          <w:rFonts w:cs="Times New Roman"/>
        </w:rPr>
        <w:t>non-motor</w:t>
      </w:r>
      <w:r w:rsidR="00E67D0E">
        <w:rPr>
          <w:rFonts w:cs="Times New Roman"/>
        </w:rPr>
        <w:t>-dominant clusters (</w:t>
      </w:r>
      <w:r w:rsidR="00CE102E">
        <w:rPr>
          <w:rFonts w:cs="Times New Roman"/>
        </w:rPr>
        <w:t>S2–S6</w:t>
      </w:r>
      <w:r w:rsidR="00923E30">
        <w:rPr>
          <w:rFonts w:cs="Times New Roman"/>
        </w:rPr>
        <w:t xml:space="preserve">), </w:t>
      </w:r>
      <w:r w:rsidR="00A029F4">
        <w:rPr>
          <w:rFonts w:cs="Times New Roman"/>
        </w:rPr>
        <w:t xml:space="preserve">suggesting </w:t>
      </w:r>
      <w:r w:rsidR="00923E30">
        <w:rPr>
          <w:rFonts w:cs="Times New Roman"/>
        </w:rPr>
        <w:t xml:space="preserve">that the symptoms clustering </w:t>
      </w:r>
      <w:r w:rsidR="00A029F4">
        <w:rPr>
          <w:rFonts w:cs="Times New Roman"/>
        </w:rPr>
        <w:t>is clinically more precise</w:t>
      </w:r>
      <w:r w:rsidR="007D1AC7">
        <w:rPr>
          <w:rFonts w:cs="Times New Roman"/>
        </w:rPr>
        <w:t xml:space="preserve"> than the domains clustering</w:t>
      </w:r>
      <w:r w:rsidR="00923E30">
        <w:rPr>
          <w:rFonts w:cs="Times New Roman"/>
        </w:rPr>
        <w:t>.</w:t>
      </w:r>
      <w:r w:rsidR="00A83E46">
        <w:rPr>
          <w:rFonts w:cs="Times New Roman"/>
        </w:rPr>
        <w:t xml:space="preserve"> </w:t>
      </w:r>
      <w:r w:rsidR="006E6892">
        <w:rPr>
          <w:rFonts w:cs="Times New Roman"/>
        </w:rPr>
        <w:t>This is particularly evident from D2</w:t>
      </w:r>
      <w:r w:rsidR="0051053C">
        <w:rPr>
          <w:rFonts w:cs="Times New Roman"/>
        </w:rPr>
        <w:t>,</w:t>
      </w:r>
      <w:r w:rsidR="006E6892">
        <w:rPr>
          <w:rFonts w:cs="Times New Roman"/>
        </w:rPr>
        <w:t xml:space="preserve"> where 95 out of the 180 patients </w:t>
      </w:r>
      <w:r w:rsidR="00CE102E">
        <w:rPr>
          <w:rFonts w:cs="Times New Roman"/>
        </w:rPr>
        <w:t xml:space="preserve">were </w:t>
      </w:r>
      <w:r w:rsidR="006E6892">
        <w:rPr>
          <w:rFonts w:cs="Times New Roman"/>
        </w:rPr>
        <w:t>clustered based on urinary (S3) and mood/apathy (S4)</w:t>
      </w:r>
      <w:r w:rsidR="00CE102E">
        <w:rPr>
          <w:rFonts w:cs="Times New Roman"/>
        </w:rPr>
        <w:t xml:space="preserve"> symptoms</w:t>
      </w:r>
      <w:r w:rsidR="006E6892">
        <w:rPr>
          <w:rFonts w:cs="Times New Roman"/>
        </w:rPr>
        <w:t>.</w:t>
      </w:r>
    </w:p>
    <w:p w14:paraId="4BA8FDA8" w14:textId="77777777" w:rsidR="00B452BB" w:rsidRDefault="00B452BB" w:rsidP="00B16199">
      <w:pPr>
        <w:rPr>
          <w:rFonts w:cs="Times New Roman"/>
        </w:rPr>
      </w:pPr>
    </w:p>
    <w:p w14:paraId="0D95EA71" w14:textId="1F3442AC" w:rsidR="003F6EF2" w:rsidRPr="00EF7F2C" w:rsidRDefault="00E24BAF" w:rsidP="00B16199">
      <w:pPr>
        <w:pStyle w:val="Caption"/>
        <w:keepNext/>
        <w:keepLines/>
        <w:rPr>
          <w:i w:val="0"/>
          <w:color w:val="000000" w:themeColor="text1"/>
          <w:sz w:val="20"/>
          <w:szCs w:val="20"/>
        </w:rPr>
      </w:pPr>
      <w:r w:rsidRPr="00E24BAF">
        <w:rPr>
          <w:color w:val="000000" w:themeColor="text1"/>
          <w:sz w:val="20"/>
          <w:szCs w:val="20"/>
        </w:rPr>
        <w:t xml:space="preserve">Table </w:t>
      </w:r>
      <w:r w:rsidR="001966C5">
        <w:rPr>
          <w:color w:val="000000" w:themeColor="text1"/>
          <w:sz w:val="20"/>
          <w:szCs w:val="20"/>
        </w:rPr>
        <w:t>4</w:t>
      </w:r>
      <w:r w:rsidR="001966C5" w:rsidRPr="00E24BAF">
        <w:rPr>
          <w:color w:val="000000" w:themeColor="text1"/>
          <w:sz w:val="20"/>
          <w:szCs w:val="20"/>
        </w:rPr>
        <w:t>.</w:t>
      </w:r>
      <w:r w:rsidR="001966C5" w:rsidRPr="00E24BAF">
        <w:rPr>
          <w:i w:val="0"/>
          <w:color w:val="000000" w:themeColor="text1"/>
          <w:sz w:val="20"/>
          <w:szCs w:val="20"/>
        </w:rPr>
        <w:t xml:space="preserve"> Contingency</w:t>
      </w:r>
      <w:r w:rsidRPr="00E24BAF">
        <w:rPr>
          <w:i w:val="0"/>
          <w:color w:val="000000" w:themeColor="text1"/>
          <w:sz w:val="20"/>
          <w:szCs w:val="20"/>
        </w:rPr>
        <w:t xml:space="preserve"> table describing cross-categorization of individuals in the domains and symptoms clusters.</w:t>
      </w:r>
    </w:p>
    <w:tbl>
      <w:tblPr>
        <w:tblStyle w:val="Tablanormal31"/>
        <w:tblW w:w="0" w:type="auto"/>
        <w:jc w:val="center"/>
        <w:tblBorders>
          <w:insideH w:val="single" w:sz="4" w:space="0" w:color="000000"/>
          <w:insideV w:val="single" w:sz="4" w:space="0" w:color="000000"/>
        </w:tblBorders>
        <w:tblLook w:val="0600" w:firstRow="0" w:lastRow="0" w:firstColumn="0" w:lastColumn="0" w:noHBand="1" w:noVBand="1"/>
      </w:tblPr>
      <w:tblGrid>
        <w:gridCol w:w="567"/>
        <w:gridCol w:w="461"/>
        <w:gridCol w:w="516"/>
        <w:gridCol w:w="516"/>
        <w:gridCol w:w="516"/>
        <w:gridCol w:w="428"/>
        <w:gridCol w:w="428"/>
        <w:gridCol w:w="428"/>
        <w:gridCol w:w="639"/>
      </w:tblGrid>
      <w:tr w:rsidR="00E24BAF" w14:paraId="4C4A0F82" w14:textId="77777777" w:rsidTr="00384A34">
        <w:trPr>
          <w:jc w:val="center"/>
        </w:trPr>
        <w:tc>
          <w:tcPr>
            <w:tcW w:w="0" w:type="auto"/>
            <w:tcBorders>
              <w:top w:val="nil"/>
              <w:bottom w:val="nil"/>
              <w:right w:val="nil"/>
              <w:tl2br w:val="nil"/>
            </w:tcBorders>
          </w:tcPr>
          <w:p w14:paraId="4B4FA679" w14:textId="77777777" w:rsidR="00E24BAF" w:rsidRDefault="00E24BAF" w:rsidP="00B16199">
            <w:pPr>
              <w:keepNext/>
              <w:keepLines/>
              <w:rPr>
                <w:rFonts w:cs="Times New Roman"/>
                <w:sz w:val="20"/>
                <w:szCs w:val="20"/>
              </w:rPr>
            </w:pPr>
          </w:p>
        </w:tc>
        <w:tc>
          <w:tcPr>
            <w:tcW w:w="0" w:type="auto"/>
            <w:gridSpan w:val="7"/>
            <w:tcBorders>
              <w:top w:val="nil"/>
              <w:left w:val="nil"/>
              <w:bottom w:val="nil"/>
              <w:right w:val="nil"/>
              <w:tl2br w:val="nil"/>
            </w:tcBorders>
          </w:tcPr>
          <w:p w14:paraId="49B25D5A" w14:textId="77777777" w:rsidR="00E24BAF" w:rsidRPr="00AD0743" w:rsidRDefault="00E24BAF" w:rsidP="00B16199">
            <w:pPr>
              <w:keepNext/>
              <w:keepLines/>
              <w:rPr>
                <w:rFonts w:eastAsia="SimSun" w:cs="Times New Roman"/>
                <w:sz w:val="20"/>
                <w:szCs w:val="20"/>
              </w:rPr>
            </w:pPr>
            <w:r>
              <w:rPr>
                <w:rFonts w:eastAsia="SimSun" w:cs="Times New Roman"/>
                <w:sz w:val="20"/>
                <w:szCs w:val="20"/>
              </w:rPr>
              <w:t>Symptoms</w:t>
            </w:r>
            <w:r w:rsidR="00384A34">
              <w:rPr>
                <w:rFonts w:eastAsia="SimSun" w:cs="Times New Roman"/>
                <w:sz w:val="20"/>
                <w:szCs w:val="20"/>
              </w:rPr>
              <w:t xml:space="preserve"> clusters</w:t>
            </w:r>
          </w:p>
        </w:tc>
        <w:tc>
          <w:tcPr>
            <w:tcW w:w="0" w:type="auto"/>
            <w:tcBorders>
              <w:top w:val="nil"/>
              <w:left w:val="nil"/>
              <w:bottom w:val="nil"/>
              <w:tl2br w:val="nil"/>
            </w:tcBorders>
          </w:tcPr>
          <w:p w14:paraId="5AB42707" w14:textId="77777777" w:rsidR="00E24BAF" w:rsidRDefault="00E24BAF" w:rsidP="00B16199">
            <w:pPr>
              <w:keepNext/>
              <w:keepLines/>
              <w:rPr>
                <w:rFonts w:eastAsia="SimSun" w:cs="Times New Roman"/>
                <w:sz w:val="20"/>
                <w:szCs w:val="20"/>
              </w:rPr>
            </w:pPr>
          </w:p>
        </w:tc>
      </w:tr>
      <w:tr w:rsidR="00E24BAF" w14:paraId="4021BD50" w14:textId="77777777" w:rsidTr="00714CCC">
        <w:trPr>
          <w:jc w:val="center"/>
        </w:trPr>
        <w:tc>
          <w:tcPr>
            <w:tcW w:w="0" w:type="auto"/>
            <w:vMerge w:val="restart"/>
            <w:tcBorders>
              <w:top w:val="nil"/>
              <w:right w:val="nil"/>
              <w:tl2br w:val="nil"/>
            </w:tcBorders>
            <w:textDirection w:val="btLr"/>
          </w:tcPr>
          <w:p w14:paraId="5041D182" w14:textId="77777777" w:rsidR="00E24BAF" w:rsidRPr="00ED2808" w:rsidRDefault="00E24BAF" w:rsidP="00B16199">
            <w:pPr>
              <w:keepNext/>
              <w:keepLines/>
              <w:ind w:left="113" w:right="113"/>
              <w:rPr>
                <w:rFonts w:cs="Times New Roman"/>
                <w:sz w:val="20"/>
                <w:szCs w:val="20"/>
              </w:rPr>
            </w:pPr>
            <w:r>
              <w:rPr>
                <w:rFonts w:cs="Times New Roman"/>
                <w:sz w:val="20"/>
                <w:szCs w:val="20"/>
              </w:rPr>
              <w:t>Domains</w:t>
            </w:r>
            <w:r w:rsidR="00384A34">
              <w:rPr>
                <w:rFonts w:cs="Times New Roman"/>
                <w:sz w:val="20"/>
                <w:szCs w:val="20"/>
              </w:rPr>
              <w:t xml:space="preserve"> clusters</w:t>
            </w:r>
          </w:p>
        </w:tc>
        <w:tc>
          <w:tcPr>
            <w:tcW w:w="0" w:type="auto"/>
            <w:tcBorders>
              <w:top w:val="nil"/>
              <w:left w:val="nil"/>
              <w:bottom w:val="nil"/>
              <w:right w:val="nil"/>
              <w:tl2br w:val="single" w:sz="4" w:space="0" w:color="000000"/>
            </w:tcBorders>
          </w:tcPr>
          <w:p w14:paraId="080F358E" w14:textId="77777777" w:rsidR="00E24BAF" w:rsidRPr="00ED2808" w:rsidRDefault="00E24BAF" w:rsidP="00B16199">
            <w:pPr>
              <w:keepNext/>
              <w:keepLines/>
              <w:rPr>
                <w:rFonts w:cs="Times New Roman"/>
                <w:sz w:val="20"/>
                <w:szCs w:val="20"/>
              </w:rPr>
            </w:pPr>
          </w:p>
        </w:tc>
        <w:tc>
          <w:tcPr>
            <w:tcW w:w="0" w:type="auto"/>
            <w:tcBorders>
              <w:top w:val="nil"/>
              <w:left w:val="nil"/>
              <w:bottom w:val="single" w:sz="4" w:space="0" w:color="000000"/>
              <w:right w:val="nil"/>
            </w:tcBorders>
            <w:vAlign w:val="bottom"/>
          </w:tcPr>
          <w:p w14:paraId="4A864D72" w14:textId="77777777" w:rsidR="00E24BAF" w:rsidRPr="00ED2808" w:rsidRDefault="00714CCC" w:rsidP="00B16199">
            <w:pPr>
              <w:keepNext/>
              <w:keepLines/>
              <w:rPr>
                <w:rFonts w:cs="Times New Roman"/>
                <w:sz w:val="20"/>
                <w:szCs w:val="20"/>
              </w:rPr>
            </w:pPr>
            <w:r>
              <w:rPr>
                <w:rFonts w:cs="Times New Roman"/>
                <w:sz w:val="20"/>
                <w:szCs w:val="20"/>
              </w:rPr>
              <w:t>S1</w:t>
            </w:r>
          </w:p>
        </w:tc>
        <w:tc>
          <w:tcPr>
            <w:tcW w:w="0" w:type="auto"/>
            <w:tcBorders>
              <w:top w:val="nil"/>
              <w:left w:val="nil"/>
              <w:bottom w:val="single" w:sz="4" w:space="0" w:color="000000"/>
              <w:right w:val="nil"/>
            </w:tcBorders>
            <w:vAlign w:val="bottom"/>
          </w:tcPr>
          <w:p w14:paraId="1D55E57C" w14:textId="77777777" w:rsidR="00E24BAF" w:rsidRPr="00ED2808" w:rsidRDefault="00714CCC" w:rsidP="00B16199">
            <w:pPr>
              <w:keepNext/>
              <w:keepLines/>
              <w:rPr>
                <w:rFonts w:cs="Times New Roman"/>
                <w:sz w:val="20"/>
                <w:szCs w:val="20"/>
              </w:rPr>
            </w:pPr>
            <w:r>
              <w:rPr>
                <w:rFonts w:cs="Times New Roman"/>
                <w:sz w:val="20"/>
                <w:szCs w:val="20"/>
              </w:rPr>
              <w:t>S2</w:t>
            </w:r>
          </w:p>
        </w:tc>
        <w:tc>
          <w:tcPr>
            <w:tcW w:w="0" w:type="auto"/>
            <w:tcBorders>
              <w:top w:val="nil"/>
              <w:left w:val="nil"/>
              <w:bottom w:val="single" w:sz="4" w:space="0" w:color="000000"/>
              <w:right w:val="nil"/>
            </w:tcBorders>
            <w:vAlign w:val="bottom"/>
          </w:tcPr>
          <w:p w14:paraId="03517C13" w14:textId="77777777" w:rsidR="00E24BAF" w:rsidRPr="00ED2808" w:rsidRDefault="00714CCC" w:rsidP="00B16199">
            <w:pPr>
              <w:keepNext/>
              <w:keepLines/>
              <w:rPr>
                <w:rFonts w:cs="Times New Roman"/>
                <w:sz w:val="20"/>
                <w:szCs w:val="20"/>
              </w:rPr>
            </w:pPr>
            <w:r>
              <w:rPr>
                <w:rFonts w:cs="Times New Roman"/>
                <w:sz w:val="20"/>
                <w:szCs w:val="20"/>
              </w:rPr>
              <w:t>S3</w:t>
            </w:r>
          </w:p>
        </w:tc>
        <w:tc>
          <w:tcPr>
            <w:tcW w:w="428" w:type="dxa"/>
            <w:tcBorders>
              <w:top w:val="nil"/>
              <w:left w:val="nil"/>
              <w:bottom w:val="single" w:sz="4" w:space="0" w:color="000000"/>
              <w:right w:val="nil"/>
            </w:tcBorders>
            <w:vAlign w:val="bottom"/>
          </w:tcPr>
          <w:p w14:paraId="681196F4" w14:textId="77777777" w:rsidR="00E24BAF" w:rsidRPr="00ED2808" w:rsidRDefault="00714CCC" w:rsidP="00B16199">
            <w:pPr>
              <w:keepNext/>
              <w:keepLines/>
              <w:rPr>
                <w:rFonts w:cs="Times New Roman"/>
                <w:sz w:val="20"/>
                <w:szCs w:val="20"/>
              </w:rPr>
            </w:pPr>
            <w:r>
              <w:rPr>
                <w:rFonts w:cs="Times New Roman"/>
                <w:sz w:val="20"/>
                <w:szCs w:val="20"/>
              </w:rPr>
              <w:t>S4</w:t>
            </w:r>
          </w:p>
        </w:tc>
        <w:tc>
          <w:tcPr>
            <w:tcW w:w="416" w:type="dxa"/>
            <w:tcBorders>
              <w:top w:val="nil"/>
              <w:left w:val="nil"/>
              <w:bottom w:val="single" w:sz="4" w:space="0" w:color="000000"/>
              <w:right w:val="nil"/>
            </w:tcBorders>
            <w:vAlign w:val="bottom"/>
          </w:tcPr>
          <w:p w14:paraId="05D8F560" w14:textId="77777777" w:rsidR="00E24BAF" w:rsidRPr="00ED2808" w:rsidRDefault="00714CCC" w:rsidP="00B16199">
            <w:pPr>
              <w:keepNext/>
              <w:keepLines/>
              <w:rPr>
                <w:rFonts w:cs="Times New Roman"/>
                <w:sz w:val="20"/>
                <w:szCs w:val="20"/>
              </w:rPr>
            </w:pPr>
            <w:r>
              <w:rPr>
                <w:rFonts w:cs="Times New Roman"/>
                <w:sz w:val="20"/>
                <w:szCs w:val="20"/>
              </w:rPr>
              <w:t>S5</w:t>
            </w:r>
          </w:p>
        </w:tc>
        <w:tc>
          <w:tcPr>
            <w:tcW w:w="0" w:type="auto"/>
            <w:tcBorders>
              <w:top w:val="nil"/>
              <w:left w:val="nil"/>
              <w:bottom w:val="single" w:sz="4" w:space="0" w:color="000000"/>
              <w:right w:val="nil"/>
            </w:tcBorders>
            <w:vAlign w:val="bottom"/>
          </w:tcPr>
          <w:p w14:paraId="6F4A091D" w14:textId="77777777" w:rsidR="00E24BAF" w:rsidRPr="00ED2808" w:rsidRDefault="00714CCC" w:rsidP="00B16199">
            <w:pPr>
              <w:keepNext/>
              <w:keepLines/>
              <w:rPr>
                <w:rFonts w:cs="Times New Roman"/>
                <w:sz w:val="20"/>
                <w:szCs w:val="20"/>
              </w:rPr>
            </w:pPr>
            <w:r>
              <w:rPr>
                <w:rFonts w:cs="Times New Roman"/>
                <w:sz w:val="20"/>
                <w:szCs w:val="20"/>
              </w:rPr>
              <w:t>S6</w:t>
            </w:r>
          </w:p>
        </w:tc>
        <w:tc>
          <w:tcPr>
            <w:tcW w:w="0" w:type="auto"/>
            <w:tcBorders>
              <w:top w:val="nil"/>
              <w:left w:val="nil"/>
              <w:bottom w:val="nil"/>
            </w:tcBorders>
          </w:tcPr>
          <w:p w14:paraId="064C81F1" w14:textId="77777777" w:rsidR="00E24BAF" w:rsidRPr="00E24BAF" w:rsidRDefault="00E24BAF" w:rsidP="00B16199">
            <w:pPr>
              <w:keepNext/>
              <w:keepLines/>
              <w:rPr>
                <w:rFonts w:eastAsia="SimSun" w:cs="Times New Roman"/>
                <w:sz w:val="20"/>
                <w:szCs w:val="20"/>
              </w:rPr>
            </w:pPr>
            <w:r w:rsidRPr="00E24BAF">
              <w:rPr>
                <w:rFonts w:eastAsia="SimSun" w:cs="Times New Roman"/>
                <w:sz w:val="20"/>
                <w:szCs w:val="20"/>
              </w:rPr>
              <w:t>Total</w:t>
            </w:r>
          </w:p>
        </w:tc>
      </w:tr>
      <w:tr w:rsidR="00E24BAF" w14:paraId="34BA1DE8" w14:textId="77777777" w:rsidTr="00714CCC">
        <w:trPr>
          <w:jc w:val="center"/>
        </w:trPr>
        <w:tc>
          <w:tcPr>
            <w:tcW w:w="0" w:type="auto"/>
            <w:vMerge/>
            <w:tcBorders>
              <w:right w:val="nil"/>
            </w:tcBorders>
          </w:tcPr>
          <w:p w14:paraId="696879D5" w14:textId="77777777" w:rsidR="00E24BAF" w:rsidRPr="00E35436" w:rsidRDefault="00E24BAF" w:rsidP="00B16199">
            <w:pPr>
              <w:keepNext/>
              <w:keepLines/>
              <w:rPr>
                <w:rFonts w:eastAsia="SimSun" w:cs="Times New Roman"/>
                <w:sz w:val="20"/>
                <w:szCs w:val="20"/>
              </w:rPr>
            </w:pPr>
          </w:p>
        </w:tc>
        <w:tc>
          <w:tcPr>
            <w:tcW w:w="0" w:type="auto"/>
            <w:tcBorders>
              <w:top w:val="nil"/>
              <w:left w:val="nil"/>
              <w:bottom w:val="nil"/>
            </w:tcBorders>
            <w:vAlign w:val="center"/>
          </w:tcPr>
          <w:p w14:paraId="6816BD10" w14:textId="77777777" w:rsidR="00E24BAF" w:rsidRPr="00ED2808" w:rsidRDefault="00714CCC" w:rsidP="00B16199">
            <w:pPr>
              <w:keepNext/>
              <w:keepLines/>
              <w:rPr>
                <w:rFonts w:cs="Times New Roman"/>
                <w:sz w:val="20"/>
                <w:szCs w:val="20"/>
              </w:rPr>
            </w:pPr>
            <w:r>
              <w:rPr>
                <w:rFonts w:eastAsia="SimSun" w:cs="Times New Roman"/>
                <w:sz w:val="20"/>
                <w:szCs w:val="20"/>
              </w:rPr>
              <w:t>D1</w:t>
            </w:r>
          </w:p>
        </w:tc>
        <w:tc>
          <w:tcPr>
            <w:tcW w:w="0" w:type="auto"/>
            <w:tcBorders>
              <w:top w:val="single" w:sz="4" w:space="0" w:color="000000"/>
              <w:bottom w:val="single" w:sz="4" w:space="0" w:color="000000"/>
            </w:tcBorders>
          </w:tcPr>
          <w:p w14:paraId="4B60031A" w14:textId="77777777" w:rsidR="00E24BAF" w:rsidRPr="00ED2808" w:rsidRDefault="00E24BAF" w:rsidP="00B16199">
            <w:pPr>
              <w:keepNext/>
              <w:keepLines/>
              <w:rPr>
                <w:rFonts w:cs="Times New Roman"/>
                <w:sz w:val="20"/>
                <w:szCs w:val="20"/>
              </w:rPr>
            </w:pPr>
            <w:r w:rsidRPr="00ED2808">
              <w:rPr>
                <w:rFonts w:cs="Times New Roman"/>
                <w:sz w:val="20"/>
                <w:szCs w:val="20"/>
              </w:rPr>
              <w:t>335</w:t>
            </w:r>
          </w:p>
        </w:tc>
        <w:tc>
          <w:tcPr>
            <w:tcW w:w="0" w:type="auto"/>
            <w:tcBorders>
              <w:top w:val="single" w:sz="4" w:space="0" w:color="000000"/>
              <w:bottom w:val="single" w:sz="4" w:space="0" w:color="000000"/>
            </w:tcBorders>
          </w:tcPr>
          <w:p w14:paraId="3D63D2B0" w14:textId="77777777" w:rsidR="00E24BAF" w:rsidRPr="00ED2808" w:rsidRDefault="00E24BAF" w:rsidP="00B16199">
            <w:pPr>
              <w:keepNext/>
              <w:keepLines/>
              <w:rPr>
                <w:rFonts w:cs="Times New Roman"/>
                <w:sz w:val="20"/>
                <w:szCs w:val="20"/>
              </w:rPr>
            </w:pPr>
            <w:r w:rsidRPr="00ED2808">
              <w:rPr>
                <w:rFonts w:cs="Times New Roman"/>
                <w:sz w:val="20"/>
                <w:szCs w:val="20"/>
              </w:rPr>
              <w:t>64</w:t>
            </w:r>
          </w:p>
        </w:tc>
        <w:tc>
          <w:tcPr>
            <w:tcW w:w="0" w:type="auto"/>
            <w:tcBorders>
              <w:top w:val="single" w:sz="4" w:space="0" w:color="000000"/>
              <w:bottom w:val="single" w:sz="4" w:space="0" w:color="000000"/>
            </w:tcBorders>
          </w:tcPr>
          <w:p w14:paraId="39968666" w14:textId="77777777" w:rsidR="00E24BAF" w:rsidRPr="00ED2808" w:rsidRDefault="00E24BAF" w:rsidP="00B16199">
            <w:pPr>
              <w:keepNext/>
              <w:keepLines/>
              <w:rPr>
                <w:rFonts w:cs="Times New Roman"/>
                <w:sz w:val="20"/>
                <w:szCs w:val="20"/>
              </w:rPr>
            </w:pPr>
            <w:r w:rsidRPr="00ED2808">
              <w:rPr>
                <w:rFonts w:cs="Times New Roman"/>
                <w:sz w:val="20"/>
                <w:szCs w:val="20"/>
              </w:rPr>
              <w:t>26</w:t>
            </w:r>
          </w:p>
        </w:tc>
        <w:tc>
          <w:tcPr>
            <w:tcW w:w="428" w:type="dxa"/>
            <w:tcBorders>
              <w:top w:val="single" w:sz="4" w:space="0" w:color="000000"/>
              <w:bottom w:val="single" w:sz="4" w:space="0" w:color="000000"/>
            </w:tcBorders>
          </w:tcPr>
          <w:p w14:paraId="5EAED670" w14:textId="77777777" w:rsidR="00E24BAF" w:rsidRPr="00ED2808" w:rsidRDefault="00E24BAF" w:rsidP="00B16199">
            <w:pPr>
              <w:keepNext/>
              <w:keepLines/>
              <w:rPr>
                <w:rFonts w:cs="Times New Roman"/>
                <w:sz w:val="20"/>
                <w:szCs w:val="20"/>
              </w:rPr>
            </w:pPr>
            <w:r w:rsidRPr="00ED2808">
              <w:rPr>
                <w:rFonts w:cs="Times New Roman"/>
                <w:sz w:val="20"/>
                <w:szCs w:val="20"/>
              </w:rPr>
              <w:t>3</w:t>
            </w:r>
          </w:p>
        </w:tc>
        <w:tc>
          <w:tcPr>
            <w:tcW w:w="416" w:type="dxa"/>
            <w:tcBorders>
              <w:top w:val="single" w:sz="4" w:space="0" w:color="000000"/>
              <w:bottom w:val="single" w:sz="4" w:space="0" w:color="000000"/>
            </w:tcBorders>
          </w:tcPr>
          <w:p w14:paraId="7465694A"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71853D95"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1F986728" w14:textId="77777777" w:rsidR="00E24BAF" w:rsidRPr="00E24BAF" w:rsidRDefault="00E24BAF" w:rsidP="00B16199">
            <w:pPr>
              <w:keepNext/>
              <w:keepLines/>
              <w:rPr>
                <w:rFonts w:cs="Times New Roman"/>
                <w:sz w:val="20"/>
                <w:szCs w:val="20"/>
              </w:rPr>
            </w:pPr>
            <w:r w:rsidRPr="00E24BAF">
              <w:rPr>
                <w:rFonts w:cs="Times New Roman"/>
                <w:sz w:val="20"/>
                <w:szCs w:val="20"/>
              </w:rPr>
              <w:t>428</w:t>
            </w:r>
          </w:p>
        </w:tc>
      </w:tr>
      <w:tr w:rsidR="00E24BAF" w14:paraId="615F8FEE" w14:textId="77777777" w:rsidTr="00714CCC">
        <w:trPr>
          <w:jc w:val="center"/>
        </w:trPr>
        <w:tc>
          <w:tcPr>
            <w:tcW w:w="0" w:type="auto"/>
            <w:vMerge/>
            <w:tcBorders>
              <w:right w:val="nil"/>
            </w:tcBorders>
          </w:tcPr>
          <w:p w14:paraId="631A25D8" w14:textId="77777777" w:rsidR="00E24BAF" w:rsidRPr="00E35436" w:rsidRDefault="00E24BAF" w:rsidP="00B16199">
            <w:pPr>
              <w:keepNext/>
              <w:keepLines/>
              <w:rPr>
                <w:rFonts w:eastAsia="SimSun" w:cs="Times New Roman"/>
                <w:sz w:val="20"/>
                <w:szCs w:val="20"/>
              </w:rPr>
            </w:pPr>
          </w:p>
        </w:tc>
        <w:tc>
          <w:tcPr>
            <w:tcW w:w="0" w:type="auto"/>
            <w:tcBorders>
              <w:top w:val="nil"/>
              <w:left w:val="nil"/>
              <w:bottom w:val="nil"/>
            </w:tcBorders>
            <w:vAlign w:val="center"/>
          </w:tcPr>
          <w:p w14:paraId="7D2AC421" w14:textId="77777777" w:rsidR="00E24BAF" w:rsidRPr="00714CCC" w:rsidRDefault="00714CCC" w:rsidP="00B16199">
            <w:pPr>
              <w:keepNext/>
              <w:keepLines/>
              <w:rPr>
                <w:rFonts w:cs="Times New Roman"/>
                <w:sz w:val="20"/>
                <w:szCs w:val="20"/>
              </w:rPr>
            </w:pPr>
            <m:oMathPara>
              <m:oMath>
                <m:r>
                  <m:rPr>
                    <m:sty m:val="p"/>
                  </m:rPr>
                  <w:rPr>
                    <w:rFonts w:ascii="Cambria Math" w:hAnsi="Cambria Math" w:cs="Times New Roman"/>
                    <w:sz w:val="20"/>
                    <w:szCs w:val="20"/>
                  </w:rPr>
                  <m:t>D2</m:t>
                </m:r>
              </m:oMath>
            </m:oMathPara>
          </w:p>
        </w:tc>
        <w:tc>
          <w:tcPr>
            <w:tcW w:w="0" w:type="auto"/>
            <w:tcBorders>
              <w:top w:val="single" w:sz="4" w:space="0" w:color="000000"/>
              <w:bottom w:val="single" w:sz="4" w:space="0" w:color="000000"/>
            </w:tcBorders>
          </w:tcPr>
          <w:p w14:paraId="6CB31F12"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2EBBE3C3" w14:textId="77777777" w:rsidR="00E24BAF" w:rsidRPr="00ED2808" w:rsidRDefault="00E24BAF" w:rsidP="00B16199">
            <w:pPr>
              <w:keepNext/>
              <w:keepLines/>
              <w:rPr>
                <w:rFonts w:cs="Times New Roman"/>
                <w:sz w:val="20"/>
                <w:szCs w:val="20"/>
              </w:rPr>
            </w:pPr>
            <w:r w:rsidRPr="00ED2808">
              <w:rPr>
                <w:rFonts w:cs="Times New Roman"/>
                <w:sz w:val="20"/>
                <w:szCs w:val="20"/>
              </w:rPr>
              <w:t>54</w:t>
            </w:r>
          </w:p>
        </w:tc>
        <w:tc>
          <w:tcPr>
            <w:tcW w:w="0" w:type="auto"/>
            <w:tcBorders>
              <w:top w:val="single" w:sz="4" w:space="0" w:color="000000"/>
              <w:bottom w:val="single" w:sz="4" w:space="0" w:color="000000"/>
            </w:tcBorders>
          </w:tcPr>
          <w:p w14:paraId="791D6ACE" w14:textId="77777777" w:rsidR="00E24BAF" w:rsidRPr="00ED2808" w:rsidRDefault="00E24BAF" w:rsidP="00B16199">
            <w:pPr>
              <w:keepNext/>
              <w:keepLines/>
              <w:rPr>
                <w:rFonts w:cs="Times New Roman"/>
                <w:sz w:val="20"/>
                <w:szCs w:val="20"/>
              </w:rPr>
            </w:pPr>
            <w:r w:rsidRPr="00ED2808">
              <w:rPr>
                <w:rFonts w:cs="Times New Roman"/>
                <w:sz w:val="20"/>
                <w:szCs w:val="20"/>
              </w:rPr>
              <w:t>46</w:t>
            </w:r>
          </w:p>
        </w:tc>
        <w:tc>
          <w:tcPr>
            <w:tcW w:w="428" w:type="dxa"/>
            <w:tcBorders>
              <w:top w:val="single" w:sz="4" w:space="0" w:color="000000"/>
              <w:bottom w:val="single" w:sz="4" w:space="0" w:color="000000"/>
            </w:tcBorders>
          </w:tcPr>
          <w:p w14:paraId="78975F29" w14:textId="77777777" w:rsidR="00E24BAF" w:rsidRPr="00ED2808" w:rsidRDefault="00E24BAF" w:rsidP="00B16199">
            <w:pPr>
              <w:keepNext/>
              <w:keepLines/>
              <w:rPr>
                <w:rFonts w:cs="Times New Roman"/>
                <w:sz w:val="20"/>
                <w:szCs w:val="20"/>
              </w:rPr>
            </w:pPr>
            <w:r w:rsidRPr="00ED2808">
              <w:rPr>
                <w:rFonts w:cs="Times New Roman"/>
                <w:sz w:val="20"/>
                <w:szCs w:val="20"/>
              </w:rPr>
              <w:t>49</w:t>
            </w:r>
          </w:p>
        </w:tc>
        <w:tc>
          <w:tcPr>
            <w:tcW w:w="416" w:type="dxa"/>
            <w:tcBorders>
              <w:top w:val="single" w:sz="4" w:space="0" w:color="000000"/>
              <w:bottom w:val="single" w:sz="4" w:space="0" w:color="000000"/>
            </w:tcBorders>
          </w:tcPr>
          <w:p w14:paraId="622AB1B0" w14:textId="77777777" w:rsidR="00E24BAF" w:rsidRPr="00ED2808" w:rsidRDefault="00E24BAF" w:rsidP="00B16199">
            <w:pPr>
              <w:keepNext/>
              <w:keepLines/>
              <w:rPr>
                <w:rFonts w:cs="Times New Roman"/>
                <w:sz w:val="20"/>
                <w:szCs w:val="20"/>
              </w:rPr>
            </w:pPr>
            <w:r w:rsidRPr="00ED2808">
              <w:rPr>
                <w:rFonts w:cs="Times New Roman"/>
                <w:sz w:val="20"/>
                <w:szCs w:val="20"/>
              </w:rPr>
              <w:t>31</w:t>
            </w:r>
          </w:p>
        </w:tc>
        <w:tc>
          <w:tcPr>
            <w:tcW w:w="0" w:type="auto"/>
            <w:tcBorders>
              <w:top w:val="single" w:sz="4" w:space="0" w:color="000000"/>
              <w:bottom w:val="single" w:sz="4" w:space="0" w:color="000000"/>
              <w:right w:val="single" w:sz="4" w:space="0" w:color="000000"/>
            </w:tcBorders>
          </w:tcPr>
          <w:p w14:paraId="1AEF8847"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724BCF60" w14:textId="77777777" w:rsidR="00E24BAF" w:rsidRPr="00E24BAF" w:rsidRDefault="00E24BAF" w:rsidP="00B16199">
            <w:pPr>
              <w:keepNext/>
              <w:keepLines/>
              <w:rPr>
                <w:rFonts w:cs="Times New Roman"/>
                <w:sz w:val="20"/>
                <w:szCs w:val="20"/>
              </w:rPr>
            </w:pPr>
            <w:r w:rsidRPr="00E24BAF">
              <w:rPr>
                <w:rFonts w:cs="Times New Roman"/>
                <w:sz w:val="20"/>
                <w:szCs w:val="20"/>
              </w:rPr>
              <w:t>180</w:t>
            </w:r>
          </w:p>
        </w:tc>
      </w:tr>
      <w:tr w:rsidR="00E24BAF" w14:paraId="1662A4E7" w14:textId="77777777" w:rsidTr="00714CCC">
        <w:trPr>
          <w:jc w:val="center"/>
        </w:trPr>
        <w:tc>
          <w:tcPr>
            <w:tcW w:w="0" w:type="auto"/>
            <w:vMerge/>
            <w:tcBorders>
              <w:right w:val="nil"/>
            </w:tcBorders>
          </w:tcPr>
          <w:p w14:paraId="2A21999E" w14:textId="77777777" w:rsidR="00E24BAF" w:rsidRPr="00E35436" w:rsidRDefault="00E24BAF" w:rsidP="00B16199">
            <w:pPr>
              <w:keepNext/>
              <w:keepLines/>
              <w:rPr>
                <w:rFonts w:eastAsia="SimSun" w:cs="Times New Roman"/>
                <w:sz w:val="20"/>
                <w:szCs w:val="20"/>
              </w:rPr>
            </w:pPr>
          </w:p>
        </w:tc>
        <w:tc>
          <w:tcPr>
            <w:tcW w:w="0" w:type="auto"/>
            <w:tcBorders>
              <w:top w:val="nil"/>
              <w:left w:val="nil"/>
              <w:bottom w:val="nil"/>
            </w:tcBorders>
            <w:vAlign w:val="center"/>
          </w:tcPr>
          <w:p w14:paraId="660F1B69" w14:textId="77777777" w:rsidR="00E24BAF" w:rsidRPr="00714CCC" w:rsidRDefault="00714CCC" w:rsidP="00B16199">
            <w:pPr>
              <w:keepNext/>
              <w:keepLines/>
              <w:rPr>
                <w:rFonts w:cs="Times New Roman"/>
                <w:sz w:val="20"/>
                <w:szCs w:val="20"/>
              </w:rPr>
            </w:pPr>
            <m:oMathPara>
              <m:oMath>
                <m:r>
                  <m:rPr>
                    <m:sty m:val="p"/>
                  </m:rPr>
                  <w:rPr>
                    <w:rFonts w:ascii="Cambria Math" w:hAnsi="Cambria Math" w:cs="Times New Roman"/>
                    <w:sz w:val="20"/>
                    <w:szCs w:val="20"/>
                  </w:rPr>
                  <m:t>D3</m:t>
                </m:r>
              </m:oMath>
            </m:oMathPara>
          </w:p>
        </w:tc>
        <w:tc>
          <w:tcPr>
            <w:tcW w:w="0" w:type="auto"/>
            <w:tcBorders>
              <w:top w:val="single" w:sz="4" w:space="0" w:color="000000"/>
              <w:bottom w:val="single" w:sz="4" w:space="0" w:color="000000"/>
            </w:tcBorders>
          </w:tcPr>
          <w:p w14:paraId="6C9B8341" w14:textId="77777777" w:rsidR="00E24BAF" w:rsidRPr="00ED2808" w:rsidRDefault="00E24BAF" w:rsidP="00B16199">
            <w:pPr>
              <w:keepNext/>
              <w:keepLines/>
              <w:rPr>
                <w:rFonts w:cs="Times New Roman"/>
                <w:sz w:val="20"/>
                <w:szCs w:val="20"/>
              </w:rPr>
            </w:pPr>
            <w:r w:rsidRPr="00ED2808">
              <w:rPr>
                <w:rFonts w:cs="Times New Roman"/>
                <w:sz w:val="20"/>
                <w:szCs w:val="20"/>
              </w:rPr>
              <w:t>121</w:t>
            </w:r>
          </w:p>
        </w:tc>
        <w:tc>
          <w:tcPr>
            <w:tcW w:w="0" w:type="auto"/>
            <w:tcBorders>
              <w:top w:val="single" w:sz="4" w:space="0" w:color="000000"/>
              <w:bottom w:val="single" w:sz="4" w:space="0" w:color="000000"/>
            </w:tcBorders>
          </w:tcPr>
          <w:p w14:paraId="250734F9" w14:textId="77777777" w:rsidR="00E24BAF" w:rsidRPr="00ED2808" w:rsidRDefault="00E24BAF" w:rsidP="00B16199">
            <w:pPr>
              <w:keepNext/>
              <w:keepLines/>
              <w:rPr>
                <w:rFonts w:cs="Times New Roman"/>
                <w:sz w:val="20"/>
                <w:szCs w:val="20"/>
              </w:rPr>
            </w:pPr>
            <w:r w:rsidRPr="00ED2808">
              <w:rPr>
                <w:rFonts w:cs="Times New Roman"/>
                <w:sz w:val="20"/>
                <w:szCs w:val="20"/>
              </w:rPr>
              <w:t>77</w:t>
            </w:r>
          </w:p>
        </w:tc>
        <w:tc>
          <w:tcPr>
            <w:tcW w:w="0" w:type="auto"/>
            <w:tcBorders>
              <w:top w:val="single" w:sz="4" w:space="0" w:color="000000"/>
              <w:bottom w:val="single" w:sz="4" w:space="0" w:color="000000"/>
            </w:tcBorders>
          </w:tcPr>
          <w:p w14:paraId="2087FEB7" w14:textId="77777777" w:rsidR="00E24BAF" w:rsidRPr="00ED2808" w:rsidRDefault="00E24BAF" w:rsidP="00B16199">
            <w:pPr>
              <w:keepNext/>
              <w:keepLines/>
              <w:rPr>
                <w:rFonts w:cs="Times New Roman"/>
                <w:sz w:val="20"/>
                <w:szCs w:val="20"/>
              </w:rPr>
            </w:pPr>
            <w:r w:rsidRPr="00ED2808">
              <w:rPr>
                <w:rFonts w:cs="Times New Roman"/>
                <w:sz w:val="20"/>
                <w:szCs w:val="20"/>
              </w:rPr>
              <w:t>22</w:t>
            </w:r>
          </w:p>
        </w:tc>
        <w:tc>
          <w:tcPr>
            <w:tcW w:w="428" w:type="dxa"/>
            <w:tcBorders>
              <w:top w:val="single" w:sz="4" w:space="0" w:color="000000"/>
              <w:bottom w:val="single" w:sz="4" w:space="0" w:color="000000"/>
            </w:tcBorders>
          </w:tcPr>
          <w:p w14:paraId="1C43662F" w14:textId="77777777" w:rsidR="00E24BAF" w:rsidRPr="00ED2808" w:rsidRDefault="00E24BAF" w:rsidP="00B16199">
            <w:pPr>
              <w:keepNext/>
              <w:keepLines/>
              <w:rPr>
                <w:rFonts w:cs="Times New Roman"/>
                <w:sz w:val="20"/>
                <w:szCs w:val="20"/>
              </w:rPr>
            </w:pPr>
            <w:r w:rsidRPr="00ED2808">
              <w:rPr>
                <w:rFonts w:cs="Times New Roman"/>
                <w:sz w:val="20"/>
                <w:szCs w:val="20"/>
              </w:rPr>
              <w:t>12</w:t>
            </w:r>
          </w:p>
        </w:tc>
        <w:tc>
          <w:tcPr>
            <w:tcW w:w="416" w:type="dxa"/>
            <w:tcBorders>
              <w:top w:val="single" w:sz="4" w:space="0" w:color="000000"/>
              <w:bottom w:val="single" w:sz="4" w:space="0" w:color="000000"/>
            </w:tcBorders>
          </w:tcPr>
          <w:p w14:paraId="60B3D949"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right w:val="single" w:sz="4" w:space="0" w:color="000000"/>
            </w:tcBorders>
          </w:tcPr>
          <w:p w14:paraId="6EA3B8E8"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nil"/>
              <w:left w:val="single" w:sz="4" w:space="0" w:color="000000"/>
              <w:bottom w:val="nil"/>
              <w:right w:val="nil"/>
            </w:tcBorders>
            <w:vAlign w:val="center"/>
          </w:tcPr>
          <w:p w14:paraId="19F991FF" w14:textId="77777777" w:rsidR="00E24BAF" w:rsidRPr="00E24BAF" w:rsidRDefault="00E24BAF" w:rsidP="00B16199">
            <w:pPr>
              <w:keepNext/>
              <w:keepLines/>
              <w:rPr>
                <w:rFonts w:cs="Times New Roman"/>
                <w:sz w:val="20"/>
                <w:szCs w:val="20"/>
              </w:rPr>
            </w:pPr>
            <w:r w:rsidRPr="00E24BAF">
              <w:rPr>
                <w:rFonts w:cs="Times New Roman"/>
                <w:sz w:val="20"/>
                <w:szCs w:val="20"/>
              </w:rPr>
              <w:t>232</w:t>
            </w:r>
          </w:p>
        </w:tc>
      </w:tr>
      <w:tr w:rsidR="00E24BAF" w14:paraId="4EE57499" w14:textId="77777777" w:rsidTr="00714CCC">
        <w:trPr>
          <w:jc w:val="center"/>
        </w:trPr>
        <w:tc>
          <w:tcPr>
            <w:tcW w:w="0" w:type="auto"/>
            <w:vMerge/>
            <w:tcBorders>
              <w:bottom w:val="nil"/>
              <w:right w:val="nil"/>
            </w:tcBorders>
          </w:tcPr>
          <w:p w14:paraId="615CED69" w14:textId="77777777" w:rsidR="00E24BAF" w:rsidRPr="00E35436" w:rsidRDefault="00E24BAF" w:rsidP="00B16199">
            <w:pPr>
              <w:keepNext/>
              <w:keepLines/>
              <w:rPr>
                <w:rFonts w:eastAsia="SimSun" w:cs="Times New Roman"/>
                <w:i/>
                <w:sz w:val="20"/>
                <w:szCs w:val="20"/>
              </w:rPr>
            </w:pPr>
          </w:p>
        </w:tc>
        <w:tc>
          <w:tcPr>
            <w:tcW w:w="0" w:type="auto"/>
            <w:tcBorders>
              <w:top w:val="nil"/>
              <w:left w:val="nil"/>
              <w:bottom w:val="nil"/>
            </w:tcBorders>
            <w:vAlign w:val="center"/>
          </w:tcPr>
          <w:p w14:paraId="450CB787" w14:textId="77777777" w:rsidR="00E24BAF" w:rsidRPr="00714CCC" w:rsidRDefault="00714CCC" w:rsidP="00B16199">
            <w:pPr>
              <w:keepNext/>
              <w:keepLines/>
              <w:rPr>
                <w:rFonts w:cs="Times New Roman"/>
                <w:sz w:val="20"/>
                <w:szCs w:val="20"/>
              </w:rPr>
            </w:pPr>
            <w:r w:rsidRPr="00714CCC">
              <w:rPr>
                <w:rFonts w:eastAsia="SimSun" w:cs="Times New Roman"/>
                <w:sz w:val="20"/>
                <w:szCs w:val="20"/>
              </w:rPr>
              <w:t>D4</w:t>
            </w:r>
          </w:p>
        </w:tc>
        <w:tc>
          <w:tcPr>
            <w:tcW w:w="0" w:type="auto"/>
            <w:tcBorders>
              <w:top w:val="single" w:sz="4" w:space="0" w:color="000000"/>
              <w:bottom w:val="single" w:sz="4" w:space="0" w:color="000000"/>
            </w:tcBorders>
          </w:tcPr>
          <w:p w14:paraId="13E97C7B" w14:textId="77777777" w:rsidR="00E24BAF" w:rsidRPr="00ED2808" w:rsidRDefault="00E24BAF" w:rsidP="00B16199">
            <w:pPr>
              <w:keepNext/>
              <w:keepLines/>
              <w:rPr>
                <w:rFonts w:cs="Times New Roman"/>
                <w:sz w:val="20"/>
                <w:szCs w:val="20"/>
              </w:rPr>
            </w:pPr>
            <w:r w:rsidRPr="00ED2808">
              <w:rPr>
                <w:rFonts w:cs="Times New Roman"/>
                <w:sz w:val="20"/>
                <w:szCs w:val="20"/>
              </w:rPr>
              <w:t>0</w:t>
            </w:r>
          </w:p>
        </w:tc>
        <w:tc>
          <w:tcPr>
            <w:tcW w:w="0" w:type="auto"/>
            <w:tcBorders>
              <w:top w:val="single" w:sz="4" w:space="0" w:color="000000"/>
              <w:bottom w:val="single" w:sz="4" w:space="0" w:color="000000"/>
            </w:tcBorders>
          </w:tcPr>
          <w:p w14:paraId="7F592444" w14:textId="77777777" w:rsidR="00E24BAF" w:rsidRPr="00ED2808" w:rsidRDefault="00E24BAF" w:rsidP="00B16199">
            <w:pPr>
              <w:keepNext/>
              <w:keepLines/>
              <w:rPr>
                <w:rFonts w:cs="Times New Roman"/>
                <w:sz w:val="20"/>
                <w:szCs w:val="20"/>
              </w:rPr>
            </w:pPr>
            <w:r w:rsidRPr="00ED2808">
              <w:rPr>
                <w:rFonts w:cs="Times New Roman"/>
                <w:sz w:val="20"/>
                <w:szCs w:val="20"/>
              </w:rPr>
              <w:t>6</w:t>
            </w:r>
          </w:p>
        </w:tc>
        <w:tc>
          <w:tcPr>
            <w:tcW w:w="0" w:type="auto"/>
            <w:tcBorders>
              <w:top w:val="single" w:sz="4" w:space="0" w:color="000000"/>
              <w:bottom w:val="single" w:sz="4" w:space="0" w:color="000000"/>
            </w:tcBorders>
          </w:tcPr>
          <w:p w14:paraId="19D13DA4" w14:textId="77777777" w:rsidR="00E24BAF" w:rsidRPr="00ED2808" w:rsidRDefault="00E24BAF" w:rsidP="00B16199">
            <w:pPr>
              <w:keepNext/>
              <w:keepLines/>
              <w:rPr>
                <w:rFonts w:cs="Times New Roman"/>
                <w:sz w:val="20"/>
                <w:szCs w:val="20"/>
              </w:rPr>
            </w:pPr>
            <w:r w:rsidRPr="00ED2808">
              <w:rPr>
                <w:rFonts w:cs="Times New Roman"/>
                <w:sz w:val="20"/>
                <w:szCs w:val="20"/>
              </w:rPr>
              <w:t>6</w:t>
            </w:r>
          </w:p>
        </w:tc>
        <w:tc>
          <w:tcPr>
            <w:tcW w:w="428" w:type="dxa"/>
            <w:tcBorders>
              <w:top w:val="single" w:sz="4" w:space="0" w:color="000000"/>
              <w:bottom w:val="single" w:sz="4" w:space="0" w:color="000000"/>
            </w:tcBorders>
          </w:tcPr>
          <w:p w14:paraId="0B3676A7" w14:textId="77777777" w:rsidR="00E24BAF" w:rsidRPr="00ED2808" w:rsidRDefault="00E24BAF" w:rsidP="00B16199">
            <w:pPr>
              <w:keepNext/>
              <w:keepLines/>
              <w:rPr>
                <w:rFonts w:cs="Times New Roman"/>
                <w:sz w:val="20"/>
                <w:szCs w:val="20"/>
              </w:rPr>
            </w:pPr>
            <w:r w:rsidRPr="00ED2808">
              <w:rPr>
                <w:rFonts w:cs="Times New Roman"/>
                <w:sz w:val="20"/>
                <w:szCs w:val="20"/>
              </w:rPr>
              <w:t>9</w:t>
            </w:r>
          </w:p>
        </w:tc>
        <w:tc>
          <w:tcPr>
            <w:tcW w:w="416" w:type="dxa"/>
            <w:tcBorders>
              <w:top w:val="single" w:sz="4" w:space="0" w:color="000000"/>
              <w:bottom w:val="single" w:sz="4" w:space="0" w:color="000000"/>
            </w:tcBorders>
          </w:tcPr>
          <w:p w14:paraId="43728F61" w14:textId="77777777" w:rsidR="00E24BAF" w:rsidRPr="00ED2808" w:rsidRDefault="00E24BAF" w:rsidP="00B16199">
            <w:pPr>
              <w:keepNext/>
              <w:keepLines/>
              <w:rPr>
                <w:rFonts w:cs="Times New Roman"/>
                <w:sz w:val="20"/>
                <w:szCs w:val="20"/>
              </w:rPr>
            </w:pPr>
            <w:r w:rsidRPr="00ED2808">
              <w:rPr>
                <w:rFonts w:cs="Times New Roman"/>
                <w:sz w:val="20"/>
                <w:szCs w:val="20"/>
              </w:rPr>
              <w:t>23</w:t>
            </w:r>
          </w:p>
        </w:tc>
        <w:tc>
          <w:tcPr>
            <w:tcW w:w="0" w:type="auto"/>
            <w:tcBorders>
              <w:top w:val="single" w:sz="4" w:space="0" w:color="000000"/>
              <w:bottom w:val="single" w:sz="4" w:space="0" w:color="000000"/>
              <w:right w:val="single" w:sz="4" w:space="0" w:color="000000"/>
            </w:tcBorders>
          </w:tcPr>
          <w:p w14:paraId="1CF3443F" w14:textId="77777777" w:rsidR="00E24BAF" w:rsidRPr="00ED2808" w:rsidRDefault="00E24BAF" w:rsidP="00B16199">
            <w:pPr>
              <w:keepNext/>
              <w:keepLines/>
              <w:rPr>
                <w:rFonts w:cs="Times New Roman"/>
                <w:sz w:val="20"/>
                <w:szCs w:val="20"/>
              </w:rPr>
            </w:pPr>
            <w:r w:rsidRPr="00ED2808">
              <w:rPr>
                <w:rFonts w:cs="Times New Roman"/>
                <w:sz w:val="20"/>
                <w:szCs w:val="20"/>
              </w:rPr>
              <w:t>20</w:t>
            </w:r>
          </w:p>
        </w:tc>
        <w:tc>
          <w:tcPr>
            <w:tcW w:w="0" w:type="auto"/>
            <w:tcBorders>
              <w:top w:val="nil"/>
              <w:left w:val="single" w:sz="4" w:space="0" w:color="000000"/>
              <w:bottom w:val="nil"/>
              <w:right w:val="nil"/>
            </w:tcBorders>
            <w:vAlign w:val="center"/>
          </w:tcPr>
          <w:p w14:paraId="3B8DEDB8" w14:textId="77777777" w:rsidR="00E24BAF" w:rsidRPr="00E24BAF" w:rsidRDefault="00E24BAF" w:rsidP="00B16199">
            <w:pPr>
              <w:keepNext/>
              <w:keepLines/>
              <w:rPr>
                <w:rFonts w:cs="Times New Roman"/>
                <w:sz w:val="20"/>
                <w:szCs w:val="20"/>
              </w:rPr>
            </w:pPr>
            <w:r w:rsidRPr="00E24BAF">
              <w:rPr>
                <w:rFonts w:cs="Times New Roman"/>
                <w:sz w:val="20"/>
                <w:szCs w:val="20"/>
              </w:rPr>
              <w:t>64</w:t>
            </w:r>
          </w:p>
        </w:tc>
      </w:tr>
      <w:tr w:rsidR="00E24BAF" w14:paraId="0B2C0724" w14:textId="77777777" w:rsidTr="00714CCC">
        <w:trPr>
          <w:trHeight w:val="305"/>
          <w:jc w:val="center"/>
        </w:trPr>
        <w:tc>
          <w:tcPr>
            <w:tcW w:w="0" w:type="auto"/>
            <w:gridSpan w:val="2"/>
            <w:tcBorders>
              <w:top w:val="nil"/>
              <w:bottom w:val="nil"/>
              <w:right w:val="nil"/>
            </w:tcBorders>
          </w:tcPr>
          <w:p w14:paraId="53B6F9BB" w14:textId="77777777" w:rsidR="00E24BAF" w:rsidRPr="00E24BAF" w:rsidRDefault="00E24BAF" w:rsidP="00B16199">
            <w:pPr>
              <w:keepNext/>
              <w:keepLines/>
              <w:rPr>
                <w:rFonts w:eastAsia="SimSun" w:cs="Times New Roman"/>
                <w:sz w:val="20"/>
                <w:szCs w:val="20"/>
              </w:rPr>
            </w:pPr>
            <w:r w:rsidRPr="00E24BAF">
              <w:rPr>
                <w:rFonts w:eastAsia="SimSun" w:cs="Times New Roman"/>
                <w:sz w:val="20"/>
                <w:szCs w:val="20"/>
              </w:rPr>
              <w:t>Total</w:t>
            </w:r>
          </w:p>
        </w:tc>
        <w:tc>
          <w:tcPr>
            <w:tcW w:w="0" w:type="auto"/>
            <w:tcBorders>
              <w:top w:val="single" w:sz="4" w:space="0" w:color="000000"/>
              <w:left w:val="nil"/>
              <w:bottom w:val="nil"/>
              <w:right w:val="nil"/>
            </w:tcBorders>
          </w:tcPr>
          <w:p w14:paraId="2D976735" w14:textId="77777777" w:rsidR="00E24BAF" w:rsidRPr="00ED2808" w:rsidRDefault="00384A34" w:rsidP="00B16199">
            <w:pPr>
              <w:keepNext/>
              <w:keepLines/>
              <w:rPr>
                <w:rFonts w:cs="Times New Roman"/>
                <w:sz w:val="20"/>
                <w:szCs w:val="20"/>
              </w:rPr>
            </w:pPr>
            <w:r>
              <w:rPr>
                <w:rFonts w:cs="Times New Roman"/>
                <w:sz w:val="20"/>
                <w:szCs w:val="20"/>
              </w:rPr>
              <w:t>456</w:t>
            </w:r>
          </w:p>
        </w:tc>
        <w:tc>
          <w:tcPr>
            <w:tcW w:w="0" w:type="auto"/>
            <w:tcBorders>
              <w:top w:val="single" w:sz="4" w:space="0" w:color="000000"/>
              <w:left w:val="nil"/>
              <w:bottom w:val="nil"/>
              <w:right w:val="nil"/>
            </w:tcBorders>
          </w:tcPr>
          <w:p w14:paraId="245F21CA" w14:textId="77777777" w:rsidR="00E24BAF" w:rsidRPr="00ED2808" w:rsidRDefault="00384A34" w:rsidP="00B16199">
            <w:pPr>
              <w:keepNext/>
              <w:keepLines/>
              <w:rPr>
                <w:rFonts w:cs="Times New Roman"/>
                <w:sz w:val="20"/>
                <w:szCs w:val="20"/>
              </w:rPr>
            </w:pPr>
            <w:r>
              <w:rPr>
                <w:rFonts w:cs="Times New Roman"/>
                <w:sz w:val="20"/>
                <w:szCs w:val="20"/>
              </w:rPr>
              <w:t>201</w:t>
            </w:r>
          </w:p>
        </w:tc>
        <w:tc>
          <w:tcPr>
            <w:tcW w:w="0" w:type="auto"/>
            <w:tcBorders>
              <w:top w:val="single" w:sz="4" w:space="0" w:color="000000"/>
              <w:left w:val="nil"/>
              <w:bottom w:val="nil"/>
              <w:right w:val="nil"/>
            </w:tcBorders>
          </w:tcPr>
          <w:p w14:paraId="70A00B6F" w14:textId="77777777" w:rsidR="00E24BAF" w:rsidRPr="00ED2808" w:rsidRDefault="00384A34" w:rsidP="00B16199">
            <w:pPr>
              <w:keepNext/>
              <w:keepLines/>
              <w:rPr>
                <w:rFonts w:cs="Times New Roman"/>
                <w:sz w:val="20"/>
                <w:szCs w:val="20"/>
              </w:rPr>
            </w:pPr>
            <w:r>
              <w:rPr>
                <w:rFonts w:cs="Times New Roman"/>
                <w:sz w:val="20"/>
                <w:szCs w:val="20"/>
              </w:rPr>
              <w:t>100</w:t>
            </w:r>
          </w:p>
        </w:tc>
        <w:tc>
          <w:tcPr>
            <w:tcW w:w="428" w:type="dxa"/>
            <w:tcBorders>
              <w:top w:val="single" w:sz="4" w:space="0" w:color="000000"/>
              <w:left w:val="nil"/>
              <w:bottom w:val="nil"/>
              <w:right w:val="nil"/>
            </w:tcBorders>
          </w:tcPr>
          <w:p w14:paraId="46E3A559" w14:textId="77777777" w:rsidR="00E24BAF" w:rsidRPr="00ED2808" w:rsidRDefault="00384A34" w:rsidP="00B16199">
            <w:pPr>
              <w:keepNext/>
              <w:keepLines/>
              <w:rPr>
                <w:rFonts w:cs="Times New Roman"/>
                <w:sz w:val="20"/>
                <w:szCs w:val="20"/>
              </w:rPr>
            </w:pPr>
            <w:r>
              <w:rPr>
                <w:rFonts w:cs="Times New Roman"/>
                <w:sz w:val="20"/>
                <w:szCs w:val="20"/>
              </w:rPr>
              <w:t>73</w:t>
            </w:r>
          </w:p>
        </w:tc>
        <w:tc>
          <w:tcPr>
            <w:tcW w:w="416" w:type="dxa"/>
            <w:tcBorders>
              <w:top w:val="single" w:sz="4" w:space="0" w:color="000000"/>
              <w:left w:val="nil"/>
              <w:bottom w:val="nil"/>
              <w:right w:val="nil"/>
            </w:tcBorders>
          </w:tcPr>
          <w:p w14:paraId="264B2345" w14:textId="77777777" w:rsidR="00E24BAF" w:rsidRPr="00ED2808" w:rsidRDefault="00384A34" w:rsidP="00B16199">
            <w:pPr>
              <w:keepNext/>
              <w:keepLines/>
              <w:rPr>
                <w:rFonts w:cs="Times New Roman"/>
                <w:sz w:val="20"/>
                <w:szCs w:val="20"/>
              </w:rPr>
            </w:pPr>
            <w:r>
              <w:rPr>
                <w:rFonts w:cs="Times New Roman"/>
                <w:sz w:val="20"/>
                <w:szCs w:val="20"/>
              </w:rPr>
              <w:t>54</w:t>
            </w:r>
          </w:p>
        </w:tc>
        <w:tc>
          <w:tcPr>
            <w:tcW w:w="0" w:type="auto"/>
            <w:tcBorders>
              <w:top w:val="single" w:sz="4" w:space="0" w:color="000000"/>
              <w:left w:val="nil"/>
              <w:bottom w:val="nil"/>
              <w:right w:val="nil"/>
            </w:tcBorders>
          </w:tcPr>
          <w:p w14:paraId="2B94E309" w14:textId="77777777" w:rsidR="00E24BAF" w:rsidRPr="00ED2808" w:rsidRDefault="00384A34" w:rsidP="00B16199">
            <w:pPr>
              <w:keepNext/>
              <w:keepLines/>
              <w:rPr>
                <w:rFonts w:cs="Times New Roman"/>
                <w:sz w:val="20"/>
                <w:szCs w:val="20"/>
              </w:rPr>
            </w:pPr>
            <w:r>
              <w:rPr>
                <w:rFonts w:cs="Times New Roman"/>
                <w:sz w:val="20"/>
                <w:szCs w:val="20"/>
              </w:rPr>
              <w:t>20</w:t>
            </w:r>
          </w:p>
        </w:tc>
        <w:tc>
          <w:tcPr>
            <w:tcW w:w="0" w:type="auto"/>
            <w:tcBorders>
              <w:top w:val="nil"/>
              <w:left w:val="nil"/>
              <w:bottom w:val="nil"/>
              <w:right w:val="nil"/>
            </w:tcBorders>
          </w:tcPr>
          <w:p w14:paraId="09D6A95D" w14:textId="77777777" w:rsidR="00E24BAF" w:rsidRPr="00ED2808" w:rsidRDefault="00E24BAF" w:rsidP="00B16199">
            <w:pPr>
              <w:keepNext/>
              <w:keepLines/>
              <w:rPr>
                <w:rFonts w:cs="Times New Roman"/>
                <w:sz w:val="20"/>
                <w:szCs w:val="20"/>
              </w:rPr>
            </w:pPr>
          </w:p>
        </w:tc>
      </w:tr>
    </w:tbl>
    <w:p w14:paraId="331AA5F4" w14:textId="77777777" w:rsidR="005E661E" w:rsidRPr="005E661E" w:rsidRDefault="005E661E" w:rsidP="00B16199"/>
    <w:p w14:paraId="205D4C1F" w14:textId="01D86758" w:rsidR="00E75106" w:rsidRPr="002129CE" w:rsidRDefault="005B1397" w:rsidP="00B16199">
      <w:pPr>
        <w:rPr>
          <w:b/>
          <w:i/>
          <w:sz w:val="26"/>
          <w:szCs w:val="26"/>
        </w:rPr>
      </w:pPr>
      <w:r>
        <w:rPr>
          <w:b/>
          <w:i/>
          <w:sz w:val="26"/>
          <w:szCs w:val="26"/>
        </w:rPr>
        <w:t>Hierarchical clustering on variables</w:t>
      </w:r>
    </w:p>
    <w:p w14:paraId="363E09DE" w14:textId="62E76375" w:rsidR="003214BE" w:rsidRPr="00A20576" w:rsidRDefault="00C0617B" w:rsidP="00B16199">
      <w:pPr>
        <w:ind w:firstLine="720"/>
        <w:rPr>
          <w:rFonts w:cs="Times New Roman"/>
        </w:rPr>
      </w:pPr>
      <w:r w:rsidRPr="008614C4">
        <w:rPr>
          <w:rFonts w:cs="Times New Roman"/>
        </w:rPr>
        <w:t xml:space="preserve">Hierarchical clustering on the 30 </w:t>
      </w:r>
      <w:r w:rsidR="00571C87">
        <w:rPr>
          <w:rFonts w:cs="Times New Roman"/>
        </w:rPr>
        <w:t>non-motor</w:t>
      </w:r>
      <w:r w:rsidRPr="008614C4">
        <w:rPr>
          <w:rFonts w:cs="Times New Roman"/>
        </w:rPr>
        <w:t xml:space="preserve"> symptoms and the four</w:t>
      </w:r>
      <w:r w:rsidR="009D24A0">
        <w:rPr>
          <w:rFonts w:cs="Times New Roman"/>
        </w:rPr>
        <w:t xml:space="preserve"> </w:t>
      </w:r>
      <w:r w:rsidR="00905741">
        <w:rPr>
          <w:rFonts w:cs="Times New Roman"/>
        </w:rPr>
        <w:t>cardinal motor</w:t>
      </w:r>
      <w:r w:rsidR="009D24A0">
        <w:rPr>
          <w:rFonts w:cs="Times New Roman"/>
        </w:rPr>
        <w:t xml:space="preserve"> </w:t>
      </w:r>
      <w:r w:rsidR="00905741">
        <w:rPr>
          <w:rFonts w:cs="Times New Roman"/>
        </w:rPr>
        <w:t>signs</w:t>
      </w:r>
      <w:r w:rsidRPr="008614C4">
        <w:rPr>
          <w:rFonts w:cs="Times New Roman"/>
        </w:rPr>
        <w:t xml:space="preserve"> produced the dendrogram in </w:t>
      </w:r>
      <w:r w:rsidR="002C325E">
        <w:rPr>
          <w:rFonts w:cs="Times New Roman"/>
        </w:rPr>
        <w:t>Fig.</w:t>
      </w:r>
      <w:r w:rsidR="00A60190">
        <w:rPr>
          <w:rFonts w:cs="Times New Roman"/>
        </w:rPr>
        <w:t xml:space="preserve"> 3</w:t>
      </w:r>
      <w:r w:rsidRPr="008614C4">
        <w:rPr>
          <w:rFonts w:cs="Times New Roman"/>
        </w:rPr>
        <w:t xml:space="preserve">. </w:t>
      </w:r>
      <w:r w:rsidR="00374826">
        <w:rPr>
          <w:rFonts w:cs="Times New Roman"/>
        </w:rPr>
        <w:t>As expected</w:t>
      </w:r>
      <w:r w:rsidRPr="008614C4">
        <w:rPr>
          <w:rFonts w:cs="Times New Roman"/>
        </w:rPr>
        <w:t xml:space="preserve">, symptoms </w:t>
      </w:r>
      <w:r w:rsidR="00374826">
        <w:rPr>
          <w:rFonts w:cs="Times New Roman"/>
        </w:rPr>
        <w:t>belonging to</w:t>
      </w:r>
      <w:r w:rsidRPr="008614C4">
        <w:rPr>
          <w:rFonts w:cs="Times New Roman"/>
        </w:rPr>
        <w:t xml:space="preserve"> the same domain </w:t>
      </w:r>
      <w:r w:rsidR="00374826">
        <w:rPr>
          <w:rFonts w:cs="Times New Roman"/>
        </w:rPr>
        <w:t xml:space="preserve">of the </w:t>
      </w:r>
      <w:r w:rsidR="00A42DE6">
        <w:rPr>
          <w:rFonts w:cs="Times New Roman"/>
        </w:rPr>
        <w:t>NMSS</w:t>
      </w:r>
      <w:r w:rsidR="00A57194">
        <w:rPr>
          <w:rFonts w:cs="Times New Roman"/>
        </w:rPr>
        <w:t xml:space="preserve"> </w:t>
      </w:r>
      <w:r w:rsidRPr="008614C4">
        <w:rPr>
          <w:rFonts w:cs="Times New Roman"/>
        </w:rPr>
        <w:t xml:space="preserve">tended to cluster together, </w:t>
      </w:r>
      <w:r w:rsidR="00DD0951">
        <w:rPr>
          <w:rFonts w:cs="Times New Roman"/>
        </w:rPr>
        <w:t>with some</w:t>
      </w:r>
      <w:r w:rsidR="00A132A4">
        <w:rPr>
          <w:rFonts w:cs="Times New Roman"/>
        </w:rPr>
        <w:t xml:space="preserve"> notable</w:t>
      </w:r>
      <w:r w:rsidR="00DD0951">
        <w:rPr>
          <w:rFonts w:cs="Times New Roman"/>
        </w:rPr>
        <w:t xml:space="preserve"> exceptions. </w:t>
      </w:r>
      <w:r w:rsidR="00C36276" w:rsidRPr="00E75106">
        <w:rPr>
          <w:rFonts w:cs="Times New Roman"/>
        </w:rPr>
        <w:t>Diplopia (domain 4) was grouped away from other perception/hallucination symptoms, instead categorized loosely with domain 8 (sexual</w:t>
      </w:r>
      <w:r w:rsidR="00963FD7" w:rsidRPr="00E75106">
        <w:rPr>
          <w:rFonts w:cs="Times New Roman"/>
        </w:rPr>
        <w:t>).</w:t>
      </w:r>
      <w:r w:rsidR="00963FD7">
        <w:rPr>
          <w:rFonts w:cs="Times New Roman"/>
        </w:rPr>
        <w:t xml:space="preserve"> RLS</w:t>
      </w:r>
      <w:r w:rsidR="00DD0951">
        <w:rPr>
          <w:rFonts w:cs="Times New Roman"/>
        </w:rPr>
        <w:t xml:space="preserve"> (domain 2) was grouped with domain 9</w:t>
      </w:r>
      <w:r w:rsidR="00A132A4">
        <w:rPr>
          <w:rFonts w:cs="Times New Roman"/>
        </w:rPr>
        <w:t xml:space="preserve"> (miscellaneous)</w:t>
      </w:r>
      <w:r w:rsidR="00DD0951">
        <w:rPr>
          <w:rFonts w:cs="Times New Roman"/>
        </w:rPr>
        <w:t xml:space="preserve"> symptoms, albeit at a very high point on th</w:t>
      </w:r>
      <w:r w:rsidR="00A132A4">
        <w:rPr>
          <w:rFonts w:cs="Times New Roman"/>
        </w:rPr>
        <w:t xml:space="preserve">e tree, indicating high </w:t>
      </w:r>
      <w:r w:rsidR="001541C0">
        <w:rPr>
          <w:rFonts w:cs="Times New Roman"/>
        </w:rPr>
        <w:t>dissimilarity</w:t>
      </w:r>
      <w:r w:rsidR="00DD0951">
        <w:rPr>
          <w:rFonts w:cs="Times New Roman"/>
        </w:rPr>
        <w:t>. Similarly, drowsiness (domain 2) was</w:t>
      </w:r>
      <w:r w:rsidR="0091038D">
        <w:rPr>
          <w:rFonts w:cs="Times New Roman"/>
        </w:rPr>
        <w:t xml:space="preserve"> </w:t>
      </w:r>
      <w:r w:rsidR="00DD0951">
        <w:rPr>
          <w:rFonts w:cs="Times New Roman"/>
        </w:rPr>
        <w:t xml:space="preserve">grouped with the attention/memory symptoms of domain 5. </w:t>
      </w:r>
      <w:r w:rsidRPr="008614C4">
        <w:rPr>
          <w:rFonts w:cs="Times New Roman"/>
        </w:rPr>
        <w:t xml:space="preserve">Notably, tremor was the most </w:t>
      </w:r>
      <w:r w:rsidR="001541C0">
        <w:rPr>
          <w:rFonts w:cs="Times New Roman"/>
        </w:rPr>
        <w:t>isolated</w:t>
      </w:r>
      <w:r w:rsidRPr="008614C4">
        <w:rPr>
          <w:rFonts w:cs="Times New Roman"/>
        </w:rPr>
        <w:t xml:space="preserve"> symptom, occupying a single branch at the top of the tree.</w:t>
      </w:r>
    </w:p>
    <w:p w14:paraId="050D63DE" w14:textId="69C932DC" w:rsidR="00C0617B" w:rsidRPr="00E75106" w:rsidRDefault="00905741" w:rsidP="00B16199">
      <w:pPr>
        <w:pStyle w:val="Heading2"/>
        <w:jc w:val="both"/>
        <w:rPr>
          <w:rFonts w:cs="Times New Roman"/>
          <w:i/>
        </w:rPr>
      </w:pPr>
      <w:r w:rsidRPr="00E75106">
        <w:rPr>
          <w:rFonts w:cs="Times New Roman"/>
          <w:i/>
        </w:rPr>
        <w:t>Correlation</w:t>
      </w:r>
      <w:r w:rsidR="00C0617B" w:rsidRPr="00E75106">
        <w:rPr>
          <w:rFonts w:cs="Times New Roman"/>
          <w:i/>
        </w:rPr>
        <w:t xml:space="preserve"> analysis</w:t>
      </w:r>
    </w:p>
    <w:p w14:paraId="6DBCE36F" w14:textId="1452976A" w:rsidR="0049072B" w:rsidRDefault="006A0A45" w:rsidP="00B16199">
      <w:pPr>
        <w:ind w:firstLine="720"/>
        <w:rPr>
          <w:rFonts w:cs="Times New Roman"/>
        </w:rPr>
      </w:pPr>
      <w:r>
        <w:rPr>
          <w:rFonts w:cs="Times New Roman"/>
        </w:rPr>
        <w:t>M</w:t>
      </w:r>
      <w:r w:rsidR="00C0617B" w:rsidRPr="008614C4">
        <w:rPr>
          <w:rFonts w:cs="Times New Roman"/>
        </w:rPr>
        <w:t xml:space="preserve">ost variables had </w:t>
      </w:r>
      <w:r w:rsidR="001541C0">
        <w:rPr>
          <w:rFonts w:cs="Times New Roman"/>
        </w:rPr>
        <w:t>little to no</w:t>
      </w:r>
      <w:r w:rsidR="0091038D">
        <w:rPr>
          <w:rFonts w:cs="Times New Roman"/>
        </w:rPr>
        <w:t xml:space="preserve"> </w:t>
      </w:r>
      <w:r w:rsidR="00157552">
        <w:rPr>
          <w:rFonts w:cs="Times New Roman"/>
        </w:rPr>
        <w:t xml:space="preserve">correlation with </w:t>
      </w:r>
      <w:r w:rsidR="00137374">
        <w:rPr>
          <w:rFonts w:cs="Times New Roman"/>
        </w:rPr>
        <w:t>disease</w:t>
      </w:r>
      <w:r w:rsidR="00157552">
        <w:rPr>
          <w:rFonts w:cs="Times New Roman"/>
        </w:rPr>
        <w:t xml:space="preserve"> dura</w:t>
      </w:r>
      <w:r w:rsidR="00C0617B" w:rsidRPr="008614C4">
        <w:rPr>
          <w:rFonts w:cs="Times New Roman"/>
        </w:rPr>
        <w:t>tion (</w:t>
      </w:r>
      <w:r w:rsidR="00714E53">
        <w:rPr>
          <w:rFonts w:cs="Times New Roman"/>
        </w:rPr>
        <w:t>Supplementary Fig</w:t>
      </w:r>
      <w:r w:rsidR="005E661E">
        <w:rPr>
          <w:rFonts w:cs="Times New Roman"/>
        </w:rPr>
        <w:t xml:space="preserve">. </w:t>
      </w:r>
      <w:r w:rsidR="00714E53">
        <w:rPr>
          <w:rFonts w:cs="Times New Roman"/>
        </w:rPr>
        <w:t>3</w:t>
      </w:r>
      <w:r w:rsidR="00C0617B" w:rsidRPr="008614C4">
        <w:rPr>
          <w:rFonts w:cs="Times New Roman"/>
        </w:rPr>
        <w:t xml:space="preserve">). </w:t>
      </w:r>
      <w:r w:rsidR="00157552">
        <w:rPr>
          <w:rFonts w:cs="Times New Roman"/>
        </w:rPr>
        <w:t>Variables with the highest cor</w:t>
      </w:r>
      <w:r w:rsidR="00C0617B" w:rsidRPr="008614C4">
        <w:rPr>
          <w:rFonts w:cs="Times New Roman"/>
        </w:rPr>
        <w:t>relation</w:t>
      </w:r>
      <w:r>
        <w:rPr>
          <w:rFonts w:cs="Times New Roman"/>
        </w:rPr>
        <w:t>,</w:t>
      </w:r>
      <w:r w:rsidR="00A132A4">
        <w:rPr>
          <w:rFonts w:cs="Times New Roman"/>
        </w:rPr>
        <w:t xml:space="preserve"> near 0.5</w:t>
      </w:r>
      <w:r>
        <w:rPr>
          <w:rFonts w:cs="Times New Roman"/>
        </w:rPr>
        <w:t>,</w:t>
      </w:r>
      <w:r w:rsidR="00C0617B" w:rsidRPr="008614C4">
        <w:rPr>
          <w:rFonts w:cs="Times New Roman"/>
        </w:rPr>
        <w:t xml:space="preserve"> include</w:t>
      </w:r>
      <w:r w:rsidR="00DD0951">
        <w:rPr>
          <w:rFonts w:cs="Times New Roman"/>
        </w:rPr>
        <w:t>d</w:t>
      </w:r>
      <w:r w:rsidR="00C0617B" w:rsidRPr="008614C4">
        <w:rPr>
          <w:rFonts w:cs="Times New Roman"/>
        </w:rPr>
        <w:t xml:space="preserve"> urinary frequency, swallowing, and drooling; domains </w:t>
      </w:r>
      <w:r w:rsidR="00A132A4">
        <w:rPr>
          <w:rFonts w:cs="Times New Roman"/>
        </w:rPr>
        <w:t>9 (</w:t>
      </w:r>
      <w:r w:rsidR="00C0617B" w:rsidRPr="008614C4">
        <w:rPr>
          <w:rFonts w:cs="Times New Roman"/>
        </w:rPr>
        <w:t>miscellaneous</w:t>
      </w:r>
      <w:r w:rsidR="00A132A4">
        <w:rPr>
          <w:rFonts w:cs="Times New Roman"/>
        </w:rPr>
        <w:t>)</w:t>
      </w:r>
      <w:r w:rsidR="00C0617B" w:rsidRPr="008614C4">
        <w:rPr>
          <w:rFonts w:cs="Times New Roman"/>
        </w:rPr>
        <w:t xml:space="preserve">, </w:t>
      </w:r>
      <w:r w:rsidR="00A132A4">
        <w:rPr>
          <w:rFonts w:cs="Times New Roman"/>
        </w:rPr>
        <w:t>7 (</w:t>
      </w:r>
      <w:r w:rsidR="00C0617B" w:rsidRPr="008614C4">
        <w:rPr>
          <w:rFonts w:cs="Times New Roman"/>
        </w:rPr>
        <w:t>urinary</w:t>
      </w:r>
      <w:r w:rsidR="00A132A4">
        <w:rPr>
          <w:rFonts w:cs="Times New Roman"/>
        </w:rPr>
        <w:t>)</w:t>
      </w:r>
      <w:r w:rsidR="00C0617B" w:rsidRPr="008614C4">
        <w:rPr>
          <w:rFonts w:cs="Times New Roman"/>
        </w:rPr>
        <w:t xml:space="preserve">, and </w:t>
      </w:r>
      <w:r w:rsidR="00A132A4">
        <w:rPr>
          <w:rFonts w:cs="Times New Roman"/>
        </w:rPr>
        <w:t>6 (</w:t>
      </w:r>
      <w:r w:rsidR="00C0617B" w:rsidRPr="008614C4">
        <w:rPr>
          <w:rFonts w:cs="Times New Roman"/>
        </w:rPr>
        <w:t>gastrointestinal</w:t>
      </w:r>
      <w:r w:rsidR="00A132A4">
        <w:rPr>
          <w:rFonts w:cs="Times New Roman"/>
        </w:rPr>
        <w:t>)</w:t>
      </w:r>
      <w:r w:rsidR="00C0617B" w:rsidRPr="008614C4">
        <w:rPr>
          <w:rFonts w:cs="Times New Roman"/>
        </w:rPr>
        <w:t>;</w:t>
      </w:r>
      <w:r w:rsidR="00F42EEC">
        <w:rPr>
          <w:rFonts w:cs="Times New Roman"/>
        </w:rPr>
        <w:t xml:space="preserve"> axial and motor complications;</w:t>
      </w:r>
      <w:r w:rsidR="00C0617B" w:rsidRPr="008614C4">
        <w:rPr>
          <w:rFonts w:cs="Times New Roman"/>
        </w:rPr>
        <w:t xml:space="preserve"> and total CISI</w:t>
      </w:r>
      <w:r w:rsidR="00A132A4">
        <w:rPr>
          <w:rFonts w:cs="Times New Roman"/>
        </w:rPr>
        <w:t>-PD</w:t>
      </w:r>
      <w:r w:rsidR="00C0617B" w:rsidRPr="008614C4">
        <w:rPr>
          <w:rFonts w:cs="Times New Roman"/>
        </w:rPr>
        <w:t xml:space="preserve"> score. Scatterplo</w:t>
      </w:r>
      <w:r w:rsidR="00157552">
        <w:rPr>
          <w:rFonts w:cs="Times New Roman"/>
        </w:rPr>
        <w:t>ts for CISI Total, Tremor, Anx</w:t>
      </w:r>
      <w:r w:rsidR="00C0617B" w:rsidRPr="008614C4">
        <w:rPr>
          <w:rFonts w:cs="Times New Roman"/>
        </w:rPr>
        <w:t>iety, and Depression appear in</w:t>
      </w:r>
      <w:r w:rsidR="00714E53">
        <w:rPr>
          <w:rFonts w:cs="Times New Roman"/>
        </w:rPr>
        <w:t xml:space="preserve"> Supplementary</w:t>
      </w:r>
      <w:r w:rsidR="00767E19">
        <w:rPr>
          <w:rFonts w:cs="Times New Roman"/>
        </w:rPr>
        <w:t xml:space="preserve"> </w:t>
      </w:r>
      <w:r w:rsidR="003A007B">
        <w:rPr>
          <w:rFonts w:cs="Times New Roman"/>
        </w:rPr>
        <w:t xml:space="preserve">Fig. </w:t>
      </w:r>
      <w:r w:rsidR="00714E53">
        <w:rPr>
          <w:rFonts w:cs="Times New Roman"/>
        </w:rPr>
        <w:t>4</w:t>
      </w:r>
      <w:r w:rsidR="00C0617B" w:rsidRPr="008614C4">
        <w:rPr>
          <w:rFonts w:cs="Times New Roman"/>
        </w:rPr>
        <w:t>.</w:t>
      </w:r>
    </w:p>
    <w:p w14:paraId="026E047A" w14:textId="77777777" w:rsidR="00C0617B" w:rsidRDefault="00C0617B" w:rsidP="00B16199">
      <w:pPr>
        <w:pStyle w:val="Heading1"/>
        <w:jc w:val="both"/>
        <w:rPr>
          <w:rFonts w:cs="Times New Roman"/>
        </w:rPr>
      </w:pPr>
      <w:r w:rsidRPr="008614C4">
        <w:rPr>
          <w:rFonts w:cs="Times New Roman"/>
        </w:rPr>
        <w:lastRenderedPageBreak/>
        <w:t>Discussion</w:t>
      </w:r>
    </w:p>
    <w:p w14:paraId="51AE6634" w14:textId="068B95CD" w:rsidR="005B7725" w:rsidRDefault="00144F3B" w:rsidP="00B16199">
      <w:pPr>
        <w:ind w:firstLine="720"/>
        <w:rPr>
          <w:rFonts w:cs="Times New Roman"/>
        </w:rPr>
      </w:pPr>
      <w:r>
        <w:t>We believe that this is the</w:t>
      </w:r>
      <w:r w:rsidR="00BF1285">
        <w:t xml:space="preserve"> first</w:t>
      </w:r>
      <w:r>
        <w:t xml:space="preserve"> clust</w:t>
      </w:r>
      <w:r w:rsidR="003D3FCA">
        <w:t xml:space="preserve">er analysis-based study of </w:t>
      </w:r>
      <w:r w:rsidR="00137374">
        <w:t>Parkinson’s disease</w:t>
      </w:r>
      <w:r w:rsidR="003D3FCA">
        <w:t>-</w:t>
      </w:r>
      <w:r>
        <w:t xml:space="preserve">related motor and </w:t>
      </w:r>
      <w:r w:rsidR="003D3FCA">
        <w:t>non-motor symptoms</w:t>
      </w:r>
      <w:r>
        <w:t xml:space="preserve"> from a large</w:t>
      </w:r>
      <w:r w:rsidR="000F2AB4">
        <w:t>,</w:t>
      </w:r>
      <w:r>
        <w:t xml:space="preserve"> international</w:t>
      </w:r>
      <w:r w:rsidR="000F2AB4">
        <w:t>, and</w:t>
      </w:r>
      <w:r>
        <w:t xml:space="preserve"> </w:t>
      </w:r>
      <w:r w:rsidR="000F2AB4">
        <w:t>multi-centre</w:t>
      </w:r>
      <w:r>
        <w:t xml:space="preserve"> co</w:t>
      </w:r>
      <w:r w:rsidR="003D3FCA">
        <w:t>hort. Previous cluster analysis-</w:t>
      </w:r>
      <w:r>
        <w:t xml:space="preserve">based studies have either focused on early/untreated </w:t>
      </w:r>
      <w:r w:rsidR="00137374">
        <w:t>Parkinson’s disease</w:t>
      </w:r>
      <w:r>
        <w:t xml:space="preserve"> (</w:t>
      </w:r>
      <w:r w:rsidR="00516FEF">
        <w:t>Erro</w:t>
      </w:r>
      <w:r w:rsidR="009A18B4">
        <w:t xml:space="preserve"> </w:t>
      </w:r>
      <w:r w:rsidRPr="00DF387C">
        <w:rPr>
          <w:i/>
        </w:rPr>
        <w:t>et al</w:t>
      </w:r>
      <w:r w:rsidR="008733FC">
        <w:t>., 2013</w:t>
      </w:r>
      <w:r>
        <w:t xml:space="preserve">; </w:t>
      </w:r>
      <w:r w:rsidR="00516FEF">
        <w:t xml:space="preserve">Pont-Sunyer </w:t>
      </w:r>
      <w:r w:rsidR="00516FEF" w:rsidRPr="00DF387C">
        <w:rPr>
          <w:i/>
        </w:rPr>
        <w:t>et al</w:t>
      </w:r>
      <w:r w:rsidR="00516FEF">
        <w:t>.</w:t>
      </w:r>
      <w:r w:rsidR="008733FC">
        <w:t>, 2015</w:t>
      </w:r>
      <w:r w:rsidR="001541C0">
        <w:t xml:space="preserve">) or lack detailed assessments based on the severity and frequency of non-motor domains and </w:t>
      </w:r>
      <w:r w:rsidR="001966C5">
        <w:t>symptoms (</w:t>
      </w:r>
      <w:r w:rsidR="008733FC">
        <w:t>v</w:t>
      </w:r>
      <w:r w:rsidR="00516FEF">
        <w:t>an R</w:t>
      </w:r>
      <w:r>
        <w:t>ooden</w:t>
      </w:r>
      <w:r w:rsidR="009A18B4">
        <w:t xml:space="preserve"> </w:t>
      </w:r>
      <w:r w:rsidR="00516FEF" w:rsidRPr="00DF387C">
        <w:rPr>
          <w:i/>
        </w:rPr>
        <w:t>et al</w:t>
      </w:r>
      <w:r w:rsidR="00516FEF">
        <w:t>.</w:t>
      </w:r>
      <w:r w:rsidR="008733FC">
        <w:t>, 2011</w:t>
      </w:r>
      <w:r>
        <w:t>)</w:t>
      </w:r>
      <w:r w:rsidR="00102446">
        <w:t>.</w:t>
      </w:r>
    </w:p>
    <w:p w14:paraId="2A93C757" w14:textId="77777777" w:rsidR="002F4A1A" w:rsidRDefault="009E099E" w:rsidP="00B16199">
      <w:pPr>
        <w:autoSpaceDE w:val="0"/>
        <w:autoSpaceDN w:val="0"/>
        <w:adjustRightInd w:val="0"/>
        <w:ind w:firstLine="720"/>
        <w:rPr>
          <w:rFonts w:cs="Times New Roman"/>
        </w:rPr>
      </w:pPr>
      <w:r w:rsidRPr="00307B4A">
        <w:rPr>
          <w:rFonts w:cs="Times New Roman"/>
        </w:rPr>
        <w:t xml:space="preserve">The </w:t>
      </w:r>
      <w:r w:rsidR="003D3FCA">
        <w:rPr>
          <w:rFonts w:cs="Times New Roman"/>
        </w:rPr>
        <w:t>domains clustering</w:t>
      </w:r>
      <w:r w:rsidRPr="00307B4A">
        <w:rPr>
          <w:rFonts w:cs="Times New Roman"/>
        </w:rPr>
        <w:t xml:space="preserve"> produced 4 clusters (Fig</w:t>
      </w:r>
      <w:r w:rsidR="00323A76">
        <w:rPr>
          <w:rFonts w:cs="Times New Roman"/>
        </w:rPr>
        <w:t>.</w:t>
      </w:r>
      <w:r w:rsidRPr="00307B4A">
        <w:rPr>
          <w:rFonts w:cs="Times New Roman"/>
        </w:rPr>
        <w:t xml:space="preserve"> 1)</w:t>
      </w:r>
      <w:r w:rsidR="00491E7D">
        <w:rPr>
          <w:rFonts w:cs="Times New Roman"/>
        </w:rPr>
        <w:t>.</w:t>
      </w:r>
      <w:r w:rsidR="009A18B4">
        <w:rPr>
          <w:rFonts w:cs="Times New Roman"/>
        </w:rPr>
        <w:t xml:space="preserve"> </w:t>
      </w:r>
      <w:r w:rsidR="003D3FCA">
        <w:rPr>
          <w:rFonts w:cs="Times New Roman"/>
        </w:rPr>
        <w:t xml:space="preserve">Cluster </w:t>
      </w:r>
      <w:r w:rsidR="00491E7D">
        <w:rPr>
          <w:rFonts w:cs="Times New Roman"/>
        </w:rPr>
        <w:t xml:space="preserve">D1 </w:t>
      </w:r>
      <w:r w:rsidR="00C06548">
        <w:rPr>
          <w:rFonts w:cs="Times New Roman"/>
        </w:rPr>
        <w:t>is</w:t>
      </w:r>
      <w:r w:rsidR="003D3FCA">
        <w:rPr>
          <w:rFonts w:cs="Times New Roman"/>
        </w:rPr>
        <w:t xml:space="preserve"> a</w:t>
      </w:r>
      <w:r w:rsidR="00172EEB" w:rsidRPr="00172EEB">
        <w:rPr>
          <w:rFonts w:cs="Times New Roman"/>
        </w:rPr>
        <w:t xml:space="preserve"> mild disease </w:t>
      </w:r>
      <w:r w:rsidR="003D3FCA">
        <w:rPr>
          <w:rFonts w:cs="Times New Roman"/>
        </w:rPr>
        <w:t xml:space="preserve">subtype with reduced disease duration, </w:t>
      </w:r>
      <w:r w:rsidR="00172EEB" w:rsidRPr="00172EEB">
        <w:rPr>
          <w:rFonts w:cs="Times New Roman"/>
        </w:rPr>
        <w:t xml:space="preserve">and is similar to clusters reported by Erro </w:t>
      </w:r>
      <w:r w:rsidR="00C06548" w:rsidRPr="002F5757">
        <w:rPr>
          <w:rFonts w:cs="Times New Roman"/>
          <w:i/>
        </w:rPr>
        <w:t>et al.</w:t>
      </w:r>
      <w:r w:rsidR="00C06548">
        <w:rPr>
          <w:rFonts w:cs="Times New Roman"/>
        </w:rPr>
        <w:t xml:space="preserve"> (</w:t>
      </w:r>
      <w:r w:rsidR="00413B57">
        <w:rPr>
          <w:rFonts w:cs="Times New Roman"/>
        </w:rPr>
        <w:t>2013</w:t>
      </w:r>
      <w:r w:rsidR="00C06548">
        <w:rPr>
          <w:rFonts w:cs="Times New Roman"/>
        </w:rPr>
        <w:t>)</w:t>
      </w:r>
      <w:r w:rsidR="009A18B4">
        <w:rPr>
          <w:rFonts w:cs="Times New Roman"/>
        </w:rPr>
        <w:t xml:space="preserve"> </w:t>
      </w:r>
      <w:r w:rsidR="00172EEB" w:rsidRPr="00172EEB">
        <w:rPr>
          <w:rFonts w:cs="Times New Roman"/>
        </w:rPr>
        <w:t xml:space="preserve">and </w:t>
      </w:r>
      <w:r w:rsidR="009A18B4">
        <w:rPr>
          <w:rFonts w:cs="Times New Roman"/>
        </w:rPr>
        <w:t>v</w:t>
      </w:r>
      <w:r w:rsidR="00172EEB" w:rsidRPr="00172EEB">
        <w:rPr>
          <w:rFonts w:cs="Times New Roman"/>
        </w:rPr>
        <w:t>an Rooden</w:t>
      </w:r>
      <w:r w:rsidR="009A18B4">
        <w:rPr>
          <w:rFonts w:cs="Times New Roman"/>
        </w:rPr>
        <w:t xml:space="preserve"> </w:t>
      </w:r>
      <w:r w:rsidR="00413B57" w:rsidRPr="00DF387C">
        <w:rPr>
          <w:rFonts w:cs="Times New Roman"/>
          <w:i/>
        </w:rPr>
        <w:t>et al</w:t>
      </w:r>
      <w:r w:rsidR="00316D52">
        <w:rPr>
          <w:rFonts w:cs="Times New Roman"/>
        </w:rPr>
        <w:t>. (</w:t>
      </w:r>
      <w:r w:rsidR="00413B57">
        <w:rPr>
          <w:rFonts w:cs="Times New Roman"/>
        </w:rPr>
        <w:t>2011</w:t>
      </w:r>
      <w:r w:rsidR="00316D52">
        <w:rPr>
          <w:rFonts w:cs="Times New Roman"/>
        </w:rPr>
        <w:t>)</w:t>
      </w:r>
      <w:r w:rsidR="001925DF" w:rsidRPr="001925DF">
        <w:rPr>
          <w:rFonts w:cs="Times New Roman"/>
        </w:rPr>
        <w:t>.</w:t>
      </w:r>
      <w:r w:rsidR="009A18B4">
        <w:rPr>
          <w:rFonts w:cs="Times New Roman"/>
        </w:rPr>
        <w:t xml:space="preserve"> </w:t>
      </w:r>
      <w:r w:rsidR="003D3FCA">
        <w:rPr>
          <w:rFonts w:cs="Times New Roman"/>
        </w:rPr>
        <w:t xml:space="preserve">Cluster </w:t>
      </w:r>
      <w:r w:rsidR="00491E7D">
        <w:rPr>
          <w:rFonts w:cs="Times New Roman"/>
        </w:rPr>
        <w:t>D2 corresponds to</w:t>
      </w:r>
      <w:r w:rsidR="00172EEB" w:rsidRPr="00172EEB">
        <w:rPr>
          <w:rFonts w:cs="Times New Roman"/>
        </w:rPr>
        <w:t xml:space="preserve"> the non</w:t>
      </w:r>
      <w:r w:rsidR="00491E7D">
        <w:rPr>
          <w:rFonts w:cs="Times New Roman"/>
        </w:rPr>
        <w:t>-</w:t>
      </w:r>
      <w:r w:rsidR="00172EEB" w:rsidRPr="00172EEB">
        <w:rPr>
          <w:rFonts w:cs="Times New Roman"/>
        </w:rPr>
        <w:t>motor dominant phenotype</w:t>
      </w:r>
      <w:r w:rsidR="009A18B4">
        <w:rPr>
          <w:rFonts w:cs="Times New Roman"/>
        </w:rPr>
        <w:t xml:space="preserve"> </w:t>
      </w:r>
      <w:r w:rsidR="0098056A">
        <w:rPr>
          <w:rFonts w:cs="Times New Roman"/>
        </w:rPr>
        <w:t xml:space="preserve">described </w:t>
      </w:r>
      <w:r w:rsidR="00307B4A">
        <w:rPr>
          <w:rFonts w:cs="Times New Roman"/>
        </w:rPr>
        <w:t xml:space="preserve">in clinical phenotype driven studies (Sauerbier </w:t>
      </w:r>
      <w:r w:rsidR="00307B4A" w:rsidRPr="00DF387C">
        <w:rPr>
          <w:rFonts w:cs="Times New Roman"/>
          <w:i/>
        </w:rPr>
        <w:t>et al</w:t>
      </w:r>
      <w:r w:rsidR="00413B57">
        <w:rPr>
          <w:rFonts w:cs="Times New Roman"/>
        </w:rPr>
        <w:t>.,</w:t>
      </w:r>
      <w:r w:rsidR="00307B4A">
        <w:rPr>
          <w:rFonts w:cs="Times New Roman"/>
        </w:rPr>
        <w:t xml:space="preserve"> 2016)</w:t>
      </w:r>
      <w:r w:rsidR="00307B4A" w:rsidRPr="00307B4A">
        <w:rPr>
          <w:rFonts w:cs="Times New Roman"/>
        </w:rPr>
        <w:t>.</w:t>
      </w:r>
      <w:r w:rsidR="009A18B4">
        <w:rPr>
          <w:rFonts w:cs="Times New Roman"/>
        </w:rPr>
        <w:t xml:space="preserve"> </w:t>
      </w:r>
      <w:r w:rsidR="00316D52">
        <w:rPr>
          <w:rFonts w:cs="Times New Roman"/>
        </w:rPr>
        <w:t xml:space="preserve">Cluster D3 corresponds to the </w:t>
      </w:r>
      <w:r w:rsidR="00C06548">
        <w:rPr>
          <w:rFonts w:cs="Times New Roman"/>
        </w:rPr>
        <w:t>traditional motor-dominant</w:t>
      </w:r>
      <w:r w:rsidR="00316D52">
        <w:rPr>
          <w:rFonts w:cs="Times New Roman"/>
        </w:rPr>
        <w:t xml:space="preserve"> view of Parkinson’s disease.</w:t>
      </w:r>
      <w:r w:rsidR="00F1558F">
        <w:rPr>
          <w:rFonts w:cs="Times New Roman"/>
        </w:rPr>
        <w:t xml:space="preserve"> However,</w:t>
      </w:r>
      <w:r w:rsidR="009A18B4">
        <w:rPr>
          <w:rFonts w:cs="Times New Roman"/>
        </w:rPr>
        <w:t xml:space="preserve"> </w:t>
      </w:r>
      <w:r w:rsidR="00F1558F">
        <w:rPr>
          <w:rFonts w:cs="Times New Roman"/>
        </w:rPr>
        <w:t>t</w:t>
      </w:r>
      <w:r w:rsidR="00316D52">
        <w:rPr>
          <w:rFonts w:cs="Times New Roman"/>
        </w:rPr>
        <w:t>he high incidence of tremor in D3</w:t>
      </w:r>
      <w:r w:rsidR="00C06548">
        <w:rPr>
          <w:rFonts w:cs="Times New Roman"/>
        </w:rPr>
        <w:t xml:space="preserve"> (higher than D4)</w:t>
      </w:r>
      <w:r w:rsidR="00316D52">
        <w:rPr>
          <w:rFonts w:cs="Times New Roman"/>
        </w:rPr>
        <w:t xml:space="preserve"> is </w:t>
      </w:r>
      <w:r w:rsidR="00BC52CF">
        <w:rPr>
          <w:rFonts w:cs="Times New Roman"/>
        </w:rPr>
        <w:t>of interest</w:t>
      </w:r>
      <w:r w:rsidR="00316D52">
        <w:rPr>
          <w:rFonts w:cs="Times New Roman"/>
        </w:rPr>
        <w:t xml:space="preserve"> and appears to reflect not only the motor-dominant subtype of </w:t>
      </w:r>
      <w:r w:rsidR="009A18B4">
        <w:rPr>
          <w:rFonts w:cs="Times New Roman"/>
        </w:rPr>
        <w:t>v</w:t>
      </w:r>
      <w:r w:rsidR="00316D52">
        <w:rPr>
          <w:rFonts w:cs="Times New Roman"/>
        </w:rPr>
        <w:t xml:space="preserve">an Rooden </w:t>
      </w:r>
      <w:r w:rsidR="00316D52">
        <w:rPr>
          <w:rFonts w:cs="Times New Roman"/>
          <w:i/>
        </w:rPr>
        <w:t>et al</w:t>
      </w:r>
      <w:r w:rsidR="00316D52">
        <w:rPr>
          <w:rFonts w:cs="Times New Roman"/>
        </w:rPr>
        <w:t>. (2011)</w:t>
      </w:r>
      <w:r w:rsidR="009A18B4">
        <w:rPr>
          <w:rFonts w:cs="Times New Roman"/>
        </w:rPr>
        <w:t xml:space="preserve"> </w:t>
      </w:r>
      <w:r w:rsidR="00316D52">
        <w:rPr>
          <w:rFonts w:cs="Times New Roman"/>
        </w:rPr>
        <w:t>but also the tremor-dominant/slow-progression</w:t>
      </w:r>
      <w:r w:rsidR="00BC52CF">
        <w:rPr>
          <w:rFonts w:cs="Times New Roman"/>
        </w:rPr>
        <w:t xml:space="preserve"> as described in the study </w:t>
      </w:r>
      <w:r w:rsidR="001966C5">
        <w:rPr>
          <w:rFonts w:cs="Times New Roman"/>
        </w:rPr>
        <w:t>by Ma</w:t>
      </w:r>
      <w:r w:rsidR="009A18B4">
        <w:rPr>
          <w:rFonts w:cs="Times New Roman"/>
        </w:rPr>
        <w:t xml:space="preserve"> </w:t>
      </w:r>
      <w:r w:rsidR="00316D52" w:rsidRPr="00316D52">
        <w:rPr>
          <w:rFonts w:cs="Times New Roman"/>
          <w:i/>
        </w:rPr>
        <w:t>et al</w:t>
      </w:r>
      <w:r w:rsidR="00316D52">
        <w:rPr>
          <w:rFonts w:cs="Times New Roman"/>
        </w:rPr>
        <w:t xml:space="preserve">. (2015). </w:t>
      </w:r>
      <w:r w:rsidR="00C06548">
        <w:rPr>
          <w:rFonts w:cs="Times New Roman"/>
        </w:rPr>
        <w:t>Cluster D4 is a</w:t>
      </w:r>
      <w:r w:rsidR="00714E53">
        <w:rPr>
          <w:rFonts w:cs="Times New Roman"/>
        </w:rPr>
        <w:t xml:space="preserve"> severe motor and non-motor</w:t>
      </w:r>
      <w:r w:rsidR="00C06548">
        <w:rPr>
          <w:rFonts w:cs="Times New Roman"/>
        </w:rPr>
        <w:t xml:space="preserve"> disease subtype which replicates several previous studies. </w:t>
      </w:r>
    </w:p>
    <w:p w14:paraId="0253150C" w14:textId="48FDB932" w:rsidR="004F6F22" w:rsidRDefault="00714E53" w:rsidP="00B16199">
      <w:pPr>
        <w:autoSpaceDE w:val="0"/>
        <w:autoSpaceDN w:val="0"/>
        <w:adjustRightInd w:val="0"/>
        <w:ind w:firstLine="720"/>
        <w:rPr>
          <w:rFonts w:cs="Times New Roman"/>
        </w:rPr>
      </w:pPr>
      <w:r>
        <w:rPr>
          <w:rFonts w:cs="Times New Roman"/>
        </w:rPr>
        <w:t>From the</w:t>
      </w:r>
      <w:r w:rsidR="009A18B4">
        <w:rPr>
          <w:rFonts w:cs="Times New Roman"/>
        </w:rPr>
        <w:t xml:space="preserve"> </w:t>
      </w:r>
      <w:r w:rsidR="003D3FCA">
        <w:rPr>
          <w:rFonts w:cs="Times New Roman"/>
        </w:rPr>
        <w:t>symptoms clustering</w:t>
      </w:r>
      <w:r w:rsidR="004F6F22">
        <w:rPr>
          <w:rFonts w:cs="Times New Roman"/>
        </w:rPr>
        <w:t xml:space="preserve"> (Fig</w:t>
      </w:r>
      <w:r w:rsidR="00323A76">
        <w:rPr>
          <w:rFonts w:cs="Times New Roman"/>
        </w:rPr>
        <w:t>.</w:t>
      </w:r>
      <w:r w:rsidR="004F6F22">
        <w:rPr>
          <w:rFonts w:cs="Times New Roman"/>
        </w:rPr>
        <w:t xml:space="preserve"> 2)</w:t>
      </w:r>
      <w:r w:rsidR="003D3FCA">
        <w:rPr>
          <w:rFonts w:cs="Times New Roman"/>
        </w:rPr>
        <w:t>,</w:t>
      </w:r>
      <w:r w:rsidR="004F6F22">
        <w:rPr>
          <w:rFonts w:cs="Times New Roman"/>
        </w:rPr>
        <w:t xml:space="preserve"> six </w:t>
      </w:r>
      <w:r>
        <w:rPr>
          <w:rFonts w:cs="Times New Roman"/>
        </w:rPr>
        <w:t xml:space="preserve">smaller </w:t>
      </w:r>
      <w:r w:rsidR="004F6F22">
        <w:rPr>
          <w:rFonts w:cs="Times New Roman"/>
        </w:rPr>
        <w:t>clusters were id</w:t>
      </w:r>
      <w:r w:rsidR="003D3FCA">
        <w:rPr>
          <w:rFonts w:cs="Times New Roman"/>
        </w:rPr>
        <w:t xml:space="preserve">entified. S1 was similar to D1. Interestingly, </w:t>
      </w:r>
      <w:r w:rsidR="004F6F22">
        <w:rPr>
          <w:rFonts w:cs="Times New Roman"/>
        </w:rPr>
        <w:t>S2 to S6</w:t>
      </w:r>
      <w:r w:rsidR="008424D8">
        <w:rPr>
          <w:rFonts w:cs="Times New Roman"/>
        </w:rPr>
        <w:t>,</w:t>
      </w:r>
      <w:r w:rsidR="004F6F22">
        <w:rPr>
          <w:rFonts w:cs="Times New Roman"/>
        </w:rPr>
        <w:t xml:space="preserve"> while increasing in motor severity</w:t>
      </w:r>
      <w:r w:rsidR="003D3FCA">
        <w:rPr>
          <w:rFonts w:cs="Times New Roman"/>
        </w:rPr>
        <w:t xml:space="preserve">, </w:t>
      </w:r>
      <w:r w:rsidR="004F6F22">
        <w:rPr>
          <w:rFonts w:cs="Times New Roman"/>
        </w:rPr>
        <w:t>expressed specific NMS</w:t>
      </w:r>
      <w:r w:rsidR="003D3FCA">
        <w:rPr>
          <w:rFonts w:cs="Times New Roman"/>
        </w:rPr>
        <w:t>,</w:t>
      </w:r>
      <w:r w:rsidR="004F6F22">
        <w:rPr>
          <w:rFonts w:cs="Times New Roman"/>
        </w:rPr>
        <w:t xml:space="preserve"> thus support</w:t>
      </w:r>
      <w:r w:rsidR="003D3FCA">
        <w:rPr>
          <w:rFonts w:cs="Times New Roman"/>
        </w:rPr>
        <w:t>ing the clinical concept of NMS-</w:t>
      </w:r>
      <w:r w:rsidR="004F6F22">
        <w:rPr>
          <w:rFonts w:cs="Times New Roman"/>
        </w:rPr>
        <w:t xml:space="preserve">based subtyping of </w:t>
      </w:r>
      <w:r w:rsidR="00137374">
        <w:rPr>
          <w:rFonts w:cs="Times New Roman"/>
        </w:rPr>
        <w:t>Parkinson’s disease</w:t>
      </w:r>
      <w:r w:rsidR="004F6F22">
        <w:rPr>
          <w:rFonts w:cs="Times New Roman"/>
        </w:rPr>
        <w:t xml:space="preserve">. </w:t>
      </w:r>
      <w:r w:rsidR="003D3FCA">
        <w:rPr>
          <w:rFonts w:cs="Times New Roman"/>
        </w:rPr>
        <w:t xml:space="preserve">Cluster </w:t>
      </w:r>
      <w:r w:rsidR="004F6F22">
        <w:rPr>
          <w:rFonts w:cs="Times New Roman"/>
        </w:rPr>
        <w:t>S2</w:t>
      </w:r>
      <w:r w:rsidR="0052063E">
        <w:rPr>
          <w:rFonts w:cs="Times New Roman"/>
        </w:rPr>
        <w:t xml:space="preserve">, with </w:t>
      </w:r>
      <w:r w:rsidR="003D3FCA">
        <w:rPr>
          <w:rFonts w:cs="Times New Roman"/>
        </w:rPr>
        <w:t>principal components including</w:t>
      </w:r>
      <w:r w:rsidR="0052063E">
        <w:rPr>
          <w:rFonts w:cs="Times New Roman"/>
        </w:rPr>
        <w:t xml:space="preserve"> RLS, swallowing, pain, and others</w:t>
      </w:r>
      <w:r w:rsidR="003D3FCA">
        <w:rPr>
          <w:rFonts w:cs="Times New Roman"/>
        </w:rPr>
        <w:t>,</w:t>
      </w:r>
      <w:r w:rsidR="009A18B4">
        <w:rPr>
          <w:rFonts w:cs="Times New Roman"/>
        </w:rPr>
        <w:t xml:space="preserve"> </w:t>
      </w:r>
      <w:r w:rsidR="003D3FCA">
        <w:rPr>
          <w:rFonts w:cs="Times New Roman"/>
        </w:rPr>
        <w:t>may</w:t>
      </w:r>
      <w:r w:rsidR="0052063E">
        <w:rPr>
          <w:rFonts w:cs="Times New Roman"/>
        </w:rPr>
        <w:t xml:space="preserve"> be a new finding from this study. </w:t>
      </w:r>
      <w:r w:rsidR="003D3FCA">
        <w:rPr>
          <w:rFonts w:cs="Times New Roman"/>
        </w:rPr>
        <w:t xml:space="preserve">Cluster </w:t>
      </w:r>
      <w:r w:rsidR="008424D8" w:rsidRPr="008424D8">
        <w:rPr>
          <w:rFonts w:cs="Times New Roman"/>
        </w:rPr>
        <w:t>S</w:t>
      </w:r>
      <w:r w:rsidR="0052063E" w:rsidRPr="008424D8">
        <w:rPr>
          <w:rFonts w:cs="Times New Roman"/>
        </w:rPr>
        <w:t>3</w:t>
      </w:r>
      <w:r w:rsidR="0052063E">
        <w:rPr>
          <w:rFonts w:cs="Times New Roman"/>
        </w:rPr>
        <w:t xml:space="preserve">, with </w:t>
      </w:r>
      <w:r w:rsidR="003D3FCA">
        <w:rPr>
          <w:rFonts w:cs="Times New Roman"/>
        </w:rPr>
        <w:t xml:space="preserve">high </w:t>
      </w:r>
      <w:r w:rsidR="0052063E">
        <w:rPr>
          <w:rFonts w:cs="Times New Roman"/>
        </w:rPr>
        <w:t xml:space="preserve">urinary dysfunction, fits the descriptions by Erro </w:t>
      </w:r>
      <w:r w:rsidR="0052063E" w:rsidRPr="00DF387C">
        <w:rPr>
          <w:rFonts w:cs="Times New Roman"/>
          <w:i/>
        </w:rPr>
        <w:t>et al</w:t>
      </w:r>
      <w:r w:rsidR="00316D52">
        <w:rPr>
          <w:rFonts w:cs="Times New Roman"/>
        </w:rPr>
        <w:t>.</w:t>
      </w:r>
      <w:r w:rsidR="0052063E">
        <w:rPr>
          <w:rFonts w:cs="Times New Roman"/>
        </w:rPr>
        <w:t xml:space="preserve"> (2013, 2015) highlighting</w:t>
      </w:r>
      <w:r w:rsidR="003D3FCA">
        <w:rPr>
          <w:rFonts w:cs="Times New Roman"/>
        </w:rPr>
        <w:t xml:space="preserve"> the relevance of this symptom </w:t>
      </w:r>
      <w:r w:rsidR="0052063E">
        <w:rPr>
          <w:rFonts w:cs="Times New Roman"/>
        </w:rPr>
        <w:t>as a specific marker in the non-motor dominant cluster and also for disease progression.</w:t>
      </w:r>
      <w:r w:rsidR="006E7591">
        <w:rPr>
          <w:rFonts w:cs="Times New Roman"/>
        </w:rPr>
        <w:t xml:space="preserve"> </w:t>
      </w:r>
      <w:r w:rsidR="00DF387C">
        <w:rPr>
          <w:rFonts w:cs="Times New Roman"/>
        </w:rPr>
        <w:t xml:space="preserve">Cluster </w:t>
      </w:r>
      <w:r w:rsidR="00B41739">
        <w:rPr>
          <w:rFonts w:cs="Times New Roman"/>
        </w:rPr>
        <w:t>S4, characterized by</w:t>
      </w:r>
      <w:r w:rsidR="003D3FCA">
        <w:rPr>
          <w:rFonts w:cs="Times New Roman"/>
        </w:rPr>
        <w:t xml:space="preserve"> high</w:t>
      </w:r>
      <w:r w:rsidR="00B41739">
        <w:rPr>
          <w:rFonts w:cs="Times New Roman"/>
        </w:rPr>
        <w:t xml:space="preserve"> mood/apathy</w:t>
      </w:r>
      <w:r w:rsidR="003D3FCA">
        <w:rPr>
          <w:rFonts w:cs="Times New Roman"/>
        </w:rPr>
        <w:t>-based symptoms,</w:t>
      </w:r>
      <w:r w:rsidR="00B41739">
        <w:rPr>
          <w:rFonts w:cs="Times New Roman"/>
        </w:rPr>
        <w:t xml:space="preserve"> is consistent with </w:t>
      </w:r>
      <w:r w:rsidR="003D3FCA">
        <w:rPr>
          <w:rFonts w:cs="Times New Roman"/>
        </w:rPr>
        <w:t xml:space="preserve">the </w:t>
      </w:r>
      <w:r w:rsidR="00B41739">
        <w:rPr>
          <w:rFonts w:cs="Times New Roman"/>
        </w:rPr>
        <w:t>sleep and apathy clinical phenotypes described by other</w:t>
      </w:r>
      <w:r w:rsidR="003D3FCA">
        <w:rPr>
          <w:rFonts w:cs="Times New Roman"/>
        </w:rPr>
        <w:t xml:space="preserve"> studies</w:t>
      </w:r>
      <w:r w:rsidR="00B41739">
        <w:rPr>
          <w:rFonts w:cs="Times New Roman"/>
        </w:rPr>
        <w:t xml:space="preserve"> (Sauerbier </w:t>
      </w:r>
      <w:r w:rsidR="00B41739" w:rsidRPr="00D80EC2">
        <w:rPr>
          <w:rFonts w:cs="Times New Roman"/>
          <w:i/>
        </w:rPr>
        <w:t>et al</w:t>
      </w:r>
      <w:r w:rsidR="00B41739">
        <w:rPr>
          <w:rFonts w:cs="Times New Roman"/>
        </w:rPr>
        <w:t xml:space="preserve">., 2016). </w:t>
      </w:r>
      <w:r w:rsidR="00DF387C">
        <w:rPr>
          <w:rFonts w:cs="Times New Roman"/>
        </w:rPr>
        <w:t xml:space="preserve">Clusters </w:t>
      </w:r>
      <w:r w:rsidR="0080037C">
        <w:rPr>
          <w:rFonts w:cs="Times New Roman"/>
        </w:rPr>
        <w:t>S5 and S6 are of clinical interest</w:t>
      </w:r>
      <w:r w:rsidR="003D3FCA">
        <w:rPr>
          <w:rFonts w:cs="Times New Roman"/>
        </w:rPr>
        <w:t>,</w:t>
      </w:r>
      <w:r w:rsidR="0080037C">
        <w:rPr>
          <w:rFonts w:cs="Times New Roman"/>
        </w:rPr>
        <w:t xml:space="preserve"> as in these clusters NMS are dominant, overshadowing </w:t>
      </w:r>
      <w:r w:rsidR="003D3FCA">
        <w:rPr>
          <w:rFonts w:cs="Times New Roman"/>
        </w:rPr>
        <w:t>motor symptoms</w:t>
      </w:r>
      <w:r w:rsidR="0080037C">
        <w:rPr>
          <w:rFonts w:cs="Times New Roman"/>
        </w:rPr>
        <w:t xml:space="preserve"> with an emphasis on cognitive impairment in S5 and autonomic (cardiovascular and gastrointestinal) </w:t>
      </w:r>
      <w:r w:rsidR="003D3FCA">
        <w:rPr>
          <w:rFonts w:cs="Times New Roman"/>
        </w:rPr>
        <w:t xml:space="preserve">symptoms </w:t>
      </w:r>
      <w:r w:rsidR="0080037C">
        <w:rPr>
          <w:rFonts w:cs="Times New Roman"/>
        </w:rPr>
        <w:t>in S6.</w:t>
      </w:r>
    </w:p>
    <w:p w14:paraId="485B28ED" w14:textId="14A93131" w:rsidR="005B7725" w:rsidRDefault="0080037C" w:rsidP="00B16199">
      <w:pPr>
        <w:ind w:firstLine="720"/>
        <w:rPr>
          <w:rFonts w:cs="Times New Roman"/>
        </w:rPr>
      </w:pPr>
      <w:r>
        <w:rPr>
          <w:rFonts w:cs="Times New Roman"/>
        </w:rPr>
        <w:t xml:space="preserve">The </w:t>
      </w:r>
      <w:r w:rsidR="006003B6">
        <w:rPr>
          <w:rFonts w:cs="Times New Roman"/>
        </w:rPr>
        <w:t>comparison</w:t>
      </w:r>
      <w:r w:rsidR="0081002F">
        <w:rPr>
          <w:rFonts w:cs="Times New Roman"/>
        </w:rPr>
        <w:t xml:space="preserve"> between the </w:t>
      </w:r>
      <w:r w:rsidR="003D3FCA">
        <w:rPr>
          <w:rFonts w:cs="Times New Roman"/>
        </w:rPr>
        <w:t>domains</w:t>
      </w:r>
      <w:r w:rsidR="0081002F">
        <w:rPr>
          <w:rFonts w:cs="Times New Roman"/>
        </w:rPr>
        <w:t xml:space="preserve"> and </w:t>
      </w:r>
      <w:r w:rsidR="003D3FCA">
        <w:rPr>
          <w:rFonts w:cs="Times New Roman"/>
        </w:rPr>
        <w:t>symptoms</w:t>
      </w:r>
      <w:r w:rsidR="0081002F">
        <w:rPr>
          <w:rFonts w:cs="Times New Roman"/>
        </w:rPr>
        <w:t xml:space="preserve"> clustering shown in</w:t>
      </w:r>
      <w:r w:rsidR="00177B29">
        <w:rPr>
          <w:rFonts w:cs="Times New Roman"/>
        </w:rPr>
        <w:t xml:space="preserve"> the contingency table (Table 4)</w:t>
      </w:r>
      <w:r>
        <w:rPr>
          <w:rFonts w:cs="Times New Roman"/>
        </w:rPr>
        <w:t xml:space="preserve"> suggest</w:t>
      </w:r>
      <w:r w:rsidR="0099748B">
        <w:rPr>
          <w:rFonts w:cs="Times New Roman"/>
        </w:rPr>
        <w:t>s</w:t>
      </w:r>
      <w:r>
        <w:rPr>
          <w:rFonts w:cs="Times New Roman"/>
        </w:rPr>
        <w:t xml:space="preserve"> that the broader subset of S1, a mild non-motor dominant cluster</w:t>
      </w:r>
      <w:r w:rsidR="003D3FCA">
        <w:rPr>
          <w:rFonts w:cs="Times New Roman"/>
        </w:rPr>
        <w:t>,</w:t>
      </w:r>
      <w:r w:rsidR="009A18B4">
        <w:rPr>
          <w:rFonts w:cs="Times New Roman"/>
        </w:rPr>
        <w:t xml:space="preserve"> </w:t>
      </w:r>
      <w:r>
        <w:rPr>
          <w:rFonts w:cs="Times New Roman"/>
        </w:rPr>
        <w:t>essentially express</w:t>
      </w:r>
      <w:r w:rsidR="00B23911">
        <w:rPr>
          <w:rFonts w:cs="Times New Roman"/>
        </w:rPr>
        <w:t>es</w:t>
      </w:r>
      <w:r>
        <w:rPr>
          <w:rFonts w:cs="Times New Roman"/>
        </w:rPr>
        <w:t xml:space="preserve"> two NMS subtypes, one of them with motor symptoms.</w:t>
      </w:r>
      <w:r w:rsidR="0073785C">
        <w:rPr>
          <w:rFonts w:cs="Times New Roman"/>
        </w:rPr>
        <w:t xml:space="preserve"> The low numbers observed in some cells do not allow consistent clinical interpretation.</w:t>
      </w:r>
      <w:r w:rsidR="00E17E39">
        <w:rPr>
          <w:rFonts w:cs="Times New Roman"/>
        </w:rPr>
        <w:t xml:space="preserve"> </w:t>
      </w:r>
      <w:r w:rsidR="0073785C">
        <w:rPr>
          <w:rFonts w:cs="Times New Roman"/>
        </w:rPr>
        <w:t>T</w:t>
      </w:r>
      <w:r w:rsidR="006003B6">
        <w:rPr>
          <w:rFonts w:cs="Times New Roman"/>
        </w:rPr>
        <w:t>he dend</w:t>
      </w:r>
      <w:r w:rsidR="002C5A1B">
        <w:rPr>
          <w:rFonts w:cs="Times New Roman"/>
        </w:rPr>
        <w:t>r</w:t>
      </w:r>
      <w:r w:rsidR="006003B6">
        <w:rPr>
          <w:rFonts w:cs="Times New Roman"/>
        </w:rPr>
        <w:t>ogram (Fig</w:t>
      </w:r>
      <w:r w:rsidR="00323A76">
        <w:rPr>
          <w:rFonts w:cs="Times New Roman"/>
        </w:rPr>
        <w:t>.</w:t>
      </w:r>
      <w:r w:rsidR="006003B6">
        <w:rPr>
          <w:rFonts w:cs="Times New Roman"/>
        </w:rPr>
        <w:t xml:space="preserve"> 3) </w:t>
      </w:r>
      <w:r w:rsidR="0073785C">
        <w:rPr>
          <w:rFonts w:cs="Times New Roman"/>
        </w:rPr>
        <w:lastRenderedPageBreak/>
        <w:t xml:space="preserve">indicates that the symptoms grouping in the NMSS dimensions works as expected, as most items in each domain segregate together.  </w:t>
      </w:r>
    </w:p>
    <w:p w14:paraId="6C3DF572" w14:textId="00BAABB3" w:rsidR="005B7725" w:rsidRDefault="000B6BC1" w:rsidP="00B16199">
      <w:pPr>
        <w:ind w:firstLine="720"/>
        <w:rPr>
          <w:rFonts w:cs="Times New Roman"/>
        </w:rPr>
      </w:pPr>
      <w:r>
        <w:t xml:space="preserve">Our data mirror the observations of </w:t>
      </w:r>
      <w:r w:rsidRPr="008614C4">
        <w:rPr>
          <w:rFonts w:cs="Times New Roman"/>
        </w:rPr>
        <w:t>van Rooden</w:t>
      </w:r>
      <w:r w:rsidR="00DE620A">
        <w:rPr>
          <w:rFonts w:cs="Times New Roman"/>
        </w:rPr>
        <w:t xml:space="preserve"> </w:t>
      </w:r>
      <w:r w:rsidR="00170DB1" w:rsidRPr="00170DB1">
        <w:rPr>
          <w:rFonts w:cs="Times New Roman"/>
          <w:i/>
        </w:rPr>
        <w:t>et al.</w:t>
      </w:r>
      <w:r>
        <w:rPr>
          <w:rFonts w:cs="Times New Roman"/>
        </w:rPr>
        <w:t xml:space="preserve"> </w:t>
      </w:r>
      <w:r w:rsidR="00164D1C">
        <w:rPr>
          <w:rFonts w:cs="Times New Roman"/>
        </w:rPr>
        <w:t>(</w:t>
      </w:r>
      <w:r>
        <w:rPr>
          <w:rFonts w:cs="Times New Roman"/>
        </w:rPr>
        <w:t>2011</w:t>
      </w:r>
      <w:r w:rsidR="00164D1C">
        <w:rPr>
          <w:rFonts w:cs="Times New Roman"/>
        </w:rPr>
        <w:t>)</w:t>
      </w:r>
      <w:r>
        <w:rPr>
          <w:rFonts w:cs="Times New Roman"/>
        </w:rPr>
        <w:t xml:space="preserve"> who used different rating scales and model</w:t>
      </w:r>
      <w:r w:rsidRPr="008614C4">
        <w:rPr>
          <w:rFonts w:cs="Times New Roman"/>
        </w:rPr>
        <w:t>ing method</w:t>
      </w:r>
      <w:r>
        <w:rPr>
          <w:rFonts w:cs="Times New Roman"/>
        </w:rPr>
        <w:t>s</w:t>
      </w:r>
      <w:r w:rsidRPr="008614C4">
        <w:rPr>
          <w:rFonts w:cs="Times New Roman"/>
        </w:rPr>
        <w:t xml:space="preserve"> (</w:t>
      </w:r>
      <w:r w:rsidR="00102446">
        <w:rPr>
          <w:rFonts w:cs="Times New Roman"/>
        </w:rPr>
        <w:t>probabilistic clustering based on the E</w:t>
      </w:r>
      <w:r w:rsidRPr="008614C4">
        <w:rPr>
          <w:rFonts w:cs="Times New Roman"/>
        </w:rPr>
        <w:t>xpectation-</w:t>
      </w:r>
      <w:r w:rsidR="00102446">
        <w:rPr>
          <w:rFonts w:cs="Times New Roman"/>
        </w:rPr>
        <w:t>M</w:t>
      </w:r>
      <w:r w:rsidRPr="008614C4">
        <w:rPr>
          <w:rFonts w:cs="Times New Roman"/>
        </w:rPr>
        <w:t>aximization</w:t>
      </w:r>
      <w:r w:rsidR="00102446">
        <w:rPr>
          <w:rFonts w:cs="Times New Roman"/>
        </w:rPr>
        <w:t xml:space="preserve"> algorithm</w:t>
      </w:r>
      <w:r w:rsidRPr="008614C4">
        <w:rPr>
          <w:rFonts w:cs="Times New Roman"/>
        </w:rPr>
        <w:t>)</w:t>
      </w:r>
      <w:r>
        <w:rPr>
          <w:rFonts w:cs="Times New Roman"/>
        </w:rPr>
        <w:t xml:space="preserve">. </w:t>
      </w:r>
      <w:r w:rsidRPr="008614C4">
        <w:rPr>
          <w:rFonts w:cs="Times New Roman"/>
        </w:rPr>
        <w:t>Unlike van Rooden</w:t>
      </w:r>
      <w:r w:rsidR="005832B2">
        <w:rPr>
          <w:rFonts w:cs="Times New Roman"/>
        </w:rPr>
        <w:t>,</w:t>
      </w:r>
      <w:r w:rsidR="00DE620A">
        <w:rPr>
          <w:rFonts w:cs="Times New Roman"/>
        </w:rPr>
        <w:t xml:space="preserve"> </w:t>
      </w:r>
      <w:r>
        <w:rPr>
          <w:rFonts w:cs="Times New Roman"/>
        </w:rPr>
        <w:t xml:space="preserve">our data show that </w:t>
      </w:r>
      <w:r w:rsidR="00A2087A">
        <w:rPr>
          <w:rFonts w:cs="Times New Roman"/>
        </w:rPr>
        <w:t xml:space="preserve">differences in </w:t>
      </w:r>
      <w:r w:rsidR="00DF387C">
        <w:rPr>
          <w:rFonts w:cs="Times New Roman"/>
        </w:rPr>
        <w:t xml:space="preserve">mean disease durations do </w:t>
      </w:r>
      <w:r w:rsidRPr="008614C4">
        <w:rPr>
          <w:rFonts w:cs="Times New Roman"/>
        </w:rPr>
        <w:t xml:space="preserve">exist between </w:t>
      </w:r>
      <w:r w:rsidR="00164D1C">
        <w:rPr>
          <w:rFonts w:cs="Times New Roman"/>
        </w:rPr>
        <w:t>mild (</w:t>
      </w:r>
      <w:r w:rsidR="00A7754C">
        <w:rPr>
          <w:rFonts w:cs="Times New Roman"/>
        </w:rPr>
        <w:t>D</w:t>
      </w:r>
      <w:r>
        <w:rPr>
          <w:rFonts w:cs="Times New Roman"/>
        </w:rPr>
        <w:t>1</w:t>
      </w:r>
      <w:r w:rsidR="00164D1C">
        <w:rPr>
          <w:rFonts w:cs="Times New Roman"/>
        </w:rPr>
        <w:t>, S1)</w:t>
      </w:r>
      <w:r>
        <w:rPr>
          <w:rFonts w:cs="Times New Roman"/>
        </w:rPr>
        <w:t xml:space="preserve"> and </w:t>
      </w:r>
      <w:r w:rsidR="00164D1C">
        <w:rPr>
          <w:rFonts w:cs="Times New Roman"/>
        </w:rPr>
        <w:t>severe (</w:t>
      </w:r>
      <w:r w:rsidR="00A7754C">
        <w:rPr>
          <w:rFonts w:cs="Times New Roman"/>
        </w:rPr>
        <w:t>D</w:t>
      </w:r>
      <w:r>
        <w:rPr>
          <w:rFonts w:cs="Times New Roman"/>
        </w:rPr>
        <w:t>4</w:t>
      </w:r>
      <w:r w:rsidR="00164D1C">
        <w:rPr>
          <w:rFonts w:cs="Times New Roman"/>
        </w:rPr>
        <w:t>, S6)</w:t>
      </w:r>
      <w:r w:rsidR="00DE620A">
        <w:rPr>
          <w:rFonts w:cs="Times New Roman"/>
        </w:rPr>
        <w:t xml:space="preserve"> </w:t>
      </w:r>
      <w:r w:rsidR="00164D1C">
        <w:rPr>
          <w:rFonts w:cs="Times New Roman"/>
        </w:rPr>
        <w:t>subtypes</w:t>
      </w:r>
      <w:r w:rsidR="008424D8">
        <w:rPr>
          <w:rFonts w:cs="Times New Roman"/>
        </w:rPr>
        <w:t>,</w:t>
      </w:r>
      <w:r w:rsidRPr="008614C4">
        <w:rPr>
          <w:rFonts w:cs="Times New Roman"/>
        </w:rPr>
        <w:t xml:space="preserve"> likely due to </w:t>
      </w:r>
      <w:r>
        <w:rPr>
          <w:rFonts w:cs="Times New Roman"/>
        </w:rPr>
        <w:t xml:space="preserve">advanced disease duration. </w:t>
      </w:r>
      <w:r w:rsidR="00164D1C">
        <w:rPr>
          <w:rFonts w:cs="Times New Roman"/>
        </w:rPr>
        <w:t>However</w:t>
      </w:r>
      <w:r>
        <w:rPr>
          <w:rFonts w:cs="Times New Roman"/>
        </w:rPr>
        <w:t xml:space="preserve">, </w:t>
      </w:r>
      <w:r w:rsidR="00A7754C">
        <w:rPr>
          <w:rFonts w:cs="Times New Roman"/>
        </w:rPr>
        <w:t>S2</w:t>
      </w:r>
      <w:r>
        <w:rPr>
          <w:rFonts w:cs="Times New Roman"/>
        </w:rPr>
        <w:t xml:space="preserve"> and </w:t>
      </w:r>
      <w:r w:rsidR="008424D8" w:rsidRPr="008424D8">
        <w:rPr>
          <w:rFonts w:cs="Times New Roman"/>
        </w:rPr>
        <w:t>S</w:t>
      </w:r>
      <w:r w:rsidR="00A7754C" w:rsidRPr="008424D8">
        <w:rPr>
          <w:rFonts w:cs="Times New Roman"/>
        </w:rPr>
        <w:t>3</w:t>
      </w:r>
      <w:r w:rsidR="00DE620A">
        <w:rPr>
          <w:rFonts w:cs="Times New Roman"/>
        </w:rPr>
        <w:t xml:space="preserve"> </w:t>
      </w:r>
      <w:r>
        <w:rPr>
          <w:rFonts w:cs="Times New Roman"/>
        </w:rPr>
        <w:t xml:space="preserve">are newly reported and </w:t>
      </w:r>
      <w:r w:rsidR="00F648BC" w:rsidRPr="00A7754C">
        <w:rPr>
          <w:rFonts w:cs="Times New Roman"/>
        </w:rPr>
        <w:t>their</w:t>
      </w:r>
      <w:r w:rsidR="00DE620A">
        <w:rPr>
          <w:rFonts w:cs="Times New Roman"/>
        </w:rPr>
        <w:t xml:space="preserve"> </w:t>
      </w:r>
      <w:r>
        <w:rPr>
          <w:rFonts w:cs="Times New Roman"/>
        </w:rPr>
        <w:t>characteristics support clinical endophen</w:t>
      </w:r>
      <w:r w:rsidR="009E46F4">
        <w:rPr>
          <w:rFonts w:cs="Times New Roman"/>
        </w:rPr>
        <w:t>o</w:t>
      </w:r>
      <w:r>
        <w:rPr>
          <w:rFonts w:cs="Times New Roman"/>
        </w:rPr>
        <w:t xml:space="preserve">typing of </w:t>
      </w:r>
      <w:r w:rsidR="005E661E">
        <w:rPr>
          <w:rFonts w:cs="Times New Roman"/>
        </w:rPr>
        <w:t>non-motor</w:t>
      </w:r>
      <w:r w:rsidR="00177B29">
        <w:rPr>
          <w:rFonts w:cs="Times New Roman"/>
        </w:rPr>
        <w:t xml:space="preserve"> subtypes</w:t>
      </w:r>
      <w:r>
        <w:rPr>
          <w:rFonts w:cs="Times New Roman"/>
        </w:rPr>
        <w:t xml:space="preserve"> not reported in </w:t>
      </w:r>
      <w:r w:rsidR="00A921DF">
        <w:rPr>
          <w:rFonts w:cs="Times New Roman"/>
        </w:rPr>
        <w:t xml:space="preserve">the </w:t>
      </w:r>
      <w:r>
        <w:rPr>
          <w:rFonts w:cs="Times New Roman"/>
        </w:rPr>
        <w:t>van Rooden</w:t>
      </w:r>
      <w:r w:rsidR="00DE620A">
        <w:rPr>
          <w:rFonts w:cs="Times New Roman"/>
        </w:rPr>
        <w:t xml:space="preserve"> </w:t>
      </w:r>
      <w:r>
        <w:rPr>
          <w:rFonts w:cs="Times New Roman"/>
        </w:rPr>
        <w:t xml:space="preserve">study.  </w:t>
      </w:r>
    </w:p>
    <w:p w14:paraId="1FFE1618" w14:textId="0BA8EA57" w:rsidR="00ED278B" w:rsidRDefault="009E46F4" w:rsidP="00B16199">
      <w:pPr>
        <w:ind w:firstLine="720"/>
        <w:rPr>
          <w:rFonts w:cs="Times New Roman"/>
        </w:rPr>
      </w:pPr>
      <w:r w:rsidRPr="008614C4">
        <w:rPr>
          <w:rFonts w:cs="Times New Roman"/>
        </w:rPr>
        <w:t>The differences in disease progression for each cluster can be seen by the corresponding graphs in</w:t>
      </w:r>
      <w:r w:rsidR="00DE620A">
        <w:rPr>
          <w:rFonts w:cs="Times New Roman"/>
        </w:rPr>
        <w:t xml:space="preserve"> </w:t>
      </w:r>
      <w:r w:rsidR="00466606">
        <w:rPr>
          <w:rFonts w:cs="Times New Roman"/>
        </w:rPr>
        <w:t xml:space="preserve">Supplementary </w:t>
      </w:r>
      <w:r>
        <w:rPr>
          <w:rFonts w:cs="Times New Roman"/>
        </w:rPr>
        <w:t xml:space="preserve">Fig. </w:t>
      </w:r>
      <w:r w:rsidR="00466606">
        <w:rPr>
          <w:rFonts w:cs="Times New Roman"/>
        </w:rPr>
        <w:t>4</w:t>
      </w:r>
      <w:r>
        <w:rPr>
          <w:rFonts w:cs="Times New Roman"/>
        </w:rPr>
        <w:t>.</w:t>
      </w:r>
      <w:r w:rsidR="006D6B0F">
        <w:rPr>
          <w:rFonts w:cs="Times New Roman"/>
        </w:rPr>
        <w:t xml:space="preserve"> Non-motor dominant cluster</w:t>
      </w:r>
      <w:r w:rsidR="00DE620A">
        <w:rPr>
          <w:rFonts w:cs="Times New Roman"/>
        </w:rPr>
        <w:t xml:space="preserve"> </w:t>
      </w:r>
      <w:r w:rsidR="006D6B0F">
        <w:rPr>
          <w:rFonts w:cs="Times New Roman"/>
        </w:rPr>
        <w:t xml:space="preserve">D2 </w:t>
      </w:r>
      <w:r w:rsidRPr="008614C4">
        <w:rPr>
          <w:rFonts w:cs="Times New Roman"/>
        </w:rPr>
        <w:t>s</w:t>
      </w:r>
      <w:r>
        <w:rPr>
          <w:rFonts w:cs="Times New Roman"/>
        </w:rPr>
        <w:t>tarts at higher scores for anx</w:t>
      </w:r>
      <w:r w:rsidRPr="008614C4">
        <w:rPr>
          <w:rFonts w:cs="Times New Roman"/>
        </w:rPr>
        <w:t xml:space="preserve">iety and depression, and actually decreases with increasing </w:t>
      </w:r>
      <w:r w:rsidR="00137374">
        <w:rPr>
          <w:rFonts w:cs="Times New Roman"/>
        </w:rPr>
        <w:t>disease</w:t>
      </w:r>
      <w:r w:rsidRPr="008614C4">
        <w:rPr>
          <w:rFonts w:cs="Times New Roman"/>
        </w:rPr>
        <w:t xml:space="preserve"> duration, thus indicating that the</w:t>
      </w:r>
      <w:r>
        <w:rPr>
          <w:rFonts w:cs="Times New Roman"/>
        </w:rPr>
        <w:t>se patients’ subtype</w:t>
      </w:r>
      <w:r w:rsidR="006D6B0F">
        <w:rPr>
          <w:rFonts w:cs="Times New Roman"/>
        </w:rPr>
        <w:t>s</w:t>
      </w:r>
      <w:r>
        <w:rPr>
          <w:rFonts w:cs="Times New Roman"/>
        </w:rPr>
        <w:t xml:space="preserve"> can be de</w:t>
      </w:r>
      <w:r w:rsidRPr="008614C4">
        <w:rPr>
          <w:rFonts w:cs="Times New Roman"/>
        </w:rPr>
        <w:t xml:space="preserve">termined early after </w:t>
      </w:r>
      <w:r w:rsidR="00137374">
        <w:rPr>
          <w:rFonts w:cs="Times New Roman"/>
        </w:rPr>
        <w:t>disease</w:t>
      </w:r>
      <w:r w:rsidRPr="008614C4">
        <w:rPr>
          <w:rFonts w:cs="Times New Roman"/>
        </w:rPr>
        <w:t xml:space="preserve"> onset from the depressive symptom score.</w:t>
      </w:r>
      <w:r>
        <w:rPr>
          <w:rFonts w:cs="Times New Roman"/>
        </w:rPr>
        <w:t xml:space="preserve"> Similar improvements in NMS and depression and anxiety scores have been reported recently in a 2</w:t>
      </w:r>
      <w:r w:rsidR="00F648BC">
        <w:rPr>
          <w:rFonts w:cs="Times New Roman"/>
        </w:rPr>
        <w:t>-</w:t>
      </w:r>
      <w:r>
        <w:rPr>
          <w:rFonts w:cs="Times New Roman"/>
        </w:rPr>
        <w:t xml:space="preserve">year </w:t>
      </w:r>
      <w:r w:rsidR="00413B57">
        <w:rPr>
          <w:rFonts w:cs="Times New Roman"/>
        </w:rPr>
        <w:t>follow-up</w:t>
      </w:r>
      <w:r>
        <w:rPr>
          <w:rFonts w:cs="Times New Roman"/>
        </w:rPr>
        <w:t xml:space="preserve"> study of an untreated </w:t>
      </w:r>
      <w:r w:rsidR="00137374">
        <w:rPr>
          <w:rFonts w:cs="Times New Roman"/>
        </w:rPr>
        <w:t>Parkinson’s disease</w:t>
      </w:r>
      <w:r>
        <w:rPr>
          <w:rFonts w:cs="Times New Roman"/>
        </w:rPr>
        <w:t xml:space="preserve"> cohort (</w:t>
      </w:r>
      <w:r w:rsidRPr="009E46F4">
        <w:rPr>
          <w:rFonts w:cs="Times New Roman"/>
        </w:rPr>
        <w:t xml:space="preserve">Mollenhauer </w:t>
      </w:r>
      <w:r w:rsidRPr="002C5A1B">
        <w:rPr>
          <w:rFonts w:cs="Times New Roman"/>
          <w:i/>
        </w:rPr>
        <w:t>et al</w:t>
      </w:r>
      <w:r w:rsidRPr="009E46F4">
        <w:rPr>
          <w:rFonts w:cs="Times New Roman"/>
        </w:rPr>
        <w:t>.,</w:t>
      </w:r>
      <w:r w:rsidR="0071787C">
        <w:rPr>
          <w:rFonts w:cs="Times New Roman"/>
        </w:rPr>
        <w:t xml:space="preserve"> 2016</w:t>
      </w:r>
      <w:r w:rsidRPr="009E46F4">
        <w:rPr>
          <w:rFonts w:cs="Times New Roman"/>
        </w:rPr>
        <w:t>).</w:t>
      </w:r>
    </w:p>
    <w:p w14:paraId="71A25DF9" w14:textId="650E25F0" w:rsidR="000110DB" w:rsidRDefault="000B6BC1" w:rsidP="00B16199">
      <w:pPr>
        <w:ind w:firstLine="720"/>
        <w:rPr>
          <w:rFonts w:cs="Times New Roman"/>
        </w:rPr>
      </w:pPr>
      <w:r>
        <w:rPr>
          <w:rFonts w:cs="Times New Roman"/>
        </w:rPr>
        <w:t xml:space="preserve">What could be the clinical implications of these </w:t>
      </w:r>
      <w:r w:rsidR="001966C5">
        <w:rPr>
          <w:rFonts w:cs="Times New Roman"/>
        </w:rPr>
        <w:t>clusterings?</w:t>
      </w:r>
      <w:r>
        <w:rPr>
          <w:rFonts w:cs="Times New Roman"/>
        </w:rPr>
        <w:t xml:space="preserve"> Firstly, </w:t>
      </w:r>
      <w:r w:rsidR="00D567E5">
        <w:rPr>
          <w:rFonts w:cs="Times New Roman"/>
        </w:rPr>
        <w:t>our analysis represents</w:t>
      </w:r>
      <w:r>
        <w:rPr>
          <w:rFonts w:cs="Times New Roman"/>
        </w:rPr>
        <w:t xml:space="preserve"> statistical conformation of the growing recognition of NMS</w:t>
      </w:r>
      <w:r w:rsidR="00D567E5">
        <w:rPr>
          <w:rFonts w:cs="Times New Roman"/>
        </w:rPr>
        <w:t>-</w:t>
      </w:r>
      <w:r>
        <w:rPr>
          <w:rFonts w:cs="Times New Roman"/>
        </w:rPr>
        <w:t xml:space="preserve">dominant presentation of </w:t>
      </w:r>
      <w:r w:rsidR="00137374">
        <w:rPr>
          <w:rFonts w:cs="Times New Roman"/>
        </w:rPr>
        <w:t>Parkinson’s disease</w:t>
      </w:r>
      <w:r>
        <w:rPr>
          <w:rFonts w:cs="Times New Roman"/>
        </w:rPr>
        <w:t xml:space="preserve"> and its heterogeneity. The specific expression of several NMS domains such as mood/anxiety, </w:t>
      </w:r>
      <w:r w:rsidR="00BF7D9B">
        <w:rPr>
          <w:rFonts w:cs="Times New Roman"/>
        </w:rPr>
        <w:t>sleep/</w:t>
      </w:r>
      <w:r>
        <w:rPr>
          <w:rFonts w:cs="Times New Roman"/>
        </w:rPr>
        <w:t>fatigue, cognition,</w:t>
      </w:r>
      <w:r w:rsidR="00D567E5">
        <w:rPr>
          <w:rFonts w:cs="Times New Roman"/>
        </w:rPr>
        <w:t xml:space="preserve"> and</w:t>
      </w:r>
      <w:r>
        <w:rPr>
          <w:rFonts w:cs="Times New Roman"/>
        </w:rPr>
        <w:t xml:space="preserve"> urinary function suggests that these subgroups may have </w:t>
      </w:r>
      <w:r w:rsidR="00977E28">
        <w:rPr>
          <w:rFonts w:cs="Times New Roman"/>
        </w:rPr>
        <w:t>different</w:t>
      </w:r>
      <w:r>
        <w:rPr>
          <w:rFonts w:cs="Times New Roman"/>
        </w:rPr>
        <w:t xml:space="preserve"> patte</w:t>
      </w:r>
      <w:r w:rsidR="00BF7D9B">
        <w:rPr>
          <w:rFonts w:cs="Times New Roman"/>
        </w:rPr>
        <w:t>r</w:t>
      </w:r>
      <w:r>
        <w:rPr>
          <w:rFonts w:cs="Times New Roman"/>
        </w:rPr>
        <w:t>ns of neurodege</w:t>
      </w:r>
      <w:r w:rsidR="00BF7D9B">
        <w:rPr>
          <w:rFonts w:cs="Times New Roman"/>
        </w:rPr>
        <w:t>ne</w:t>
      </w:r>
      <w:r>
        <w:rPr>
          <w:rFonts w:cs="Times New Roman"/>
        </w:rPr>
        <w:t xml:space="preserve">ration involving </w:t>
      </w:r>
      <w:r w:rsidR="00BF7D9B">
        <w:rPr>
          <w:rFonts w:cs="Times New Roman"/>
        </w:rPr>
        <w:t>the brain</w:t>
      </w:r>
      <w:r w:rsidR="00D567E5">
        <w:rPr>
          <w:rFonts w:cs="Times New Roman"/>
        </w:rPr>
        <w:t>’s</w:t>
      </w:r>
      <w:r w:rsidR="00DE620A">
        <w:rPr>
          <w:rFonts w:cs="Times New Roman"/>
        </w:rPr>
        <w:t xml:space="preserve"> </w:t>
      </w:r>
      <w:r>
        <w:rPr>
          <w:rFonts w:cs="Times New Roman"/>
        </w:rPr>
        <w:t>various non</w:t>
      </w:r>
      <w:r w:rsidR="00150C0C">
        <w:rPr>
          <w:rFonts w:cs="Times New Roman"/>
        </w:rPr>
        <w:t>-</w:t>
      </w:r>
      <w:r>
        <w:rPr>
          <w:rFonts w:cs="Times New Roman"/>
        </w:rPr>
        <w:t>dopaminergic pathways, possibly</w:t>
      </w:r>
      <w:r w:rsidR="00DE620A">
        <w:rPr>
          <w:rFonts w:cs="Times New Roman"/>
        </w:rPr>
        <w:t xml:space="preserve"> </w:t>
      </w:r>
      <w:r>
        <w:rPr>
          <w:rFonts w:cs="Times New Roman"/>
        </w:rPr>
        <w:t>in excess of dopaminergic degeneration</w:t>
      </w:r>
      <w:r w:rsidR="00BF7D9B">
        <w:rPr>
          <w:rFonts w:cs="Times New Roman"/>
        </w:rPr>
        <w:t>,</w:t>
      </w:r>
      <w:r>
        <w:rPr>
          <w:rFonts w:cs="Times New Roman"/>
        </w:rPr>
        <w:t xml:space="preserve"> as suggested by many authors</w:t>
      </w:r>
      <w:r w:rsidR="00BF7D9B">
        <w:rPr>
          <w:rFonts w:cs="Times New Roman"/>
        </w:rPr>
        <w:t xml:space="preserve"> (</w:t>
      </w:r>
      <w:r>
        <w:rPr>
          <w:rFonts w:cs="Times New Roman"/>
        </w:rPr>
        <w:t>Jellinger 2012</w:t>
      </w:r>
      <w:r w:rsidR="00BF7D9B">
        <w:rPr>
          <w:rFonts w:cs="Times New Roman"/>
        </w:rPr>
        <w:t>).</w:t>
      </w:r>
      <w:r w:rsidR="00DE620A">
        <w:rPr>
          <w:rFonts w:cs="Times New Roman"/>
        </w:rPr>
        <w:t xml:space="preserve"> </w:t>
      </w:r>
      <w:r>
        <w:rPr>
          <w:rFonts w:cs="Times New Roman"/>
        </w:rPr>
        <w:t>Secondly, clinical recognition of subtypes</w:t>
      </w:r>
      <w:r w:rsidR="00DE620A">
        <w:rPr>
          <w:rFonts w:cs="Times New Roman"/>
        </w:rPr>
        <w:t xml:space="preserve"> </w:t>
      </w:r>
      <w:r w:rsidR="00140B17">
        <w:rPr>
          <w:rFonts w:cs="Times New Roman"/>
        </w:rPr>
        <w:t xml:space="preserve">using ad hoc criteria </w:t>
      </w:r>
      <w:r>
        <w:rPr>
          <w:rFonts w:cs="Times New Roman"/>
        </w:rPr>
        <w:t xml:space="preserve">would allow </w:t>
      </w:r>
      <w:r w:rsidR="0077292F">
        <w:rPr>
          <w:rFonts w:cs="Times New Roman"/>
        </w:rPr>
        <w:t>for the development of truly</w:t>
      </w:r>
      <w:r>
        <w:rPr>
          <w:rFonts w:cs="Times New Roman"/>
        </w:rPr>
        <w:t xml:space="preserve"> subtype</w:t>
      </w:r>
      <w:r w:rsidR="00D567E5">
        <w:rPr>
          <w:rFonts w:cs="Times New Roman"/>
        </w:rPr>
        <w:t>-</w:t>
      </w:r>
      <w:r>
        <w:rPr>
          <w:rFonts w:cs="Times New Roman"/>
        </w:rPr>
        <w:t xml:space="preserve">specific treatment packages for </w:t>
      </w:r>
      <w:r w:rsidR="00137374">
        <w:rPr>
          <w:rFonts w:cs="Times New Roman"/>
        </w:rPr>
        <w:t>Parkinson’s disease</w:t>
      </w:r>
      <w:r>
        <w:rPr>
          <w:rFonts w:cs="Times New Roman"/>
        </w:rPr>
        <w:t xml:space="preserve"> (Marras and Chaudhuri 2016). Thirdly, clinical characterisation of these groups will allow studies o</w:t>
      </w:r>
      <w:r w:rsidR="00C86826">
        <w:rPr>
          <w:rFonts w:cs="Times New Roman"/>
        </w:rPr>
        <w:t>f natural history</w:t>
      </w:r>
      <w:r w:rsidR="000110DB">
        <w:rPr>
          <w:rFonts w:cs="Times New Roman"/>
        </w:rPr>
        <w:t xml:space="preserve"> of specific subtypes.</w:t>
      </w:r>
    </w:p>
    <w:p w14:paraId="7CFC0FB1" w14:textId="77777777" w:rsidR="00BD0F45" w:rsidRDefault="0025119E" w:rsidP="00B16199">
      <w:pPr>
        <w:ind w:firstLine="720"/>
        <w:rPr>
          <w:rFonts w:cs="Times New Roman"/>
        </w:rPr>
      </w:pPr>
      <w:r>
        <w:rPr>
          <w:rFonts w:cs="Times New Roman"/>
        </w:rPr>
        <w:t>Due to the data collection methods of the two studies used in this analysis, s</w:t>
      </w:r>
      <w:r w:rsidR="00BD0F45">
        <w:rPr>
          <w:rFonts w:cs="Times New Roman"/>
        </w:rPr>
        <w:t xml:space="preserve">election due to </w:t>
      </w:r>
      <w:r w:rsidR="0061386A">
        <w:rPr>
          <w:rFonts w:cs="Times New Roman"/>
        </w:rPr>
        <w:t xml:space="preserve">prevalence bias, i.e. </w:t>
      </w:r>
      <w:r w:rsidR="00BD0F45">
        <w:rPr>
          <w:rFonts w:cs="Times New Roman"/>
        </w:rPr>
        <w:t xml:space="preserve">overrepresentation </w:t>
      </w:r>
      <w:r w:rsidR="0061386A">
        <w:rPr>
          <w:rFonts w:cs="Times New Roman"/>
        </w:rPr>
        <w:t>at the study sample of patients with higher</w:t>
      </w:r>
      <w:r w:rsidR="00DE620A">
        <w:rPr>
          <w:rFonts w:cs="Times New Roman"/>
        </w:rPr>
        <w:t xml:space="preserve"> </w:t>
      </w:r>
      <w:r w:rsidR="00BD0F45">
        <w:rPr>
          <w:rFonts w:cs="Times New Roman"/>
        </w:rPr>
        <w:t>survival</w:t>
      </w:r>
      <w:r w:rsidR="006E6067">
        <w:rPr>
          <w:rFonts w:cs="Times New Roman"/>
        </w:rPr>
        <w:t>,</w:t>
      </w:r>
      <w:r w:rsidR="00DE620A">
        <w:rPr>
          <w:rFonts w:cs="Times New Roman"/>
        </w:rPr>
        <w:t xml:space="preserve"> </w:t>
      </w:r>
      <w:r w:rsidR="00F33D82">
        <w:rPr>
          <w:rFonts w:cs="Times New Roman"/>
        </w:rPr>
        <w:t>would</w:t>
      </w:r>
      <w:r w:rsidR="0061386A">
        <w:rPr>
          <w:rFonts w:cs="Times New Roman"/>
        </w:rPr>
        <w:t xml:space="preserve"> not </w:t>
      </w:r>
      <w:r w:rsidR="00464A14">
        <w:rPr>
          <w:rFonts w:cs="Times New Roman"/>
        </w:rPr>
        <w:t xml:space="preserve">likely explain </w:t>
      </w:r>
      <w:r w:rsidR="00134D4A">
        <w:rPr>
          <w:rFonts w:cs="Times New Roman"/>
        </w:rPr>
        <w:t>this</w:t>
      </w:r>
      <w:r w:rsidR="00DE620A">
        <w:rPr>
          <w:rFonts w:cs="Times New Roman"/>
        </w:rPr>
        <w:t xml:space="preserve"> </w:t>
      </w:r>
      <w:r w:rsidR="00464A14">
        <w:rPr>
          <w:rFonts w:cs="Times New Roman"/>
        </w:rPr>
        <w:t>c</w:t>
      </w:r>
      <w:r w:rsidR="00BD0F45">
        <w:rPr>
          <w:rFonts w:cs="Times New Roman"/>
        </w:rPr>
        <w:t>lustering</w:t>
      </w:r>
      <w:r w:rsidR="0061386A">
        <w:rPr>
          <w:rFonts w:cs="Times New Roman"/>
        </w:rPr>
        <w:t xml:space="preserve">. In contrast, </w:t>
      </w:r>
      <w:r w:rsidR="00BD0F45">
        <w:rPr>
          <w:rFonts w:cs="Times New Roman"/>
        </w:rPr>
        <w:t>clustering at clinical early stages m</w:t>
      </w:r>
      <w:r w:rsidR="001671E8">
        <w:rPr>
          <w:rFonts w:cs="Times New Roman"/>
        </w:rPr>
        <w:t>ight</w:t>
      </w:r>
      <w:r w:rsidR="00BD0F45">
        <w:rPr>
          <w:rFonts w:cs="Times New Roman"/>
        </w:rPr>
        <w:t xml:space="preserve"> have been </w:t>
      </w:r>
      <w:r w:rsidR="0061386A">
        <w:rPr>
          <w:rFonts w:cs="Times New Roman"/>
        </w:rPr>
        <w:t xml:space="preserve">undermined by </w:t>
      </w:r>
      <w:r w:rsidR="001671E8">
        <w:rPr>
          <w:rFonts w:cs="Times New Roman"/>
        </w:rPr>
        <w:t xml:space="preserve">neglect of </w:t>
      </w:r>
      <w:r w:rsidR="00464A14">
        <w:rPr>
          <w:rFonts w:cs="Times New Roman"/>
        </w:rPr>
        <w:t xml:space="preserve">symptoms </w:t>
      </w:r>
      <w:r w:rsidR="001671E8">
        <w:rPr>
          <w:rFonts w:cs="Times New Roman"/>
        </w:rPr>
        <w:t xml:space="preserve">poorly </w:t>
      </w:r>
      <w:r w:rsidR="00464A14">
        <w:rPr>
          <w:rFonts w:cs="Times New Roman"/>
        </w:rPr>
        <w:t xml:space="preserve">recorded prior to </w:t>
      </w:r>
      <w:r w:rsidR="0061386A">
        <w:rPr>
          <w:rFonts w:cs="Times New Roman"/>
        </w:rPr>
        <w:t>diagnos</w:t>
      </w:r>
      <w:r w:rsidR="00464A14">
        <w:rPr>
          <w:rFonts w:cs="Times New Roman"/>
        </w:rPr>
        <w:t>is.</w:t>
      </w:r>
      <w:r w:rsidR="0061386A">
        <w:rPr>
          <w:rFonts w:cs="Times New Roman"/>
        </w:rPr>
        <w:t xml:space="preserve"> The c</w:t>
      </w:r>
      <w:r w:rsidR="00BD0F45">
        <w:rPr>
          <w:rFonts w:cs="Times New Roman"/>
        </w:rPr>
        <w:t xml:space="preserve">linical </w:t>
      </w:r>
      <w:r w:rsidR="00A2087A">
        <w:rPr>
          <w:rFonts w:cs="Times New Roman"/>
        </w:rPr>
        <w:t>non-</w:t>
      </w:r>
      <w:r w:rsidR="00DF387C">
        <w:rPr>
          <w:rFonts w:cs="Times New Roman"/>
        </w:rPr>
        <w:t>specificity</w:t>
      </w:r>
      <w:r w:rsidR="00DE620A">
        <w:rPr>
          <w:rFonts w:cs="Times New Roman"/>
        </w:rPr>
        <w:t xml:space="preserve"> </w:t>
      </w:r>
      <w:r w:rsidR="00BD0F45" w:rsidRPr="00477E00">
        <w:rPr>
          <w:rFonts w:cs="Times New Roman"/>
        </w:rPr>
        <w:t>of D</w:t>
      </w:r>
      <w:r w:rsidR="008424D8" w:rsidRPr="00477E00">
        <w:rPr>
          <w:rFonts w:cs="Times New Roman"/>
        </w:rPr>
        <w:t>1</w:t>
      </w:r>
      <w:r w:rsidR="00BD0F45" w:rsidRPr="00477E00">
        <w:rPr>
          <w:rFonts w:cs="Times New Roman"/>
        </w:rPr>
        <w:t>, S</w:t>
      </w:r>
      <w:r w:rsidR="008424D8" w:rsidRPr="00477E00">
        <w:rPr>
          <w:rFonts w:cs="Times New Roman"/>
        </w:rPr>
        <w:t>1</w:t>
      </w:r>
      <w:r w:rsidR="00A10D32" w:rsidRPr="00477E00">
        <w:rPr>
          <w:rFonts w:cs="Times New Roman"/>
        </w:rPr>
        <w:t xml:space="preserve">, </w:t>
      </w:r>
      <w:r w:rsidR="00BD0F45" w:rsidRPr="00477E00">
        <w:rPr>
          <w:rFonts w:cs="Times New Roman"/>
        </w:rPr>
        <w:t>D</w:t>
      </w:r>
      <w:r w:rsidR="008424D8" w:rsidRPr="00477E00">
        <w:rPr>
          <w:rFonts w:cs="Times New Roman"/>
        </w:rPr>
        <w:t>4</w:t>
      </w:r>
      <w:r w:rsidR="00BD0F45" w:rsidRPr="00477E00">
        <w:rPr>
          <w:rFonts w:cs="Times New Roman"/>
        </w:rPr>
        <w:t>, and S</w:t>
      </w:r>
      <w:r w:rsidR="008424D8" w:rsidRPr="00477E00">
        <w:rPr>
          <w:rFonts w:cs="Times New Roman"/>
        </w:rPr>
        <w:t>6</w:t>
      </w:r>
      <w:r>
        <w:rPr>
          <w:rFonts w:cs="Times New Roman"/>
        </w:rPr>
        <w:t>,</w:t>
      </w:r>
      <w:r w:rsidR="00DE620A">
        <w:rPr>
          <w:rFonts w:cs="Times New Roman"/>
        </w:rPr>
        <w:t xml:space="preserve"> </w:t>
      </w:r>
      <w:r w:rsidR="008424D8" w:rsidRPr="00477E00">
        <w:rPr>
          <w:rFonts w:cs="Times New Roman"/>
        </w:rPr>
        <w:t>w</w:t>
      </w:r>
      <w:r w:rsidR="00BD0F45" w:rsidRPr="00477E00">
        <w:rPr>
          <w:rFonts w:cs="Times New Roman"/>
        </w:rPr>
        <w:t xml:space="preserve">ith </w:t>
      </w:r>
      <w:r w:rsidR="00BD0F45">
        <w:rPr>
          <w:rFonts w:cs="Times New Roman"/>
        </w:rPr>
        <w:t>extremely different disease duration and severity</w:t>
      </w:r>
      <w:r>
        <w:rPr>
          <w:rFonts w:cs="Times New Roman"/>
        </w:rPr>
        <w:t>,</w:t>
      </w:r>
      <w:r w:rsidR="00BD0F45">
        <w:rPr>
          <w:rFonts w:cs="Times New Roman"/>
        </w:rPr>
        <w:t xml:space="preserve"> contrasts with the </w:t>
      </w:r>
      <w:r>
        <w:rPr>
          <w:rFonts w:cs="Times New Roman"/>
        </w:rPr>
        <w:t>identification of</w:t>
      </w:r>
      <w:r w:rsidR="00BD0F45">
        <w:rPr>
          <w:rFonts w:cs="Times New Roman"/>
        </w:rPr>
        <w:t xml:space="preserve"> clinically characterized </w:t>
      </w:r>
      <w:r w:rsidR="00BD0F45" w:rsidRPr="00477E00">
        <w:rPr>
          <w:rFonts w:cs="Times New Roman"/>
        </w:rPr>
        <w:t>S</w:t>
      </w:r>
      <w:r w:rsidR="00477E00" w:rsidRPr="00477E00">
        <w:rPr>
          <w:rFonts w:cs="Times New Roman"/>
        </w:rPr>
        <w:t>3</w:t>
      </w:r>
      <w:r w:rsidR="00BD0F45" w:rsidRPr="00B274B4">
        <w:rPr>
          <w:rFonts w:cs="Times New Roman"/>
        </w:rPr>
        <w:t>, S</w:t>
      </w:r>
      <w:r w:rsidR="00477E00" w:rsidRPr="00477E00">
        <w:rPr>
          <w:rFonts w:cs="Times New Roman"/>
        </w:rPr>
        <w:t>4</w:t>
      </w:r>
      <w:r w:rsidR="00BD0F45" w:rsidRPr="00477E00">
        <w:rPr>
          <w:rFonts w:cs="Times New Roman"/>
        </w:rPr>
        <w:t>, and S</w:t>
      </w:r>
      <w:r w:rsidR="00692B6A">
        <w:rPr>
          <w:rFonts w:cs="Times New Roman"/>
        </w:rPr>
        <w:t xml:space="preserve">5, clusters with dominant </w:t>
      </w:r>
      <w:r w:rsidR="00BD0F45">
        <w:rPr>
          <w:rFonts w:cs="Times New Roman"/>
        </w:rPr>
        <w:t>expression of urinary, mood/apathy and attention/memory symptoms</w:t>
      </w:r>
      <w:r w:rsidR="00A10D32">
        <w:rPr>
          <w:rFonts w:cs="Times New Roman"/>
        </w:rPr>
        <w:t>, respectively,</w:t>
      </w:r>
      <w:r w:rsidR="00BD0F45">
        <w:rPr>
          <w:rFonts w:cs="Times New Roman"/>
        </w:rPr>
        <w:t xml:space="preserve"> at intermediate stages of </w:t>
      </w:r>
      <w:r w:rsidR="00BD0F45">
        <w:rPr>
          <w:rFonts w:cs="Times New Roman"/>
        </w:rPr>
        <w:lastRenderedPageBreak/>
        <w:t xml:space="preserve">the disease course. </w:t>
      </w:r>
      <w:r w:rsidR="004243BA">
        <w:rPr>
          <w:rFonts w:cs="Times New Roman"/>
        </w:rPr>
        <w:t>This</w:t>
      </w:r>
      <w:r w:rsidR="00BD0F45">
        <w:rPr>
          <w:rFonts w:cs="Times New Roman"/>
        </w:rPr>
        <w:t xml:space="preserve"> pattern is in line with the notion of “phenotypic convergence” proposed by Warren</w:t>
      </w:r>
      <w:r w:rsidR="00DE620A">
        <w:rPr>
          <w:rFonts w:cs="Times New Roman"/>
        </w:rPr>
        <w:t xml:space="preserve"> </w:t>
      </w:r>
      <w:r w:rsidR="002C5A1B">
        <w:rPr>
          <w:rFonts w:cs="Times New Roman"/>
          <w:i/>
        </w:rPr>
        <w:t>et</w:t>
      </w:r>
      <w:r w:rsidR="003214BE" w:rsidRPr="003214BE">
        <w:rPr>
          <w:rFonts w:cs="Times New Roman"/>
          <w:i/>
        </w:rPr>
        <w:t xml:space="preserve"> al</w:t>
      </w:r>
      <w:r w:rsidR="00C17528">
        <w:rPr>
          <w:rFonts w:cs="Times New Roman"/>
        </w:rPr>
        <w:t>. (</w:t>
      </w:r>
      <w:r w:rsidR="00BD0F45">
        <w:rPr>
          <w:rFonts w:cs="Times New Roman"/>
        </w:rPr>
        <w:t>2013</w:t>
      </w:r>
      <w:r w:rsidR="00C17528">
        <w:rPr>
          <w:rFonts w:cs="Times New Roman"/>
        </w:rPr>
        <w:t>)</w:t>
      </w:r>
      <w:r w:rsidR="00BD0F45">
        <w:rPr>
          <w:rFonts w:cs="Times New Roman"/>
        </w:rPr>
        <w:t xml:space="preserve"> as a key </w:t>
      </w:r>
      <w:r w:rsidR="001671E8">
        <w:rPr>
          <w:rFonts w:cs="Times New Roman"/>
        </w:rPr>
        <w:t xml:space="preserve">clinical </w:t>
      </w:r>
      <w:r w:rsidR="00BD0F45">
        <w:rPr>
          <w:rFonts w:cs="Times New Roman"/>
        </w:rPr>
        <w:t xml:space="preserve">feature of the spread </w:t>
      </w:r>
      <w:r w:rsidR="00464A14">
        <w:rPr>
          <w:rFonts w:cs="Times New Roman"/>
        </w:rPr>
        <w:t>of</w:t>
      </w:r>
      <w:r w:rsidR="00BD0F45">
        <w:rPr>
          <w:rFonts w:cs="Times New Roman"/>
        </w:rPr>
        <w:t xml:space="preserve"> neurodegenerative disorders due to </w:t>
      </w:r>
      <w:r w:rsidR="00A2087A">
        <w:rPr>
          <w:rFonts w:cs="Times New Roman"/>
        </w:rPr>
        <w:t xml:space="preserve">abnormal </w:t>
      </w:r>
      <w:r w:rsidR="00BD0F45">
        <w:rPr>
          <w:rFonts w:cs="Times New Roman"/>
        </w:rPr>
        <w:t xml:space="preserve">protein </w:t>
      </w:r>
      <w:r w:rsidR="00A2087A">
        <w:rPr>
          <w:rFonts w:cs="Times New Roman"/>
        </w:rPr>
        <w:t>aggregates</w:t>
      </w:r>
      <w:r w:rsidR="00BD0F45">
        <w:rPr>
          <w:rFonts w:cs="Times New Roman"/>
        </w:rPr>
        <w:t xml:space="preserve">. The identified clusters may represent </w:t>
      </w:r>
      <w:r w:rsidR="001671E8">
        <w:rPr>
          <w:rFonts w:cs="Times New Roman"/>
        </w:rPr>
        <w:t>distinct footprints</w:t>
      </w:r>
      <w:r w:rsidR="00DE620A">
        <w:rPr>
          <w:rFonts w:cs="Times New Roman"/>
        </w:rPr>
        <w:t xml:space="preserve"> </w:t>
      </w:r>
      <w:r w:rsidR="00BD0F45">
        <w:rPr>
          <w:rFonts w:cs="Times New Roman"/>
        </w:rPr>
        <w:t xml:space="preserve">of large-scale network disintegration whose translation to clinical management is </w:t>
      </w:r>
      <w:r w:rsidR="00464A14">
        <w:rPr>
          <w:rFonts w:cs="Times New Roman"/>
        </w:rPr>
        <w:t>required</w:t>
      </w:r>
      <w:r w:rsidR="00BD0F45">
        <w:rPr>
          <w:rFonts w:cs="Times New Roman"/>
        </w:rPr>
        <w:t xml:space="preserve">. </w:t>
      </w:r>
    </w:p>
    <w:p w14:paraId="6CF2EB6A" w14:textId="2D9C7FEE" w:rsidR="000B6BC1" w:rsidRDefault="005A2AD9" w:rsidP="00B16199">
      <w:pPr>
        <w:rPr>
          <w:rFonts w:cs="Times New Roman"/>
        </w:rPr>
      </w:pPr>
      <w:r>
        <w:rPr>
          <w:rFonts w:cs="Times New Roman"/>
        </w:rPr>
        <w:tab/>
      </w:r>
      <w:r w:rsidR="00BF7D9B">
        <w:rPr>
          <w:rFonts w:cs="Times New Roman"/>
        </w:rPr>
        <w:t>Like any cohort-</w:t>
      </w:r>
      <w:r w:rsidR="000B6BC1">
        <w:rPr>
          <w:rFonts w:cs="Times New Roman"/>
        </w:rPr>
        <w:t>based</w:t>
      </w:r>
      <w:r>
        <w:rPr>
          <w:rFonts w:cs="Times New Roman"/>
        </w:rPr>
        <w:t>,</w:t>
      </w:r>
      <w:r w:rsidR="000B6BC1">
        <w:rPr>
          <w:rFonts w:cs="Times New Roman"/>
        </w:rPr>
        <w:t xml:space="preserve"> cluster</w:t>
      </w:r>
      <w:r>
        <w:rPr>
          <w:rFonts w:cs="Times New Roman"/>
        </w:rPr>
        <w:t>-</w:t>
      </w:r>
      <w:r w:rsidR="000B6BC1">
        <w:rPr>
          <w:rFonts w:cs="Times New Roman"/>
        </w:rPr>
        <w:t xml:space="preserve">analysis driven </w:t>
      </w:r>
      <w:r>
        <w:rPr>
          <w:rFonts w:cs="Times New Roman"/>
        </w:rPr>
        <w:t>study</w:t>
      </w:r>
      <w:r w:rsidR="000B6BC1">
        <w:rPr>
          <w:rFonts w:cs="Times New Roman"/>
        </w:rPr>
        <w:t xml:space="preserve">, there are several limitations of this </w:t>
      </w:r>
      <w:r>
        <w:rPr>
          <w:rFonts w:cs="Times New Roman"/>
        </w:rPr>
        <w:t>analysis</w:t>
      </w:r>
      <w:r w:rsidR="000B6BC1">
        <w:rPr>
          <w:rFonts w:cs="Times New Roman"/>
        </w:rPr>
        <w:t xml:space="preserve">. </w:t>
      </w:r>
      <w:r w:rsidR="000D0790">
        <w:rPr>
          <w:rFonts w:cs="Times New Roman"/>
        </w:rPr>
        <w:t>First</w:t>
      </w:r>
      <w:r>
        <w:rPr>
          <w:rFonts w:cs="Times New Roman"/>
        </w:rPr>
        <w:t>,</w:t>
      </w:r>
      <w:r w:rsidR="000B6BC1">
        <w:rPr>
          <w:rFonts w:cs="Times New Roman"/>
        </w:rPr>
        <w:t xml:space="preserve"> we did not report a control group, although our in</w:t>
      </w:r>
      <w:r w:rsidR="00BF7D9B">
        <w:rPr>
          <w:rFonts w:cs="Times New Roman"/>
        </w:rPr>
        <w:t>t</w:t>
      </w:r>
      <w:r w:rsidR="000B6BC1">
        <w:rPr>
          <w:rFonts w:cs="Times New Roman"/>
        </w:rPr>
        <w:t>ention was not to describe the symptoms as discr</w:t>
      </w:r>
      <w:r w:rsidR="00BF7D9B">
        <w:rPr>
          <w:rFonts w:cs="Times New Roman"/>
        </w:rPr>
        <w:t xml:space="preserve">iminant from normal subjects. </w:t>
      </w:r>
      <w:r w:rsidR="005A2DA5">
        <w:rPr>
          <w:rFonts w:cs="Times New Roman"/>
        </w:rPr>
        <w:t>Thus</w:t>
      </w:r>
      <w:r w:rsidR="00BF7D9B">
        <w:rPr>
          <w:rFonts w:cs="Times New Roman"/>
        </w:rPr>
        <w:t>,</w:t>
      </w:r>
      <w:r w:rsidR="000B6BC1">
        <w:rPr>
          <w:rFonts w:cs="Times New Roman"/>
        </w:rPr>
        <w:t xml:space="preserve"> the importance of including a control</w:t>
      </w:r>
      <w:r w:rsidR="00DE620A">
        <w:rPr>
          <w:rFonts w:cs="Times New Roman"/>
        </w:rPr>
        <w:t xml:space="preserve"> </w:t>
      </w:r>
      <w:r w:rsidR="000B6BC1">
        <w:rPr>
          <w:rFonts w:cs="Times New Roman"/>
        </w:rPr>
        <w:t xml:space="preserve">group could be questioned. </w:t>
      </w:r>
      <w:r w:rsidR="006544F0">
        <w:rPr>
          <w:rFonts w:cs="Times New Roman"/>
        </w:rPr>
        <w:t>Second</w:t>
      </w:r>
      <w:r>
        <w:rPr>
          <w:rFonts w:cs="Times New Roman"/>
        </w:rPr>
        <w:t>,</w:t>
      </w:r>
      <w:r w:rsidR="000B6BC1">
        <w:rPr>
          <w:rFonts w:cs="Times New Roman"/>
        </w:rPr>
        <w:t xml:space="preserve"> NMS profiles in advanced </w:t>
      </w:r>
      <w:r w:rsidR="00137374">
        <w:rPr>
          <w:rFonts w:cs="Times New Roman"/>
        </w:rPr>
        <w:t>Parkinson’s disease</w:t>
      </w:r>
      <w:r w:rsidR="000B6BC1">
        <w:rPr>
          <w:rFonts w:cs="Times New Roman"/>
        </w:rPr>
        <w:t xml:space="preserve"> could also be influenced by patterns of dopaminergic therapy</w:t>
      </w:r>
      <w:r>
        <w:rPr>
          <w:rFonts w:cs="Times New Roman"/>
        </w:rPr>
        <w:t>,</w:t>
      </w:r>
      <w:r w:rsidR="000B6BC1">
        <w:rPr>
          <w:rFonts w:cs="Times New Roman"/>
        </w:rPr>
        <w:t xml:space="preserve"> particularly hallucinations and orthostatic problems. However, these symptoms did not emerge as key drivers of any of the domains that we have identified in both </w:t>
      </w:r>
      <w:r w:rsidR="00D840F5">
        <w:rPr>
          <w:rFonts w:cs="Times New Roman"/>
        </w:rPr>
        <w:t>the domain and symptoms clusterings</w:t>
      </w:r>
      <w:r w:rsidR="000B6BC1">
        <w:rPr>
          <w:rFonts w:cs="Times New Roman"/>
        </w:rPr>
        <w:t>.</w:t>
      </w:r>
      <w:r w:rsidR="00BF7D9B">
        <w:rPr>
          <w:rFonts w:cs="Times New Roman"/>
        </w:rPr>
        <w:t xml:space="preserve"> On the other hand, the study has several </w:t>
      </w:r>
      <w:r>
        <w:rPr>
          <w:rFonts w:cs="Times New Roman"/>
        </w:rPr>
        <w:t xml:space="preserve">notable </w:t>
      </w:r>
      <w:r w:rsidR="00BF7D9B">
        <w:rPr>
          <w:rFonts w:cs="Times New Roman"/>
        </w:rPr>
        <w:t xml:space="preserve">strengths: (1) the sample size, </w:t>
      </w:r>
      <w:r>
        <w:rPr>
          <w:rFonts w:cs="Times New Roman"/>
        </w:rPr>
        <w:t xml:space="preserve">which </w:t>
      </w:r>
      <w:r w:rsidR="00BF7D9B">
        <w:rPr>
          <w:rFonts w:cs="Times New Roman"/>
        </w:rPr>
        <w:t xml:space="preserve">to our knowledge </w:t>
      </w:r>
      <w:r>
        <w:rPr>
          <w:rFonts w:cs="Times New Roman"/>
        </w:rPr>
        <w:t xml:space="preserve">is </w:t>
      </w:r>
      <w:r w:rsidR="00BF7D9B">
        <w:rPr>
          <w:rFonts w:cs="Times New Roman"/>
        </w:rPr>
        <w:t xml:space="preserve">the largest </w:t>
      </w:r>
      <w:r w:rsidR="000E1DBD">
        <w:rPr>
          <w:rFonts w:cs="Times New Roman"/>
        </w:rPr>
        <w:t xml:space="preserve">international sample </w:t>
      </w:r>
      <w:r w:rsidR="00BF7D9B">
        <w:rPr>
          <w:rFonts w:cs="Times New Roman"/>
        </w:rPr>
        <w:t xml:space="preserve">in this kind of </w:t>
      </w:r>
      <w:r>
        <w:rPr>
          <w:rFonts w:cs="Times New Roman"/>
        </w:rPr>
        <w:t>study</w:t>
      </w:r>
      <w:r w:rsidR="00BF7D9B">
        <w:rPr>
          <w:rFonts w:cs="Times New Roman"/>
        </w:rPr>
        <w:t>; (2) inclusion of patients in all disease stages;</w:t>
      </w:r>
      <w:r w:rsidR="000E1DBD">
        <w:rPr>
          <w:rFonts w:cs="Times New Roman"/>
        </w:rPr>
        <w:t xml:space="preserve"> and </w:t>
      </w:r>
      <w:r w:rsidR="00BF7D9B">
        <w:rPr>
          <w:rFonts w:cs="Times New Roman"/>
        </w:rPr>
        <w:t>(3) the use of detailed assessments both for motor and non-motor symptoms</w:t>
      </w:r>
      <w:r w:rsidR="000E1DBD">
        <w:rPr>
          <w:rFonts w:cs="Times New Roman"/>
        </w:rPr>
        <w:t xml:space="preserve">. </w:t>
      </w:r>
    </w:p>
    <w:p w14:paraId="3E3E33EC" w14:textId="398ED010" w:rsidR="008A79BE" w:rsidRDefault="008A79BE" w:rsidP="00B16199">
      <w:pPr>
        <w:ind w:firstLine="720"/>
        <w:rPr>
          <w:rFonts w:cs="Times New Roman"/>
        </w:rPr>
      </w:pPr>
      <w:r>
        <w:rPr>
          <w:rFonts w:cs="Times New Roman"/>
        </w:rPr>
        <w:t xml:space="preserve">In conclusion, we present statistical confirmation of the growing recognition of NMS-dominant presentation of </w:t>
      </w:r>
      <w:r w:rsidR="00137374">
        <w:rPr>
          <w:rFonts w:cs="Times New Roman"/>
        </w:rPr>
        <w:t>Parkinson’s disease</w:t>
      </w:r>
      <w:r>
        <w:rPr>
          <w:rFonts w:cs="Times New Roman"/>
        </w:rPr>
        <w:t xml:space="preserve"> and its heterogeneity as shown in the clusters. The specific expression of several NMS domains such as mood/anxiety, sleep/fatigue, cognition, and urinary function suggests differential patterns of neurodegeneration involving non-dopaminergic pathways, as suggested from neuropathology studies by </w:t>
      </w:r>
      <w:r w:rsidR="00FF67FF">
        <w:rPr>
          <w:rFonts w:cs="Times New Roman"/>
        </w:rPr>
        <w:t>several</w:t>
      </w:r>
      <w:r>
        <w:rPr>
          <w:rFonts w:cs="Times New Roman"/>
        </w:rPr>
        <w:t xml:space="preserve"> authors (Jellinger 2012). The clinical recognition of subtypes as reflected by</w:t>
      </w:r>
      <w:r w:rsidR="007E0039">
        <w:rPr>
          <w:rFonts w:cs="Times New Roman"/>
        </w:rPr>
        <w:t xml:space="preserve"> the</w:t>
      </w:r>
      <w:r>
        <w:rPr>
          <w:rFonts w:cs="Times New Roman"/>
        </w:rPr>
        <w:t xml:space="preserve"> domains clusters </w:t>
      </w:r>
      <m:oMath>
        <m:r>
          <m:rPr>
            <m:sty m:val="p"/>
          </m:rPr>
          <w:rPr>
            <w:rFonts w:ascii="Cambria Math" w:hAnsi="Cambria Math" w:cs="Times New Roman"/>
          </w:rPr>
          <m:t xml:space="preserve">could </m:t>
        </m:r>
      </m:oMath>
      <w:r>
        <w:rPr>
          <w:rFonts w:cs="Times New Roman"/>
        </w:rPr>
        <w:t xml:space="preserve">allow for treatments to be tailored and </w:t>
      </w:r>
      <w:r w:rsidR="00E64A00">
        <w:rPr>
          <w:rFonts w:cs="Times New Roman"/>
        </w:rPr>
        <w:t>could</w:t>
      </w:r>
      <w:r>
        <w:rPr>
          <w:rFonts w:cs="Times New Roman"/>
        </w:rPr>
        <w:t xml:space="preserve"> be the </w:t>
      </w:r>
      <w:r w:rsidR="00F133FC">
        <w:rPr>
          <w:rFonts w:cs="Times New Roman"/>
        </w:rPr>
        <w:t>beginning</w:t>
      </w:r>
      <w:r w:rsidR="00A649EB">
        <w:rPr>
          <w:rFonts w:cs="Times New Roman"/>
        </w:rPr>
        <w:t xml:space="preserve"> </w:t>
      </w:r>
      <w:r w:rsidR="00A321EF">
        <w:rPr>
          <w:rFonts w:cs="Times New Roman"/>
        </w:rPr>
        <w:t>of</w:t>
      </w:r>
      <w:r>
        <w:rPr>
          <w:rFonts w:cs="Times New Roman"/>
        </w:rPr>
        <w:t xml:space="preserve"> subtype-specific treatment packages for </w:t>
      </w:r>
      <w:r w:rsidR="00137374">
        <w:rPr>
          <w:rFonts w:cs="Times New Roman"/>
        </w:rPr>
        <w:t>Parkinson’s disease</w:t>
      </w:r>
      <w:r>
        <w:rPr>
          <w:rFonts w:cs="Times New Roman"/>
        </w:rPr>
        <w:t xml:space="preserve"> (Marras and Chaudhuri 2016). </w:t>
      </w:r>
      <w:r w:rsidR="00353BC5">
        <w:rPr>
          <w:rFonts w:cs="Times New Roman"/>
        </w:rPr>
        <w:t>In the future</w:t>
      </w:r>
      <w:r>
        <w:rPr>
          <w:rFonts w:cs="Times New Roman"/>
        </w:rPr>
        <w:t xml:space="preserve">, clinical characterisation of these groups will allow </w:t>
      </w:r>
      <w:r w:rsidR="00AE1A03">
        <w:rPr>
          <w:rFonts w:cs="Times New Roman"/>
        </w:rPr>
        <w:t xml:space="preserve">for </w:t>
      </w:r>
      <w:r>
        <w:rPr>
          <w:rFonts w:cs="Times New Roman"/>
        </w:rPr>
        <w:t>studies of natural history of the various non</w:t>
      </w:r>
      <w:r w:rsidR="007050D7">
        <w:rPr>
          <w:rFonts w:cs="Times New Roman"/>
        </w:rPr>
        <w:t>-</w:t>
      </w:r>
      <w:r>
        <w:rPr>
          <w:rFonts w:cs="Times New Roman"/>
        </w:rPr>
        <w:t>motor domin</w:t>
      </w:r>
      <w:r w:rsidR="00B23911">
        <w:rPr>
          <w:rFonts w:cs="Times New Roman"/>
        </w:rPr>
        <w:t>a</w:t>
      </w:r>
      <w:r>
        <w:rPr>
          <w:rFonts w:cs="Times New Roman"/>
        </w:rPr>
        <w:t xml:space="preserve">nt clusters identified in this </w:t>
      </w:r>
      <w:r w:rsidR="00B23911">
        <w:rPr>
          <w:rFonts w:cs="Times New Roman"/>
        </w:rPr>
        <w:t>paper</w:t>
      </w:r>
      <w:r>
        <w:rPr>
          <w:rFonts w:cs="Times New Roman"/>
        </w:rPr>
        <w:t>.</w:t>
      </w:r>
      <w:r w:rsidR="00431DA9">
        <w:rPr>
          <w:rFonts w:cs="Times New Roman"/>
        </w:rPr>
        <w:t xml:space="preserve"> Translating results to clinical management or experimental designs would require</w:t>
      </w:r>
      <w:r w:rsidR="00C7724A">
        <w:rPr>
          <w:rFonts w:cs="Times New Roman"/>
        </w:rPr>
        <w:t>,</w:t>
      </w:r>
      <w:r w:rsidR="00DE620A">
        <w:rPr>
          <w:rFonts w:cs="Times New Roman"/>
        </w:rPr>
        <w:t xml:space="preserve"> </w:t>
      </w:r>
      <w:r w:rsidR="00C7724A">
        <w:rPr>
          <w:rFonts w:cs="Times New Roman"/>
        </w:rPr>
        <w:t>using the same database,</w:t>
      </w:r>
      <w:r w:rsidR="00DE620A">
        <w:rPr>
          <w:rFonts w:cs="Times New Roman"/>
        </w:rPr>
        <w:t xml:space="preserve"> </w:t>
      </w:r>
      <w:r w:rsidR="00431DA9" w:rsidRPr="00431DA9">
        <w:rPr>
          <w:rFonts w:cs="Times New Roman"/>
        </w:rPr>
        <w:t xml:space="preserve">the </w:t>
      </w:r>
      <w:r w:rsidR="00C7724A">
        <w:rPr>
          <w:rFonts w:cs="Times New Roman"/>
        </w:rPr>
        <w:t>identification</w:t>
      </w:r>
      <w:r w:rsidR="00431DA9" w:rsidRPr="00431DA9">
        <w:rPr>
          <w:rFonts w:cs="Times New Roman"/>
        </w:rPr>
        <w:t xml:space="preserve"> of inclusion and exclusion criteria </w:t>
      </w:r>
      <w:r w:rsidR="00C7724A">
        <w:rPr>
          <w:rFonts w:cs="Times New Roman"/>
        </w:rPr>
        <w:t xml:space="preserve">of patients into </w:t>
      </w:r>
      <w:r w:rsidR="00431DA9">
        <w:rPr>
          <w:rFonts w:cs="Times New Roman"/>
        </w:rPr>
        <w:t>specific subgroups</w:t>
      </w:r>
      <w:r w:rsidR="00C7724A">
        <w:rPr>
          <w:rFonts w:cs="Times New Roman"/>
        </w:rPr>
        <w:t>.</w:t>
      </w:r>
    </w:p>
    <w:p w14:paraId="7D6A46C2" w14:textId="77777777" w:rsidR="00744ED6" w:rsidRDefault="00744ED6" w:rsidP="00B16199">
      <w:pPr>
        <w:pStyle w:val="Heading1"/>
        <w:jc w:val="both"/>
        <w:rPr>
          <w:rFonts w:cs="Times New Roman"/>
        </w:rPr>
      </w:pPr>
      <w:r>
        <w:rPr>
          <w:rFonts w:cs="Times New Roman"/>
        </w:rPr>
        <w:t>Acknowledgments</w:t>
      </w:r>
    </w:p>
    <w:p w14:paraId="5F0F7268" w14:textId="4F1B3101" w:rsidR="00B85CF0" w:rsidRPr="004A2493" w:rsidRDefault="00C42952" w:rsidP="00B16199">
      <w:pPr>
        <w:ind w:firstLine="720"/>
        <w:rPr>
          <w:rFonts w:cs="Times New Roman"/>
          <w:color w:val="000000" w:themeColor="text1"/>
          <w:shd w:val="clear" w:color="auto" w:fill="FFFFFF"/>
        </w:rPr>
      </w:pPr>
      <w:r w:rsidRPr="0041534E">
        <w:rPr>
          <w:rFonts w:cs="Times New Roman"/>
          <w:color w:val="000000" w:themeColor="text1"/>
          <w:shd w:val="clear" w:color="auto" w:fill="FFFFFF"/>
        </w:rPr>
        <w:t xml:space="preserve">We </w:t>
      </w:r>
      <w:r w:rsidR="00077883">
        <w:rPr>
          <w:rFonts w:cs="Times New Roman"/>
          <w:color w:val="000000" w:themeColor="text1"/>
          <w:shd w:val="clear" w:color="auto" w:fill="FFFFFF"/>
        </w:rPr>
        <w:t xml:space="preserve">gratefully </w:t>
      </w:r>
      <w:r w:rsidRPr="0041534E">
        <w:rPr>
          <w:rFonts w:cs="Times New Roman"/>
          <w:color w:val="000000" w:themeColor="text1"/>
          <w:shd w:val="clear" w:color="auto" w:fill="FFFFFF"/>
        </w:rPr>
        <w:t xml:space="preserve">acknowledge </w:t>
      </w:r>
      <w:r w:rsidR="0041534E" w:rsidRPr="0041534E">
        <w:rPr>
          <w:rFonts w:cs="Times New Roman"/>
          <w:color w:val="000000" w:themeColor="text1"/>
          <w:shd w:val="clear" w:color="auto" w:fill="FFFFFF"/>
        </w:rPr>
        <w:t>data collection efforts by</w:t>
      </w:r>
      <w:r w:rsidRPr="0041534E">
        <w:rPr>
          <w:rFonts w:cs="Times New Roman"/>
          <w:color w:val="000000" w:themeColor="text1"/>
          <w:shd w:val="clear" w:color="auto" w:fill="FFFFFF"/>
        </w:rPr>
        <w:t xml:space="preserve"> all contributors</w:t>
      </w:r>
      <w:r w:rsidR="0041534E" w:rsidRPr="0041534E">
        <w:rPr>
          <w:rFonts w:cs="Times New Roman"/>
          <w:color w:val="000000" w:themeColor="text1"/>
          <w:shd w:val="clear" w:color="auto" w:fill="FFFFFF"/>
        </w:rPr>
        <w:t xml:space="preserve">, </w:t>
      </w:r>
      <w:r w:rsidRPr="0041534E">
        <w:rPr>
          <w:rFonts w:cs="Times New Roman"/>
          <w:color w:val="000000" w:themeColor="text1"/>
          <w:shd w:val="clear" w:color="auto" w:fill="FFFFFF"/>
        </w:rPr>
        <w:t>collaborators</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administrative staff</w:t>
      </w:r>
      <w:r w:rsidR="0041534E" w:rsidRPr="0041534E">
        <w:rPr>
          <w:rFonts w:cs="Times New Roman"/>
          <w:color w:val="000000" w:themeColor="text1"/>
          <w:shd w:val="clear" w:color="auto" w:fill="FFFFFF"/>
        </w:rPr>
        <w:t xml:space="preserve"> related to the NILS global non-</w:t>
      </w:r>
      <w:r w:rsidRPr="0041534E">
        <w:rPr>
          <w:rFonts w:cs="Times New Roman"/>
          <w:color w:val="000000" w:themeColor="text1"/>
          <w:shd w:val="clear" w:color="auto" w:fill="FFFFFF"/>
        </w:rPr>
        <w:t>motor sympt</w:t>
      </w:r>
      <w:r w:rsidR="0041534E" w:rsidRPr="0041534E">
        <w:rPr>
          <w:rFonts w:cs="Times New Roman"/>
          <w:color w:val="000000" w:themeColor="text1"/>
          <w:shd w:val="clear" w:color="auto" w:fill="FFFFFF"/>
        </w:rPr>
        <w:t xml:space="preserve">oms of </w:t>
      </w:r>
      <w:r w:rsidR="00137374">
        <w:rPr>
          <w:rFonts w:cs="Times New Roman"/>
          <w:color w:val="000000" w:themeColor="text1"/>
          <w:shd w:val="clear" w:color="auto" w:fill="FFFFFF"/>
        </w:rPr>
        <w:t>Parkinson’s disease</w:t>
      </w:r>
      <w:r w:rsidR="0041534E" w:rsidRPr="0041534E">
        <w:rPr>
          <w:rFonts w:cs="Times New Roman"/>
          <w:color w:val="000000" w:themeColor="text1"/>
          <w:shd w:val="clear" w:color="auto" w:fill="FFFFFF"/>
        </w:rPr>
        <w:t xml:space="preserve"> natural history study, </w:t>
      </w:r>
      <w:r w:rsidRPr="0041534E">
        <w:rPr>
          <w:rFonts w:cs="Times New Roman"/>
          <w:color w:val="000000" w:themeColor="text1"/>
          <w:shd w:val="clear" w:color="auto" w:fill="FFFFFF"/>
        </w:rPr>
        <w:t xml:space="preserve">the scale </w:t>
      </w:r>
      <w:r w:rsidR="0041534E" w:rsidRPr="0041534E">
        <w:rPr>
          <w:rFonts w:cs="Times New Roman"/>
          <w:color w:val="000000" w:themeColor="text1"/>
          <w:shd w:val="clear" w:color="auto" w:fill="FFFFFF"/>
        </w:rPr>
        <w:t xml:space="preserve">development group of the </w:t>
      </w:r>
      <w:r w:rsidR="00137374">
        <w:rPr>
          <w:rFonts w:cs="Times New Roman"/>
          <w:color w:val="000000" w:themeColor="text1"/>
          <w:shd w:val="clear" w:color="auto" w:fill="FFFFFF"/>
        </w:rPr>
        <w:t>Parkinson’s disease</w:t>
      </w:r>
      <w:r w:rsidR="0041534E" w:rsidRPr="0041534E">
        <w:rPr>
          <w:rFonts w:cs="Times New Roman"/>
          <w:color w:val="000000" w:themeColor="text1"/>
          <w:shd w:val="clear" w:color="auto" w:fill="FFFFFF"/>
        </w:rPr>
        <w:t xml:space="preserve"> non-</w:t>
      </w:r>
      <w:r w:rsidRPr="0041534E">
        <w:rPr>
          <w:rFonts w:cs="Times New Roman"/>
          <w:color w:val="000000" w:themeColor="text1"/>
          <w:shd w:val="clear" w:color="auto" w:fill="FFFFFF"/>
        </w:rPr>
        <w:t>motor symptoms scale</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w:t>
      </w:r>
      <w:r w:rsidRPr="0041534E">
        <w:rPr>
          <w:rFonts w:cs="Times New Roman"/>
          <w:color w:val="000000" w:themeColor="text1"/>
          <w:shd w:val="clear" w:color="auto" w:fill="FFFFFF"/>
        </w:rPr>
        <w:lastRenderedPageBreak/>
        <w:t>and the MDS non motor study group.</w:t>
      </w:r>
      <w:r w:rsidR="00DE620A">
        <w:rPr>
          <w:rFonts w:cs="Times New Roman"/>
          <w:color w:val="000000" w:themeColor="text1"/>
          <w:shd w:val="clear" w:color="auto" w:fill="FFFFFF"/>
        </w:rPr>
        <w:t xml:space="preserve"> </w:t>
      </w:r>
      <w:r w:rsidRPr="0041534E">
        <w:rPr>
          <w:rFonts w:cs="Times New Roman"/>
          <w:color w:val="000000" w:themeColor="text1"/>
          <w:shd w:val="clear" w:color="auto" w:fill="FFFFFF"/>
        </w:rPr>
        <w:t>KRC also acknowledges the NIHR biomedical research centre at</w:t>
      </w:r>
      <w:r w:rsidR="0041534E" w:rsidRPr="0041534E">
        <w:rPr>
          <w:rFonts w:cs="Times New Roman"/>
          <w:color w:val="000000" w:themeColor="text1"/>
          <w:shd w:val="clear" w:color="auto" w:fill="FFFFFF"/>
        </w:rPr>
        <w:t xml:space="preserve"> the</w:t>
      </w:r>
      <w:r w:rsidRPr="0041534E">
        <w:rPr>
          <w:rFonts w:cs="Times New Roman"/>
          <w:color w:val="000000" w:themeColor="text1"/>
          <w:shd w:val="clear" w:color="auto" w:fill="FFFFFF"/>
        </w:rPr>
        <w:t xml:space="preserve"> Institute of Psychiatr</w:t>
      </w:r>
      <w:r w:rsidR="000B2A10">
        <w:rPr>
          <w:rFonts w:cs="Times New Roman"/>
          <w:color w:val="000000" w:themeColor="text1"/>
          <w:shd w:val="clear" w:color="auto" w:fill="FFFFFF"/>
        </w:rPr>
        <w:t>y, Psychology and Neurosciences</w:t>
      </w:r>
      <w:r w:rsidRPr="0041534E">
        <w:rPr>
          <w:rFonts w:cs="Times New Roman"/>
          <w:color w:val="000000" w:themeColor="text1"/>
          <w:shd w:val="clear" w:color="auto" w:fill="FFFFFF"/>
        </w:rPr>
        <w:t>, Kings College, London</w:t>
      </w:r>
      <w:r w:rsidR="0041534E" w:rsidRPr="0041534E">
        <w:rPr>
          <w:rFonts w:cs="Times New Roman"/>
          <w:color w:val="000000" w:themeColor="text1"/>
          <w:shd w:val="clear" w:color="auto" w:fill="FFFFFF"/>
        </w:rPr>
        <w:t>,</w:t>
      </w:r>
      <w:r w:rsidRPr="0041534E">
        <w:rPr>
          <w:rFonts w:cs="Times New Roman"/>
          <w:color w:val="000000" w:themeColor="text1"/>
          <w:shd w:val="clear" w:color="auto" w:fill="FFFFFF"/>
        </w:rPr>
        <w:t xml:space="preserve"> and the National Parkinson Foundation, USA</w:t>
      </w:r>
      <w:r w:rsidR="00077883">
        <w:rPr>
          <w:rFonts w:cs="Times New Roman"/>
          <w:color w:val="000000" w:themeColor="text1"/>
          <w:shd w:val="clear" w:color="auto" w:fill="FFFFFF"/>
        </w:rPr>
        <w:t>.</w:t>
      </w:r>
    </w:p>
    <w:p w14:paraId="6EA4E6CE" w14:textId="77777777" w:rsidR="00744ED6" w:rsidRDefault="00744ED6" w:rsidP="00B16199">
      <w:pPr>
        <w:pStyle w:val="Heading1"/>
        <w:jc w:val="both"/>
        <w:rPr>
          <w:rFonts w:cs="Times New Roman"/>
        </w:rPr>
      </w:pPr>
      <w:r>
        <w:rPr>
          <w:rFonts w:cs="Times New Roman"/>
        </w:rPr>
        <w:t>Funding</w:t>
      </w:r>
    </w:p>
    <w:p w14:paraId="32F79A9F" w14:textId="594195A7" w:rsidR="00A55C02" w:rsidRDefault="00011A07" w:rsidP="00B16199">
      <w:pPr>
        <w:ind w:firstLine="720"/>
        <w:rPr>
          <w:rFonts w:cs="Times New Roman"/>
          <w:color w:val="000000" w:themeColor="text1"/>
          <w:shd w:val="clear" w:color="auto" w:fill="FFFFFF"/>
        </w:rPr>
      </w:pPr>
      <w:r w:rsidRPr="0041534E">
        <w:rPr>
          <w:rFonts w:cs="Times New Roman"/>
          <w:color w:val="000000" w:themeColor="text1"/>
        </w:rPr>
        <w:t>JM is supported by a Barry M. Goldwater scholarship.</w:t>
      </w:r>
      <w:r w:rsidR="00DE620A">
        <w:rPr>
          <w:rFonts w:cs="Times New Roman"/>
          <w:color w:val="000000" w:themeColor="text1"/>
        </w:rPr>
        <w:t xml:space="preserve"> </w:t>
      </w:r>
      <w:r w:rsidR="00A11285" w:rsidRPr="0041534E">
        <w:rPr>
          <w:rFonts w:cs="Times New Roman"/>
          <w:color w:val="000000" w:themeColor="text1"/>
          <w:shd w:val="clear" w:color="auto" w:fill="FFFFFF"/>
        </w:rPr>
        <w:t>CB and PL have been partially supported by the Spanish Ministry of Economy and Competitiveness through the Cajal Blue Brain (C080020-09; the Spanish partner of the Blue Brain in</w:t>
      </w:r>
      <w:r w:rsidR="001966C5">
        <w:rPr>
          <w:rFonts w:cs="Times New Roman"/>
          <w:color w:val="000000" w:themeColor="text1"/>
          <w:shd w:val="clear" w:color="auto" w:fill="FFFFFF"/>
        </w:rPr>
        <w:t>itiative from EPFL) and TIN2016</w:t>
      </w:r>
      <w:r w:rsidR="00A11285" w:rsidRPr="0041534E">
        <w:rPr>
          <w:rFonts w:cs="Times New Roman"/>
          <w:color w:val="000000" w:themeColor="text1"/>
          <w:shd w:val="clear" w:color="auto" w:fill="FFFFFF"/>
        </w:rPr>
        <w:t>-79684-P projects, by the Regional Government of Madrid through the S2013/ICE-2845-CASI-CAM-CM project, and by the European Union’s Horizon 2020 research and innovation programme under grant agreement No. 720270.</w:t>
      </w:r>
    </w:p>
    <w:p w14:paraId="33500898" w14:textId="14B10F26" w:rsidR="000A20E2" w:rsidRDefault="000A20E2" w:rsidP="00B16199">
      <w:pPr>
        <w:pStyle w:val="Heading1"/>
        <w:jc w:val="both"/>
        <w:rPr>
          <w:rFonts w:cs="Times New Roman"/>
        </w:rPr>
      </w:pPr>
      <w:r>
        <w:rPr>
          <w:rFonts w:cs="Times New Roman"/>
        </w:rPr>
        <w:t>Supplementary material</w:t>
      </w:r>
    </w:p>
    <w:p w14:paraId="54E8D7BC" w14:textId="77777777" w:rsidR="000A20E2" w:rsidRPr="00804E48" w:rsidRDefault="000A20E2" w:rsidP="00B16199">
      <w:r w:rsidRPr="00804E48">
        <w:rPr>
          <w:i/>
        </w:rPr>
        <w:t>Supplementary Figure 1.</w:t>
      </w:r>
      <w:r w:rsidRPr="00804E48">
        <w:t xml:space="preserve"> </w:t>
      </w:r>
      <w:r w:rsidRPr="00804E48">
        <w:rPr>
          <w:b/>
        </w:rPr>
        <w:t>Gap statistics.</w:t>
      </w:r>
      <w:r w:rsidRPr="00804E48">
        <w:t xml:space="preserve"> Plot of the gap statistic </w:t>
      </w:r>
      <m:oMath>
        <m:r>
          <m:rPr>
            <m:sty m:val="p"/>
          </m:rPr>
          <w:rPr>
            <w:rFonts w:ascii="Cambria Math" w:hAnsi="Cambria Math"/>
          </w:rPr>
          <m:t>Gap</m:t>
        </m:r>
        <m:r>
          <w:rPr>
            <w:rFonts w:ascii="Cambria Math" w:hAnsi="Cambria Math"/>
          </w:rPr>
          <m:t xml:space="preserve">(k) </m:t>
        </m:r>
      </m:oMath>
      <w:r w:rsidRPr="00804E48">
        <w:t xml:space="preserve">versus number of clusters with k-means on 500 bootstrapped samples of a) the domains clustering, and b) the symptoms clustering. Error bars represent </w:t>
      </w:r>
      <m:oMath>
        <m:r>
          <w:rPr>
            <w:rFonts w:ascii="Cambria Math" w:hAnsi="Cambria Math"/>
          </w:rPr>
          <m:t>±1</m:t>
        </m:r>
      </m:oMath>
      <w:r w:rsidRPr="00804E48">
        <w:t xml:space="preserve"> standard error (</w:t>
      </w:r>
      <m:oMath>
        <m:r>
          <m:rPr>
            <m:sty m:val="p"/>
          </m:rPr>
          <w:rPr>
            <w:rFonts w:ascii="Cambria Math" w:hAnsi="Cambria Math"/>
          </w:rPr>
          <m:t>se</m:t>
        </m:r>
      </m:oMath>
      <w:r w:rsidRPr="00804E48">
        <w:t xml:space="preserve">). Per the method described in Tibshirani </w:t>
      </w:r>
      <w:r w:rsidRPr="00804E48">
        <w:rPr>
          <w:i/>
        </w:rPr>
        <w:t>et al</w:t>
      </w:r>
      <w:r w:rsidRPr="00804E48">
        <w:t xml:space="preserve">. (2001), the optimal number of clusters is the smallest k such that </w:t>
      </w:r>
      <m:oMath>
        <m:r>
          <m:rPr>
            <m:sty m:val="p"/>
          </m:rPr>
          <w:rPr>
            <w:rFonts w:ascii="Cambria Math" w:hAnsi="Cambria Math"/>
          </w:rPr>
          <m:t>Ga</m:t>
        </m:r>
        <m:r>
          <m:rPr>
            <m:sty m:val="p"/>
          </m:rPr>
          <w:rPr>
            <w:rFonts w:ascii="Cambria Math" w:hAnsi="Cambria Math"/>
            <w:color w:val="000000" w:themeColor="text1"/>
          </w:rPr>
          <m:t>p</m:t>
        </m:r>
        <m:d>
          <m:dPr>
            <m:ctrlPr>
              <w:rPr>
                <w:rFonts w:ascii="Cambria Math" w:hAnsi="Cambria Math"/>
                <w:color w:val="000000" w:themeColor="text1"/>
              </w:rPr>
            </m:ctrlPr>
          </m:dPr>
          <m:e>
            <m:r>
              <w:rPr>
                <w:rFonts w:ascii="Cambria Math" w:hAnsi="Cambria Math"/>
                <w:color w:val="000000" w:themeColor="text1"/>
              </w:rPr>
              <m:t>k</m:t>
            </m:r>
          </m:e>
        </m:d>
        <m:r>
          <m:rPr>
            <m:sty m:val="p"/>
          </m:rPr>
          <w:rPr>
            <w:rFonts w:ascii="Cambria Math" w:hAnsi="Cambria Math"/>
            <w:color w:val="000000" w:themeColor="text1"/>
          </w:rPr>
          <m:t>≥Gap</m:t>
        </m:r>
        <m:d>
          <m:dPr>
            <m:ctrlPr>
              <w:rPr>
                <w:rFonts w:ascii="Cambria Math" w:hAnsi="Cambria Math"/>
                <w:color w:val="000000" w:themeColor="text1"/>
              </w:rPr>
            </m:ctrlPr>
          </m:dPr>
          <m:e>
            <m:r>
              <w:rPr>
                <w:rFonts w:ascii="Cambria Math" w:hAnsi="Cambria Math"/>
                <w:color w:val="000000" w:themeColor="text1"/>
              </w:rPr>
              <m:t>k</m:t>
            </m:r>
            <m:r>
              <m:rPr>
                <m:sty m:val="p"/>
              </m:rPr>
              <w:rPr>
                <w:rFonts w:ascii="Cambria Math" w:hAnsi="Cambria Math"/>
                <w:color w:val="000000" w:themeColor="text1"/>
              </w:rPr>
              <m:t>+1</m:t>
            </m:r>
          </m:e>
        </m: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se</m:t>
            </m:r>
          </m:e>
          <m:sub>
            <m:r>
              <w:rPr>
                <w:rFonts w:ascii="Cambria Math" w:hAnsi="Cambria Math"/>
                <w:color w:val="000000" w:themeColor="text1"/>
              </w:rPr>
              <m:t>k</m:t>
            </m:r>
            <m:r>
              <m:rPr>
                <m:sty m:val="p"/>
              </m:rPr>
              <w:rPr>
                <w:rFonts w:ascii="Cambria Math" w:hAnsi="Cambria Math"/>
                <w:color w:val="000000" w:themeColor="text1"/>
              </w:rPr>
              <m:t>+1</m:t>
            </m:r>
          </m:sub>
        </m:sSub>
        <m:r>
          <m:rPr>
            <m:sty m:val="p"/>
          </m:rPr>
          <w:rPr>
            <w:rFonts w:ascii="Cambria Math" w:hAnsi="Cambria Math"/>
          </w:rPr>
          <m:t>.</m:t>
        </m:r>
      </m:oMath>
      <w:r w:rsidRPr="00804E48">
        <w:t xml:space="preserve"> For the domains clustering, </w:t>
      </w:r>
      <m:oMath>
        <m:r>
          <w:rPr>
            <w:rFonts w:ascii="Cambria Math" w:hAnsi="Cambria Math"/>
          </w:rPr>
          <m:t>k=4</m:t>
        </m:r>
      </m:oMath>
      <w:r w:rsidRPr="00804E48">
        <w:t xml:space="preserve">; for the symptoms clustering, </w:t>
      </w:r>
      <m:oMath>
        <m:r>
          <w:rPr>
            <w:rFonts w:ascii="Cambria Math" w:hAnsi="Cambria Math"/>
          </w:rPr>
          <m:t>k=6</m:t>
        </m:r>
      </m:oMath>
      <w:r w:rsidRPr="00804E48">
        <w:t xml:space="preserve">. The gap statistic for the optimal </w:t>
      </w:r>
      <m:oMath>
        <m:r>
          <w:rPr>
            <w:rFonts w:ascii="Cambria Math" w:hAnsi="Cambria Math"/>
          </w:rPr>
          <m:t>k</m:t>
        </m:r>
      </m:oMath>
      <w:r w:rsidRPr="00804E48">
        <w:t xml:space="preserve"> and the comparison to </w:t>
      </w:r>
      <m:oMath>
        <m:r>
          <w:rPr>
            <w:rFonts w:ascii="Cambria Math" w:hAnsi="Cambria Math"/>
          </w:rPr>
          <m:t>k+1</m:t>
        </m:r>
      </m:oMath>
      <w:r w:rsidRPr="00804E48">
        <w:t>are marked with dotted lines.</w:t>
      </w:r>
    </w:p>
    <w:p w14:paraId="64FA7B62" w14:textId="77777777" w:rsidR="000A20E2" w:rsidRDefault="000A20E2" w:rsidP="00B16199">
      <w:pPr>
        <w:rPr>
          <w:rFonts w:cs="Times New Roman"/>
          <w:color w:val="000000" w:themeColor="text1"/>
          <w:shd w:val="clear" w:color="auto" w:fill="FFFFFF"/>
        </w:rPr>
      </w:pPr>
    </w:p>
    <w:p w14:paraId="4E8B682E" w14:textId="77777777" w:rsidR="00804E48" w:rsidRPr="00804E48" w:rsidRDefault="00804E48" w:rsidP="00B16199">
      <w:r w:rsidRPr="00804E48">
        <w:rPr>
          <w:i/>
        </w:rPr>
        <w:t>Supplementary Figure 2.</w:t>
      </w:r>
      <w:r w:rsidRPr="00804E48">
        <w:t xml:space="preserve"> </w:t>
      </w:r>
      <w:r w:rsidRPr="00804E48">
        <w:rPr>
          <w:b/>
        </w:rPr>
        <w:t xml:space="preserve">Domains clustering boxplots. </w:t>
      </w:r>
      <w:r w:rsidRPr="00804E48">
        <w:t>Boxplots for domains clustering for each symptom and cluster.</w:t>
      </w:r>
    </w:p>
    <w:p w14:paraId="31399E90" w14:textId="77777777" w:rsidR="00804E48" w:rsidRDefault="00804E48" w:rsidP="00B16199">
      <w:pPr>
        <w:rPr>
          <w:rFonts w:cs="Times New Roman"/>
          <w:color w:val="000000" w:themeColor="text1"/>
          <w:shd w:val="clear" w:color="auto" w:fill="FFFFFF"/>
        </w:rPr>
      </w:pPr>
    </w:p>
    <w:p w14:paraId="26456B77" w14:textId="4DF9040C" w:rsidR="00804E48" w:rsidRPr="00804E48" w:rsidRDefault="00804E48" w:rsidP="00B16199">
      <w:r w:rsidRPr="00804E48">
        <w:rPr>
          <w:i/>
        </w:rPr>
        <w:t>Supplementary Figure 3.</w:t>
      </w:r>
      <w:r w:rsidRPr="00804E48">
        <w:t xml:space="preserve"> </w:t>
      </w:r>
      <w:r w:rsidRPr="00804E48">
        <w:rPr>
          <w:b/>
        </w:rPr>
        <w:t xml:space="preserve">Correlation with </w:t>
      </w:r>
      <w:r w:rsidR="00137374">
        <w:rPr>
          <w:b/>
        </w:rPr>
        <w:t>disease</w:t>
      </w:r>
      <w:r w:rsidRPr="00804E48">
        <w:rPr>
          <w:b/>
        </w:rPr>
        <w:t xml:space="preserve"> duration. </w:t>
      </w:r>
      <w:r w:rsidRPr="00804E48">
        <w:t>Correlation of applica</w:t>
      </w:r>
      <w:r w:rsidR="000B7B65">
        <w:t xml:space="preserve">ble variables with </w:t>
      </w:r>
      <w:r w:rsidR="00137374">
        <w:t>disease</w:t>
      </w:r>
      <w:r w:rsidR="000B7B65">
        <w:t xml:space="preserve"> duration.</w:t>
      </w:r>
    </w:p>
    <w:p w14:paraId="0ADD69FB" w14:textId="77777777" w:rsidR="00804E48" w:rsidRDefault="00804E48" w:rsidP="00B16199">
      <w:pPr>
        <w:rPr>
          <w:rFonts w:cs="Times New Roman"/>
          <w:color w:val="000000" w:themeColor="text1"/>
          <w:shd w:val="clear" w:color="auto" w:fill="FFFFFF"/>
        </w:rPr>
      </w:pPr>
    </w:p>
    <w:p w14:paraId="44171CC8" w14:textId="269D1E0F" w:rsidR="00A55C02" w:rsidRPr="00804E48" w:rsidRDefault="00804E48" w:rsidP="00B16199">
      <w:r w:rsidRPr="00804E48">
        <w:rPr>
          <w:i/>
        </w:rPr>
        <w:t>Supplementary Figure 4.</w:t>
      </w:r>
      <w:r w:rsidRPr="00804E48">
        <w:t xml:space="preserve"> </w:t>
      </w:r>
      <w:r w:rsidRPr="00804E48">
        <w:rPr>
          <w:b/>
        </w:rPr>
        <w:t xml:space="preserve">Symptoms against </w:t>
      </w:r>
      <w:r w:rsidR="00137374">
        <w:rPr>
          <w:b/>
        </w:rPr>
        <w:t>disease</w:t>
      </w:r>
      <w:r w:rsidRPr="00804E48">
        <w:rPr>
          <w:b/>
        </w:rPr>
        <w:t xml:space="preserve"> duration. </w:t>
      </w:r>
      <w:r w:rsidRPr="00804E48">
        <w:t>For clarity, scatterplot points are colored according to cluster and jittered. Smoothed loess curves for each cluster are drawn in their respective cluster colors. The black curve is the curve for the entire population, and the global mean scor</w:t>
      </w:r>
      <w:r>
        <w:t>e is marked with a dotted line.</w:t>
      </w:r>
      <w:r w:rsidR="00A55C02">
        <w:rPr>
          <w:rFonts w:cs="Times New Roman"/>
          <w:color w:val="000000" w:themeColor="text1"/>
          <w:shd w:val="clear" w:color="auto" w:fill="FFFFFF"/>
        </w:rPr>
        <w:br w:type="page"/>
      </w:r>
    </w:p>
    <w:p w14:paraId="7DCB356B" w14:textId="77777777" w:rsidR="00A55C02" w:rsidRDefault="00A55C02" w:rsidP="00B16199">
      <w:pPr>
        <w:pStyle w:val="Heading1"/>
        <w:jc w:val="both"/>
        <w:rPr>
          <w:rFonts w:cs="Times New Roman"/>
        </w:rPr>
      </w:pPr>
      <w:r>
        <w:rPr>
          <w:rFonts w:cs="Times New Roman"/>
        </w:rPr>
        <w:lastRenderedPageBreak/>
        <w:t>References</w:t>
      </w:r>
    </w:p>
    <w:p w14:paraId="77CD52E9" w14:textId="77777777" w:rsidR="00A55C02" w:rsidRPr="007A1E77" w:rsidRDefault="00A55C02" w:rsidP="00B16199">
      <w:pPr>
        <w:pStyle w:val="References"/>
        <w:spacing w:before="0" w:after="0"/>
      </w:pPr>
      <w:r w:rsidRPr="007A1E77">
        <w:t>Burn DJ, Landau S, Hindle JV, Samuel M, Wilson KC, Hurt CS, Brown RG; PROMS-PD Study Group. Parkinson’s disease motor subtypes and mood. Mov Disord 2012;27(3)</w:t>
      </w:r>
      <w:r>
        <w:t>:</w:t>
      </w:r>
      <w:r w:rsidRPr="007A1E77">
        <w:t>379–86.</w:t>
      </w:r>
    </w:p>
    <w:p w14:paraId="1AF2BD64" w14:textId="77777777" w:rsidR="00A55C02" w:rsidRPr="007A1E77" w:rsidRDefault="00A55C02" w:rsidP="00B16199">
      <w:pPr>
        <w:pStyle w:val="References"/>
        <w:keepNext/>
        <w:spacing w:before="0" w:after="0"/>
      </w:pPr>
    </w:p>
    <w:p w14:paraId="6D586BD5" w14:textId="77777777" w:rsidR="00A55C02" w:rsidRPr="007A1E77" w:rsidRDefault="00A55C02" w:rsidP="00B16199">
      <w:pPr>
        <w:pStyle w:val="References"/>
        <w:keepNext/>
        <w:spacing w:before="0" w:after="0"/>
        <w:rPr>
          <w:lang w:val="es-ES"/>
        </w:rPr>
      </w:pPr>
      <w:r w:rsidRPr="007A1E77">
        <w:t xml:space="preserve">Chaudhuri KR, Martinez-Martin P, Brown RG, Sethi K, Stocchi F, Odin P </w:t>
      </w:r>
      <w:r w:rsidRPr="007A1E77">
        <w:rPr>
          <w:i/>
        </w:rPr>
        <w:t>et al</w:t>
      </w:r>
      <w:r w:rsidRPr="007A1E77">
        <w:t xml:space="preserve">. The metric properties of a novel non-motor symptoms scale for Parkinson’s disease: results from an international pilot study. </w:t>
      </w:r>
      <w:r w:rsidRPr="007A1E77">
        <w:rPr>
          <w:lang w:val="es-ES"/>
        </w:rPr>
        <w:t>Mov Disord</w:t>
      </w:r>
      <w:r>
        <w:rPr>
          <w:lang w:val="es-ES"/>
        </w:rPr>
        <w:t xml:space="preserve"> 2007;22(13):</w:t>
      </w:r>
      <w:r w:rsidRPr="007A1E77">
        <w:rPr>
          <w:lang w:val="es-ES"/>
        </w:rPr>
        <w:t>1901–11.</w:t>
      </w:r>
    </w:p>
    <w:p w14:paraId="742DC7A8" w14:textId="77777777" w:rsidR="00A55C02" w:rsidRPr="007A1E77" w:rsidRDefault="00A55C02" w:rsidP="00B16199">
      <w:pPr>
        <w:pStyle w:val="References"/>
        <w:spacing w:before="0" w:after="0"/>
        <w:rPr>
          <w:lang w:val="es-ES"/>
        </w:rPr>
      </w:pPr>
    </w:p>
    <w:p w14:paraId="1B516CD9" w14:textId="77777777" w:rsidR="00A55C02" w:rsidRPr="007A1E77" w:rsidRDefault="00A55C02" w:rsidP="00B16199">
      <w:pPr>
        <w:pStyle w:val="References"/>
        <w:spacing w:before="0" w:after="0"/>
      </w:pPr>
      <w:r w:rsidRPr="007A1E77">
        <w:rPr>
          <w:lang w:val="es-ES"/>
        </w:rPr>
        <w:t xml:space="preserve">Erro R, Vitale C, Amboni M, Picillo M, Moccia M, Longo K, </w:t>
      </w:r>
      <w:r w:rsidRPr="007A1E77">
        <w:rPr>
          <w:i/>
          <w:lang w:val="es-ES"/>
        </w:rPr>
        <w:t>et al</w:t>
      </w:r>
      <w:r w:rsidRPr="007A1E77">
        <w:rPr>
          <w:lang w:val="es-ES"/>
        </w:rPr>
        <w:t xml:space="preserve">. </w:t>
      </w:r>
      <w:r w:rsidRPr="007A1E77">
        <w:t>The heterogeneity of early Parkinson’s disease: a cluster analysis on newly diagnosed untreated patients. PLoS ONE 2013;8(8):e70244.</w:t>
      </w:r>
    </w:p>
    <w:p w14:paraId="1DC97B34" w14:textId="77777777" w:rsidR="00A55C02" w:rsidRPr="007A1E77" w:rsidRDefault="00A55C02" w:rsidP="00B16199">
      <w:pPr>
        <w:pStyle w:val="References"/>
        <w:spacing w:before="0" w:after="0"/>
      </w:pPr>
    </w:p>
    <w:p w14:paraId="55884079" w14:textId="77777777" w:rsidR="00A55C02" w:rsidRPr="007A1E77" w:rsidRDefault="00A55C02" w:rsidP="00B16199">
      <w:pPr>
        <w:pStyle w:val="References"/>
        <w:spacing w:before="0" w:after="0"/>
      </w:pPr>
      <w:r w:rsidRPr="007A1E77">
        <w:t>Flensborg Damholdt M, Shevlin M, Borghammer P, Larsen L, Ostergaard K. Clinical heterogeneity in Parkinson’s disease revisited: a latent profile analysis. Acta Neurol Scand</w:t>
      </w:r>
      <w:r>
        <w:t xml:space="preserve"> </w:t>
      </w:r>
      <w:r w:rsidRPr="007A1E77">
        <w:t>2012;125(5):311–8.</w:t>
      </w:r>
    </w:p>
    <w:p w14:paraId="671E3FD7" w14:textId="77777777" w:rsidR="00A55C02" w:rsidRPr="007A1E77" w:rsidRDefault="00A55C02" w:rsidP="00B16199">
      <w:pPr>
        <w:pStyle w:val="References"/>
        <w:spacing w:before="0" w:after="0"/>
      </w:pPr>
    </w:p>
    <w:p w14:paraId="0E840BCD" w14:textId="77777777" w:rsidR="00A55C02" w:rsidRPr="007A1E77" w:rsidRDefault="00A55C02" w:rsidP="00B16199">
      <w:pPr>
        <w:pStyle w:val="References"/>
        <w:spacing w:before="0" w:after="0"/>
      </w:pPr>
      <w:r w:rsidRPr="007A1E77">
        <w:t>Gibb WR, Lees AJ. The relevance of the Lewy body to</w:t>
      </w:r>
      <w:r>
        <w:t xml:space="preserve"> the pathogenesis of idiopathic </w:t>
      </w:r>
      <w:r w:rsidRPr="007A1E77">
        <w:t>Parkinson’s disease. J Neurol Neurosurg Psychiatry 1988;51(6):745–52.</w:t>
      </w:r>
    </w:p>
    <w:p w14:paraId="7AC57223" w14:textId="77777777" w:rsidR="00A55C02" w:rsidRPr="007A1E77" w:rsidRDefault="00A55C02" w:rsidP="00B16199">
      <w:pPr>
        <w:pStyle w:val="References"/>
        <w:tabs>
          <w:tab w:val="left" w:pos="5380"/>
        </w:tabs>
        <w:spacing w:before="0" w:after="0"/>
      </w:pPr>
      <w:r w:rsidRPr="007A1E77">
        <w:tab/>
      </w:r>
    </w:p>
    <w:p w14:paraId="03B8B18A" w14:textId="77777777" w:rsidR="00A55C02" w:rsidRPr="007A1E77" w:rsidRDefault="00A55C02" w:rsidP="00B16199">
      <w:pPr>
        <w:pStyle w:val="References"/>
        <w:spacing w:before="0" w:after="0"/>
      </w:pPr>
      <w:r w:rsidRPr="007A1E77">
        <w:t>Gjerløff T, Fedorova T, Knudsen K, Munk OL, Nahimi A, Jacobsen S, et al. Imaging</w:t>
      </w:r>
    </w:p>
    <w:p w14:paraId="5F7FA252" w14:textId="77777777" w:rsidR="00A55C02" w:rsidRPr="007A1E77" w:rsidRDefault="00A55C02" w:rsidP="00B16199">
      <w:pPr>
        <w:pStyle w:val="References"/>
        <w:spacing w:before="0" w:after="0"/>
      </w:pPr>
      <w:r w:rsidRPr="007A1E77">
        <w:t>acetylcholinesterase density in peripheral organs in Parkinson's disease with 11C-donepezil PET. Brain 2015;138(Pt 3):653–63.</w:t>
      </w:r>
    </w:p>
    <w:p w14:paraId="3E82FD8E" w14:textId="77777777" w:rsidR="00A55C02" w:rsidRPr="007A1E77" w:rsidRDefault="00A55C02" w:rsidP="00B16199">
      <w:pPr>
        <w:pStyle w:val="References"/>
        <w:spacing w:before="0" w:after="0"/>
      </w:pPr>
    </w:p>
    <w:p w14:paraId="4245FB4A" w14:textId="77777777" w:rsidR="00A55C02" w:rsidRPr="007A1E77" w:rsidRDefault="00A55C02" w:rsidP="00B16199">
      <w:pPr>
        <w:pStyle w:val="References"/>
        <w:spacing w:before="0" w:after="0"/>
      </w:pPr>
      <w:r w:rsidRPr="007A1E77">
        <w:t>Graham JM, Sagar HJ. A data-driven approach to the study of heterogeneity in idiopathic Parkinson’s disease: identification of three distinct subtypes. Mov Disord 19</w:t>
      </w:r>
      <w:r>
        <w:t>99;14(1):</w:t>
      </w:r>
      <w:r w:rsidRPr="007A1E77">
        <w:t>10–20.</w:t>
      </w:r>
    </w:p>
    <w:p w14:paraId="11C62365" w14:textId="77777777" w:rsidR="00A55C02" w:rsidRPr="007A1E77" w:rsidRDefault="00A55C02" w:rsidP="00B16199">
      <w:pPr>
        <w:pStyle w:val="References"/>
        <w:spacing w:before="0" w:after="0"/>
      </w:pPr>
    </w:p>
    <w:p w14:paraId="7948A78A" w14:textId="77777777" w:rsidR="00A55C02" w:rsidRPr="007A1E77" w:rsidRDefault="00A55C02" w:rsidP="00B16199">
      <w:pPr>
        <w:pStyle w:val="References"/>
        <w:spacing w:before="0" w:after="0"/>
      </w:pPr>
      <w:r w:rsidRPr="007A1E77">
        <w:t>Hoehn MM, Yahr MD. Parkinsonism: onset, progression, and mo</w:t>
      </w:r>
      <w:r>
        <w:t>rtality. Neurology 1967;17(5):</w:t>
      </w:r>
      <w:r w:rsidRPr="007A1E77">
        <w:t>427–42.</w:t>
      </w:r>
    </w:p>
    <w:p w14:paraId="73504EC4" w14:textId="77777777" w:rsidR="00A55C02" w:rsidRPr="007A1E77" w:rsidRDefault="00A55C02" w:rsidP="00B16199">
      <w:pPr>
        <w:widowControl w:val="0"/>
        <w:tabs>
          <w:tab w:val="left" w:pos="220"/>
          <w:tab w:val="left" w:pos="720"/>
        </w:tabs>
        <w:autoSpaceDE w:val="0"/>
        <w:autoSpaceDN w:val="0"/>
        <w:adjustRightInd w:val="0"/>
        <w:rPr>
          <w:rFonts w:cs="Times New Roman"/>
        </w:rPr>
      </w:pPr>
    </w:p>
    <w:p w14:paraId="6AEABC4C" w14:textId="77777777" w:rsidR="00A55C02" w:rsidRPr="007A1E77" w:rsidRDefault="00A55C02" w:rsidP="00B16199">
      <w:pPr>
        <w:widowControl w:val="0"/>
        <w:tabs>
          <w:tab w:val="left" w:pos="220"/>
          <w:tab w:val="left" w:pos="720"/>
        </w:tabs>
        <w:autoSpaceDE w:val="0"/>
        <w:autoSpaceDN w:val="0"/>
        <w:adjustRightInd w:val="0"/>
        <w:rPr>
          <w:rFonts w:cs="Times New Roman"/>
        </w:rPr>
      </w:pPr>
      <w:r w:rsidRPr="007A1E77">
        <w:rPr>
          <w:rFonts w:cs="Times New Roman"/>
        </w:rPr>
        <w:t>Hubert L, Arabie P. Comparing partitions. J Classification 1985;2(1):193–218.</w:t>
      </w:r>
    </w:p>
    <w:p w14:paraId="4A469CA1" w14:textId="77777777" w:rsidR="00A55C02" w:rsidRPr="007A1E77" w:rsidRDefault="00A55C02" w:rsidP="00B16199">
      <w:pPr>
        <w:widowControl w:val="0"/>
        <w:tabs>
          <w:tab w:val="left" w:pos="220"/>
          <w:tab w:val="left" w:pos="720"/>
        </w:tabs>
        <w:autoSpaceDE w:val="0"/>
        <w:autoSpaceDN w:val="0"/>
        <w:adjustRightInd w:val="0"/>
        <w:rPr>
          <w:rFonts w:eastAsia="MS Mincho" w:cs="Times New Roman"/>
        </w:rPr>
      </w:pPr>
    </w:p>
    <w:p w14:paraId="11F3B16B" w14:textId="77777777" w:rsidR="00A55C02" w:rsidRPr="007A1E77" w:rsidRDefault="00A55C02" w:rsidP="00B16199">
      <w:pPr>
        <w:pStyle w:val="References"/>
        <w:spacing w:before="0" w:after="0"/>
      </w:pPr>
      <w:r w:rsidRPr="007A1E77">
        <w:lastRenderedPageBreak/>
        <w:t>Jellinger KA. Neuropathology of sporadic PD disease: evaluation and change of concepts. Mov Disord 2012;27:</w:t>
      </w:r>
      <w:r>
        <w:t>8–</w:t>
      </w:r>
      <w:r w:rsidRPr="007A1E77">
        <w:t>30.</w:t>
      </w:r>
    </w:p>
    <w:p w14:paraId="4CEA230C" w14:textId="77777777" w:rsidR="00A55C02" w:rsidRPr="007A1E77" w:rsidRDefault="00A55C02" w:rsidP="00B16199">
      <w:pPr>
        <w:pStyle w:val="References"/>
        <w:spacing w:before="0" w:after="0"/>
      </w:pPr>
    </w:p>
    <w:p w14:paraId="4D4F60A5" w14:textId="77777777" w:rsidR="00A55C02" w:rsidRPr="007A1E77" w:rsidRDefault="00A55C02" w:rsidP="00B16199">
      <w:pPr>
        <w:pStyle w:val="References"/>
        <w:spacing w:before="0" w:after="0"/>
      </w:pPr>
      <w:r w:rsidRPr="007A1E77">
        <w:t>Lees AJ, Hardy J, Revesz T. Parkinson’s dise</w:t>
      </w:r>
      <w:r>
        <w:t>ase. Lancet 2009;373(9680):</w:t>
      </w:r>
      <w:r w:rsidRPr="007A1E77">
        <w:t>2055–66.</w:t>
      </w:r>
    </w:p>
    <w:p w14:paraId="793B793F" w14:textId="77777777" w:rsidR="00A55C02" w:rsidRPr="007A1E77" w:rsidRDefault="00A55C02" w:rsidP="00B16199">
      <w:pPr>
        <w:pStyle w:val="References"/>
        <w:spacing w:before="0" w:after="0"/>
      </w:pPr>
    </w:p>
    <w:p w14:paraId="79A767E2" w14:textId="77777777" w:rsidR="00A55C02" w:rsidRPr="007A1E77" w:rsidRDefault="00A55C02" w:rsidP="00B16199">
      <w:pPr>
        <w:pStyle w:val="References"/>
        <w:spacing w:before="0" w:after="0"/>
      </w:pPr>
      <w:r w:rsidRPr="007A1E77">
        <w:t>Ma LY, Chan P, Gu ZQ, Li FF, Feng T. Heterogeneity among patients with Parkinson's disease: Cluster analysis and genetic association. J Neurol</w:t>
      </w:r>
      <w:r>
        <w:t xml:space="preserve"> Sci 2015;351(1):</w:t>
      </w:r>
      <w:r w:rsidRPr="007A1E77">
        <w:t>41–45.</w:t>
      </w:r>
    </w:p>
    <w:p w14:paraId="26494F00" w14:textId="77777777" w:rsidR="00A55C02" w:rsidRPr="007A1E77" w:rsidRDefault="00A55C02" w:rsidP="00B16199">
      <w:pPr>
        <w:pStyle w:val="References"/>
        <w:spacing w:before="0" w:after="0"/>
      </w:pPr>
    </w:p>
    <w:p w14:paraId="65687D41" w14:textId="77777777" w:rsidR="00A55C02" w:rsidRPr="007A1E77" w:rsidRDefault="00A55C02" w:rsidP="00B16199">
      <w:pPr>
        <w:pStyle w:val="References"/>
        <w:spacing w:before="0" w:after="0"/>
      </w:pPr>
      <w:r w:rsidRPr="007A1E77">
        <w:t xml:space="preserve">Marinus J, Visser M, Stiggelbout AM, Rabey JM, Martinez-Martin P, Bonuccelli U, </w:t>
      </w:r>
      <w:r w:rsidRPr="007A1E77">
        <w:rPr>
          <w:i/>
        </w:rPr>
        <w:t>et al</w:t>
      </w:r>
      <w:r w:rsidRPr="007A1E77">
        <w:t>. A short scale for the assessment of motor impairments and disabilities in Parkinson’s disease: the SPES/SCOPA. J Neurol Neurosurg Psychiatry 2004;75(3):388–95.</w:t>
      </w:r>
    </w:p>
    <w:p w14:paraId="749A00AD" w14:textId="77777777" w:rsidR="00A55C02" w:rsidRPr="007A1E77" w:rsidRDefault="00A55C02" w:rsidP="00B16199">
      <w:pPr>
        <w:pStyle w:val="References"/>
        <w:spacing w:before="0" w:after="0"/>
      </w:pPr>
    </w:p>
    <w:p w14:paraId="5318D36C" w14:textId="77777777" w:rsidR="00A55C02" w:rsidRPr="007A1E77" w:rsidRDefault="00A55C02" w:rsidP="00B16199">
      <w:pPr>
        <w:pStyle w:val="References"/>
        <w:spacing w:before="0" w:after="0"/>
        <w:rPr>
          <w:lang w:val="es-ES"/>
        </w:rPr>
      </w:pPr>
      <w:r w:rsidRPr="007A1E77">
        <w:t xml:space="preserve">Marras C, Chaudhuri KR. Non-motor features of Parkinson’s disease subtypes. </w:t>
      </w:r>
      <w:r w:rsidRPr="007A1E77">
        <w:rPr>
          <w:lang w:val="es-ES"/>
        </w:rPr>
        <w:t>Mov</w:t>
      </w:r>
      <w:r>
        <w:rPr>
          <w:lang w:val="es-ES"/>
        </w:rPr>
        <w:t xml:space="preserve"> Disord 2016;</w:t>
      </w:r>
      <w:r w:rsidRPr="007A1E77">
        <w:rPr>
          <w:lang w:val="es-ES"/>
        </w:rPr>
        <w:t>31(8):1095–102.</w:t>
      </w:r>
    </w:p>
    <w:p w14:paraId="7A73C9B2" w14:textId="77777777" w:rsidR="00A55C02" w:rsidRPr="007A1E77" w:rsidRDefault="00A55C02" w:rsidP="00B16199">
      <w:pPr>
        <w:pStyle w:val="References"/>
        <w:spacing w:before="0" w:after="0"/>
        <w:rPr>
          <w:lang w:val="es-ES"/>
        </w:rPr>
      </w:pPr>
    </w:p>
    <w:p w14:paraId="470DAE58" w14:textId="77777777" w:rsidR="00A55C02" w:rsidRPr="007A1E77" w:rsidRDefault="00A55C02" w:rsidP="00B16199">
      <w:pPr>
        <w:pStyle w:val="References"/>
        <w:spacing w:before="0" w:after="0"/>
      </w:pPr>
      <w:r w:rsidRPr="007A1E77">
        <w:rPr>
          <w:lang w:val="es-ES"/>
        </w:rPr>
        <w:t xml:space="preserve">Martinez-Martin P, Benito-Leon J, Burguera JA, Castro A, Linazasoro G, Martinez-Castrillo JC, </w:t>
      </w:r>
      <w:r w:rsidRPr="007A1E77">
        <w:rPr>
          <w:i/>
          <w:lang w:val="es-ES"/>
        </w:rPr>
        <w:t>et al</w:t>
      </w:r>
      <w:r w:rsidRPr="007A1E77">
        <w:rPr>
          <w:lang w:val="es-ES"/>
        </w:rPr>
        <w:t xml:space="preserve">. </w:t>
      </w:r>
      <w:r w:rsidRPr="007A1E77">
        <w:t>The SCOPA-Motor Scale for assessment of Parkinson’s disease is a consistent and valid measure. J Clin Epidemiol 2005;</w:t>
      </w:r>
      <w:r>
        <w:t>58(7):</w:t>
      </w:r>
      <w:r w:rsidRPr="007A1E77">
        <w:t>674–9.</w:t>
      </w:r>
    </w:p>
    <w:p w14:paraId="72E64965" w14:textId="77777777" w:rsidR="00A55C02" w:rsidRPr="007A1E77" w:rsidRDefault="00A55C02" w:rsidP="00B16199">
      <w:pPr>
        <w:pStyle w:val="References"/>
        <w:spacing w:before="0" w:after="0"/>
      </w:pPr>
    </w:p>
    <w:p w14:paraId="079AA952" w14:textId="77777777" w:rsidR="00A55C02" w:rsidRPr="007A1E77" w:rsidRDefault="00A55C02" w:rsidP="00B16199">
      <w:pPr>
        <w:pStyle w:val="References"/>
        <w:spacing w:before="0" w:after="0"/>
      </w:pPr>
      <w:r w:rsidRPr="007A1E77">
        <w:t>Martinez-Martin P, Forjaz MJ, Cubo E, Frades B, de Pedro Cuesta J; ELEP Project Members. Global versus factor-related impression of severity in Parkinson’s disease: a new clinimetric index (CISI-PD). Mov Disord. 2006;21(2):208–14.</w:t>
      </w:r>
    </w:p>
    <w:p w14:paraId="535E6B8E" w14:textId="77777777" w:rsidR="00A55C02" w:rsidRPr="007A1E77" w:rsidRDefault="00A55C02" w:rsidP="00B16199">
      <w:pPr>
        <w:pStyle w:val="References"/>
        <w:spacing w:before="0" w:after="0"/>
      </w:pPr>
    </w:p>
    <w:p w14:paraId="68510C56" w14:textId="77777777" w:rsidR="00A55C02" w:rsidRPr="007A1E77" w:rsidRDefault="00A55C02" w:rsidP="00B16199">
      <w:pPr>
        <w:pStyle w:val="References"/>
        <w:spacing w:before="0" w:after="0"/>
      </w:pPr>
      <w:r w:rsidRPr="007A1E77">
        <w:t xml:space="preserve">Martinez-Martin P, Rodriguez-Blazquez C, Abe K, Bhattacharyya KB, Bloem BR, Carod-Artal FJ, </w:t>
      </w:r>
      <w:r w:rsidRPr="007A1E77">
        <w:rPr>
          <w:i/>
        </w:rPr>
        <w:t>et al</w:t>
      </w:r>
      <w:r w:rsidRPr="007A1E77">
        <w:t>. International study on the psychometric attributes of the Non-Motor Symptoms Scale in Parkinson disease</w:t>
      </w:r>
      <w:r>
        <w:t>. Neurology 2009a;73(19):</w:t>
      </w:r>
      <w:r w:rsidRPr="007A1E77">
        <w:t>1584–91.</w:t>
      </w:r>
    </w:p>
    <w:p w14:paraId="085332B6" w14:textId="77777777" w:rsidR="00A55C02" w:rsidRPr="007A1E77" w:rsidRDefault="00A55C02" w:rsidP="00B16199">
      <w:pPr>
        <w:pStyle w:val="References"/>
        <w:spacing w:before="0" w:after="0"/>
      </w:pPr>
    </w:p>
    <w:p w14:paraId="7ACD2011" w14:textId="77777777" w:rsidR="00A55C02" w:rsidRPr="007A1E77" w:rsidRDefault="00A55C02" w:rsidP="00B16199">
      <w:pPr>
        <w:pStyle w:val="References"/>
        <w:spacing w:before="0" w:after="0"/>
      </w:pPr>
      <w:r w:rsidRPr="007A1E77">
        <w:t>Martinez-Martin P, Rodriguez-Blazquez C, Forjaz MJ, de Pedro J; Spanish-American Longitudinal PD Patient Study Group. The Clinical Impression of Severity Index for Parkinson’s Disease: international validation study. Mov Disord. 2009b;24(2):211–7.</w:t>
      </w:r>
    </w:p>
    <w:p w14:paraId="2A5435F8" w14:textId="77777777" w:rsidR="00A55C02" w:rsidRPr="007A1E77" w:rsidRDefault="00A55C02" w:rsidP="00B16199">
      <w:pPr>
        <w:pStyle w:val="References"/>
        <w:spacing w:before="0" w:after="0"/>
      </w:pPr>
    </w:p>
    <w:p w14:paraId="7BA7466E" w14:textId="77777777" w:rsidR="00A55C02" w:rsidRPr="007A1E77" w:rsidRDefault="00A55C02" w:rsidP="00B16199">
      <w:pPr>
        <w:pStyle w:val="References"/>
        <w:spacing w:before="0" w:after="0"/>
      </w:pPr>
      <w:r w:rsidRPr="007A1E77">
        <w:lastRenderedPageBreak/>
        <w:t xml:space="preserve">Mollenhauer B, Zimmermann J, Sixel-Döring F, Focke NK, Wicke T, Ebentheuer J, et al. Monitoring of 30 marker candidates in early Parkinson’s disease as progression markers. Neurology </w:t>
      </w:r>
      <w:r>
        <w:t>2016;87(2):</w:t>
      </w:r>
      <w:r w:rsidRPr="007A1E77">
        <w:t>168–77.</w:t>
      </w:r>
    </w:p>
    <w:p w14:paraId="5B45D3E9" w14:textId="77777777" w:rsidR="00A55C02" w:rsidRPr="007A1E77" w:rsidRDefault="00A55C02" w:rsidP="00B16199">
      <w:pPr>
        <w:pStyle w:val="References"/>
        <w:spacing w:before="0" w:after="0"/>
      </w:pPr>
    </w:p>
    <w:p w14:paraId="20DF657E" w14:textId="77777777" w:rsidR="00A55C02" w:rsidRPr="007A1E77" w:rsidRDefault="00A55C02" w:rsidP="00B16199">
      <w:pPr>
        <w:pStyle w:val="References"/>
        <w:spacing w:before="0" w:after="0"/>
      </w:pPr>
      <w:r w:rsidRPr="007A1E77">
        <w:t xml:space="preserve">Pont-Sunyer C, Hotter A, Gaig C, Seppi K, Compta Y, Katzenschlager R, </w:t>
      </w:r>
      <w:r w:rsidRPr="007A1E77">
        <w:rPr>
          <w:i/>
        </w:rPr>
        <w:t>et al</w:t>
      </w:r>
      <w:r w:rsidRPr="007A1E77">
        <w:t>. The onset of nonmotor symptoms in Parkinson's disease (the ONSET PD study). Mov Disord 2015;30(2): 229–37.</w:t>
      </w:r>
    </w:p>
    <w:p w14:paraId="35455011" w14:textId="77777777" w:rsidR="00A55C02" w:rsidRPr="007A1E77" w:rsidRDefault="00A55C02" w:rsidP="00B16199">
      <w:pPr>
        <w:pStyle w:val="References"/>
        <w:spacing w:before="0" w:after="0"/>
      </w:pPr>
    </w:p>
    <w:p w14:paraId="3F1D65FB" w14:textId="77777777" w:rsidR="00A55C02" w:rsidRPr="007A1E77" w:rsidRDefault="00A55C02" w:rsidP="00B16199">
      <w:pPr>
        <w:pStyle w:val="References"/>
        <w:spacing w:before="0" w:after="0"/>
      </w:pPr>
      <w:r w:rsidRPr="007A1E77">
        <w:t xml:space="preserve">Postuma RB, Berg D, Stern M, Poewe W, Olanow CW, Oertel W, </w:t>
      </w:r>
      <w:r w:rsidRPr="007A1E77">
        <w:rPr>
          <w:i/>
        </w:rPr>
        <w:t>et al</w:t>
      </w:r>
      <w:r w:rsidRPr="007A1E77">
        <w:t>. MDS clinical diagnostic criteria for Parkinson’s disease. Mov Disord 2015;30(12):1591–601.</w:t>
      </w:r>
    </w:p>
    <w:p w14:paraId="65DE24CC" w14:textId="77777777" w:rsidR="00A55C02" w:rsidRPr="007A1E77" w:rsidRDefault="00A55C02" w:rsidP="00B16199">
      <w:pPr>
        <w:pStyle w:val="References"/>
        <w:spacing w:before="0" w:after="0"/>
      </w:pPr>
    </w:p>
    <w:p w14:paraId="1636A56A" w14:textId="77777777" w:rsidR="00A55C02" w:rsidRPr="007A1E77" w:rsidRDefault="00A55C02" w:rsidP="00B16199">
      <w:pPr>
        <w:pStyle w:val="References"/>
        <w:spacing w:before="0" w:after="0"/>
      </w:pPr>
      <w:r w:rsidRPr="007A1E77">
        <w:t xml:space="preserve">Ray Chaudhuri K, Rojo JM, Schapira AH, Brooks DJ, Stocchi F, Odin P, </w:t>
      </w:r>
      <w:r w:rsidRPr="007A1E77">
        <w:rPr>
          <w:i/>
        </w:rPr>
        <w:t>et al</w:t>
      </w:r>
      <w:r w:rsidRPr="007A1E77">
        <w:t>. A proposal for a comprehensive grading of Parkinson’s disease severity combining motor and non-motor assessments: meeting an unmet need. PLoS ONE 2013;8(2):e57221.</w:t>
      </w:r>
    </w:p>
    <w:p w14:paraId="49749E49" w14:textId="77777777" w:rsidR="00A55C02" w:rsidRPr="007A1E77" w:rsidRDefault="00A55C02" w:rsidP="00B16199">
      <w:pPr>
        <w:pStyle w:val="References"/>
        <w:spacing w:before="0" w:after="0"/>
      </w:pPr>
    </w:p>
    <w:p w14:paraId="19E93B00" w14:textId="77777777" w:rsidR="00A55C02" w:rsidRPr="007A1E77" w:rsidRDefault="00A55C02" w:rsidP="00B16199">
      <w:pPr>
        <w:pStyle w:val="References"/>
        <w:spacing w:before="0" w:after="0"/>
      </w:pPr>
      <w:r w:rsidRPr="007A1E77">
        <w:t>Reijnders JS, Ehrt U, Lousberg R, Aarsland D, Leentjens AF. The association between motor subtypes and psychopathology in Parkinson’s disease. Parkinsonism Relat</w:t>
      </w:r>
      <w:r>
        <w:t xml:space="preserve"> Disord </w:t>
      </w:r>
      <w:r w:rsidRPr="007A1E77">
        <w:t>2009;15(5):379–82.</w:t>
      </w:r>
    </w:p>
    <w:p w14:paraId="238938BB" w14:textId="77777777" w:rsidR="00A55C02" w:rsidRPr="007A1E77" w:rsidRDefault="00A55C02" w:rsidP="00B16199">
      <w:pPr>
        <w:pStyle w:val="References"/>
        <w:spacing w:before="0" w:after="0"/>
      </w:pPr>
    </w:p>
    <w:p w14:paraId="62522D95" w14:textId="77777777" w:rsidR="00A55C02" w:rsidRPr="007A1E77" w:rsidRDefault="00A55C02" w:rsidP="00B16199">
      <w:pPr>
        <w:pStyle w:val="References"/>
        <w:spacing w:before="0" w:after="0"/>
      </w:pPr>
      <w:r w:rsidRPr="007A1E77">
        <w:t xml:space="preserve">Romenets SR, Gagnon JF, Latreille V, Panniset M, Chouinard S, Montplaisir J, </w:t>
      </w:r>
      <w:r w:rsidRPr="007A1E77">
        <w:rPr>
          <w:i/>
        </w:rPr>
        <w:t>et al</w:t>
      </w:r>
      <w:r w:rsidRPr="007A1E77">
        <w:t>. Rapid eye movement sleep behavior disorder and subtypes of Parkinson’s disease. Mov Disord 2012;27(8):996–1003.</w:t>
      </w:r>
    </w:p>
    <w:p w14:paraId="05AB8A32" w14:textId="77777777" w:rsidR="00A55C02" w:rsidRPr="007A1E77" w:rsidRDefault="00A55C02" w:rsidP="00B16199">
      <w:pPr>
        <w:widowControl w:val="0"/>
        <w:tabs>
          <w:tab w:val="left" w:pos="220"/>
          <w:tab w:val="left" w:pos="720"/>
        </w:tabs>
        <w:autoSpaceDE w:val="0"/>
        <w:autoSpaceDN w:val="0"/>
        <w:adjustRightInd w:val="0"/>
        <w:rPr>
          <w:rFonts w:cs="Times New Roman"/>
        </w:rPr>
      </w:pPr>
    </w:p>
    <w:p w14:paraId="20E14435" w14:textId="77777777" w:rsidR="00A55C02" w:rsidRPr="007A1E77" w:rsidRDefault="00A55C02" w:rsidP="00B16199">
      <w:pPr>
        <w:widowControl w:val="0"/>
        <w:tabs>
          <w:tab w:val="left" w:pos="220"/>
          <w:tab w:val="left" w:pos="720"/>
        </w:tabs>
        <w:autoSpaceDE w:val="0"/>
        <w:autoSpaceDN w:val="0"/>
        <w:adjustRightInd w:val="0"/>
        <w:rPr>
          <w:rFonts w:cs="Times New Roman"/>
        </w:rPr>
      </w:pPr>
      <w:r w:rsidRPr="007A1E77">
        <w:rPr>
          <w:rFonts w:cs="Times New Roman"/>
        </w:rPr>
        <w:t xml:space="preserve">Rosenberg A, Hirschberg J. V-measure: A conditional entropy-based external cluster evaluation measure. Proceedings of the Joint Conference on Empirical Methods in Natural Language Processing and Computational Natural Language Learning 2007:410–20. </w:t>
      </w:r>
      <w:r w:rsidRPr="007A1E77">
        <w:rPr>
          <w:rFonts w:ascii="MS Mincho" w:eastAsia="MS Mincho" w:hAnsi="MS Mincho" w:cs="MS Mincho"/>
        </w:rPr>
        <w:t> </w:t>
      </w:r>
    </w:p>
    <w:p w14:paraId="7D0266E3" w14:textId="77777777" w:rsidR="00A55C02" w:rsidRPr="007A1E77" w:rsidRDefault="00A55C02" w:rsidP="00B16199">
      <w:pPr>
        <w:pStyle w:val="References"/>
        <w:spacing w:before="0" w:after="0"/>
      </w:pPr>
    </w:p>
    <w:p w14:paraId="60321729" w14:textId="77777777" w:rsidR="00A55C02" w:rsidRPr="007A1E77" w:rsidRDefault="00A55C02" w:rsidP="00B16199">
      <w:pPr>
        <w:pStyle w:val="References"/>
        <w:spacing w:before="0" w:after="0"/>
      </w:pPr>
      <w:r w:rsidRPr="007A1E77">
        <w:t>Sauerbier A, Jenner P, Todorova A, Chaudhuri KR. Non motor subtypes and Parkinson’s disease. Parkinsonism Relat Disord 2016;22(Suppl 1):S41–6.</w:t>
      </w:r>
    </w:p>
    <w:p w14:paraId="7CAF741B" w14:textId="77777777" w:rsidR="00A55C02" w:rsidRPr="007A1E77" w:rsidRDefault="00A55C02" w:rsidP="00B16199">
      <w:pPr>
        <w:pStyle w:val="References"/>
        <w:spacing w:before="0" w:after="0"/>
      </w:pPr>
    </w:p>
    <w:p w14:paraId="72062571" w14:textId="77777777" w:rsidR="00A55C02" w:rsidRPr="007A1E77" w:rsidRDefault="00A55C02" w:rsidP="00B16199">
      <w:pPr>
        <w:pStyle w:val="References"/>
        <w:spacing w:before="0" w:after="0"/>
      </w:pPr>
      <w:r w:rsidRPr="007A1E77">
        <w:lastRenderedPageBreak/>
        <w:t xml:space="preserve">Seichepine DR, Neargarder S, Miller IN, Riedel TM, Gilmore GC, Cronin-Golomb A. Relation of Parkinson’s disease subtypes to visual activities of daily living. J Int Neuropsychol </w:t>
      </w:r>
      <w:r>
        <w:t>Soc 2011;17(5):</w:t>
      </w:r>
      <w:r w:rsidRPr="007A1E77">
        <w:t>841–52.</w:t>
      </w:r>
    </w:p>
    <w:p w14:paraId="70D76725" w14:textId="77777777" w:rsidR="00A55C02" w:rsidRPr="007A1E77" w:rsidRDefault="00A55C02" w:rsidP="00B16199">
      <w:pPr>
        <w:pStyle w:val="References"/>
        <w:spacing w:before="0" w:after="0"/>
      </w:pPr>
    </w:p>
    <w:p w14:paraId="129CE377" w14:textId="77777777" w:rsidR="00A55C02" w:rsidRPr="007A1E77" w:rsidRDefault="00A55C02" w:rsidP="00B16199">
      <w:pPr>
        <w:pStyle w:val="References"/>
        <w:spacing w:before="0" w:after="0"/>
      </w:pPr>
      <w:r w:rsidRPr="007A1E77">
        <w:t>Selikhova M, Williams DR, Kempster PA, Holton JL, Revesz T, Lees AJ. A clinico-pathological study of subtypes in Parkinson’s disease. Brain 2009;132(Pt 11):2947–57.</w:t>
      </w:r>
    </w:p>
    <w:p w14:paraId="27CF0ACC" w14:textId="77777777" w:rsidR="00A55C02" w:rsidRPr="007A1E77" w:rsidRDefault="00A55C02" w:rsidP="00B16199">
      <w:pPr>
        <w:pStyle w:val="References"/>
        <w:spacing w:before="0" w:after="0"/>
      </w:pPr>
    </w:p>
    <w:p w14:paraId="4CDE0149" w14:textId="77777777" w:rsidR="00A55C02" w:rsidRPr="007A1E77" w:rsidRDefault="00A55C02" w:rsidP="00B16199">
      <w:pPr>
        <w:widowControl w:val="0"/>
        <w:tabs>
          <w:tab w:val="left" w:pos="220"/>
          <w:tab w:val="left" w:pos="720"/>
        </w:tabs>
        <w:autoSpaceDE w:val="0"/>
        <w:autoSpaceDN w:val="0"/>
        <w:adjustRightInd w:val="0"/>
        <w:rPr>
          <w:rFonts w:cs="Times New Roman"/>
        </w:rPr>
      </w:pPr>
      <w:r w:rsidRPr="007A1E77">
        <w:rPr>
          <w:rFonts w:cs="Times New Roman"/>
        </w:rPr>
        <w:t>Tibshirani R, Walther G, Hastie T. Estimating the number of clusters in a data set via the gap statistic. JR Stat Soc Series B Stat Methodol 2001;63(2):411–23.</w:t>
      </w:r>
      <w:r w:rsidRPr="007A1E77">
        <w:rPr>
          <w:rFonts w:ascii="MS Mincho" w:eastAsia="MS Mincho" w:hAnsi="MS Mincho" w:cs="MS Mincho"/>
        </w:rPr>
        <w:t> </w:t>
      </w:r>
    </w:p>
    <w:p w14:paraId="7BE42ACD" w14:textId="77777777" w:rsidR="00A55C02" w:rsidRPr="007A1E77" w:rsidRDefault="00A55C02" w:rsidP="00B16199">
      <w:pPr>
        <w:pStyle w:val="References"/>
        <w:tabs>
          <w:tab w:val="left" w:pos="5560"/>
        </w:tabs>
        <w:spacing w:before="0" w:after="0"/>
      </w:pPr>
      <w:r w:rsidRPr="007A1E77">
        <w:tab/>
      </w:r>
    </w:p>
    <w:p w14:paraId="7B4B0024" w14:textId="77777777" w:rsidR="00A55C02" w:rsidRPr="007A1E77" w:rsidRDefault="00A55C02" w:rsidP="00B16199">
      <w:pPr>
        <w:pStyle w:val="References"/>
        <w:spacing w:before="0" w:after="0"/>
      </w:pPr>
      <w:r w:rsidRPr="007A1E77">
        <w:t xml:space="preserve">van Rooden SM, Colas F, Martinez-Martin P, Visser M, Verbaan D, Marinus J, </w:t>
      </w:r>
      <w:r w:rsidRPr="007A1E77">
        <w:rPr>
          <w:i/>
        </w:rPr>
        <w:t>et al</w:t>
      </w:r>
      <w:r w:rsidRPr="007A1E77">
        <w:t>. Clinical subtypes of Parkinson’s di</w:t>
      </w:r>
      <w:r>
        <w:t>sease. Mov Disord. 2011;26(1):</w:t>
      </w:r>
      <w:r w:rsidRPr="007A1E77">
        <w:t>51–8.</w:t>
      </w:r>
    </w:p>
    <w:p w14:paraId="07516715" w14:textId="77777777" w:rsidR="00A55C02" w:rsidRPr="007A1E77" w:rsidRDefault="00A55C02" w:rsidP="00B16199">
      <w:pPr>
        <w:autoSpaceDE w:val="0"/>
        <w:autoSpaceDN w:val="0"/>
        <w:adjustRightInd w:val="0"/>
        <w:rPr>
          <w:rFonts w:cs="Times New Roman"/>
        </w:rPr>
      </w:pPr>
    </w:p>
    <w:p w14:paraId="2FCE6810" w14:textId="0CCDA08B" w:rsidR="00804E48" w:rsidRPr="00A3187A" w:rsidRDefault="00A55C02" w:rsidP="00B16199">
      <w:pPr>
        <w:pStyle w:val="References"/>
        <w:spacing w:before="0" w:after="0"/>
        <w:rPr>
          <w:b/>
        </w:rPr>
      </w:pPr>
      <w:r w:rsidRPr="007A1E77">
        <w:t xml:space="preserve">Warren JD, Rohrer JD, Schott JM, Fox NC, Hardy J, Rossor MN. Molecular nexopathies: a new paradigm of neurodegenerative disease. Trends Neurosci </w:t>
      </w:r>
      <w:r>
        <w:t>2013;36:</w:t>
      </w:r>
      <w:r w:rsidRPr="007A1E77">
        <w:t>561-569.</w:t>
      </w:r>
    </w:p>
    <w:p w14:paraId="347A3F04" w14:textId="7A9B6BE3" w:rsidR="00804E48" w:rsidRDefault="00804E48" w:rsidP="00B16199">
      <w:pPr>
        <w:pStyle w:val="Heading1"/>
        <w:jc w:val="both"/>
        <w:rPr>
          <w:rFonts w:cs="Times New Roman"/>
        </w:rPr>
      </w:pPr>
      <w:r>
        <w:rPr>
          <w:rFonts w:cs="Times New Roman"/>
        </w:rPr>
        <w:t>Figure legends</w:t>
      </w:r>
    </w:p>
    <w:p w14:paraId="0EDD083A" w14:textId="2A5F0F18" w:rsidR="003427BC" w:rsidRDefault="003427BC" w:rsidP="00B16199">
      <w:pPr>
        <w:pStyle w:val="Caption"/>
        <w:spacing w:after="0" w:line="360" w:lineRule="auto"/>
        <w:rPr>
          <w:i w:val="0"/>
          <w:color w:val="000000" w:themeColor="text1"/>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1</w:t>
      </w:r>
      <w:r w:rsidRPr="003427BC">
        <w:rPr>
          <w:color w:val="000000" w:themeColor="text1"/>
          <w:sz w:val="24"/>
          <w:szCs w:val="24"/>
        </w:rPr>
        <w:fldChar w:fldCharType="end"/>
      </w:r>
      <w:r w:rsidRPr="003427BC">
        <w:rPr>
          <w:color w:val="000000" w:themeColor="text1"/>
          <w:sz w:val="24"/>
          <w:szCs w:val="24"/>
        </w:rPr>
        <w:t xml:space="preserve">. </w:t>
      </w:r>
      <w:r w:rsidRPr="003427BC">
        <w:rPr>
          <w:b/>
          <w:i w:val="0"/>
          <w:color w:val="000000" w:themeColor="text1"/>
          <w:sz w:val="24"/>
          <w:szCs w:val="24"/>
        </w:rPr>
        <w:t>Domains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9 non-motor domains, 4 cardinal motor features, motor complications, and 4 variables not included in the analyses. Since symptoms have different scales, cluster means for each symptom are displayed as standardized scores relative to each overall symptom mean.</w:t>
      </w:r>
    </w:p>
    <w:p w14:paraId="26126183" w14:textId="77777777" w:rsidR="00A3187A" w:rsidRPr="00A3187A" w:rsidRDefault="00A3187A" w:rsidP="00B16199"/>
    <w:p w14:paraId="62E881EF" w14:textId="0624C6B9" w:rsidR="00A3187A" w:rsidRDefault="003427BC" w:rsidP="00B16199">
      <w:pPr>
        <w:pStyle w:val="Caption"/>
        <w:spacing w:after="0" w:line="360" w:lineRule="auto"/>
        <w:rPr>
          <w:i w:val="0"/>
          <w:color w:val="000000" w:themeColor="text1"/>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2</w:t>
      </w:r>
      <w:r w:rsidRPr="003427BC">
        <w:rPr>
          <w:color w:val="000000" w:themeColor="text1"/>
          <w:sz w:val="24"/>
          <w:szCs w:val="24"/>
        </w:rPr>
        <w:fldChar w:fldCharType="end"/>
      </w:r>
      <w:r w:rsidRPr="003427BC">
        <w:rPr>
          <w:i w:val="0"/>
          <w:color w:val="000000" w:themeColor="text1"/>
          <w:sz w:val="24"/>
          <w:szCs w:val="24"/>
        </w:rPr>
        <w:t xml:space="preserve">. </w:t>
      </w:r>
      <w:r w:rsidRPr="003427BC">
        <w:rPr>
          <w:b/>
          <w:i w:val="0"/>
          <w:color w:val="000000" w:themeColor="text1"/>
          <w:sz w:val="24"/>
          <w:szCs w:val="24"/>
        </w:rPr>
        <w:t>Symptoms clustering heatmap</w:t>
      </w:r>
      <w:r w:rsidRPr="003427BC">
        <w:rPr>
          <w:i w:val="0"/>
          <w:color w:val="000000" w:themeColor="text1"/>
          <w:sz w:val="24"/>
          <w:szCs w:val="24"/>
        </w:rPr>
        <w:t xml:space="preserve">. Heatmap of </w:t>
      </w:r>
      <w:r w:rsidR="00DD31CA">
        <w:rPr>
          <w:i w:val="0"/>
          <w:color w:val="000000" w:themeColor="text1"/>
          <w:sz w:val="24"/>
          <w:szCs w:val="24"/>
        </w:rPr>
        <w:t>variables</w:t>
      </w:r>
      <w:r w:rsidRPr="003427BC">
        <w:rPr>
          <w:i w:val="0"/>
          <w:color w:val="000000" w:themeColor="text1"/>
          <w:sz w:val="24"/>
          <w:szCs w:val="24"/>
        </w:rPr>
        <w:t xml:space="preserve"> for each cluster, separated by white lines according to 30 individual non-motor symptoms, 4 cardinal motor features, motor complications, and 4 variables not included in the analysis. Since symptoms have different scales, cluster means for each symptom are displayed as standardized scores relative to each overall symptom mean.</w:t>
      </w:r>
    </w:p>
    <w:p w14:paraId="0DBF4B30" w14:textId="77777777" w:rsidR="00792AFF" w:rsidRPr="00792AFF" w:rsidRDefault="00792AFF" w:rsidP="00B16199"/>
    <w:p w14:paraId="7AAB0B4A" w14:textId="4794AB7E" w:rsidR="003427BC" w:rsidRPr="00A3187A" w:rsidRDefault="003427BC" w:rsidP="00B16199">
      <w:pPr>
        <w:pStyle w:val="Caption"/>
        <w:spacing w:after="0" w:line="360" w:lineRule="auto"/>
        <w:rPr>
          <w:rFonts w:cs="Times New Roman"/>
          <w:noProof/>
          <w:sz w:val="24"/>
          <w:szCs w:val="24"/>
        </w:rPr>
      </w:pPr>
      <w:r w:rsidRPr="003427BC">
        <w:rPr>
          <w:color w:val="000000" w:themeColor="text1"/>
          <w:sz w:val="24"/>
          <w:szCs w:val="24"/>
        </w:rPr>
        <w:t xml:space="preserve">Figure </w:t>
      </w:r>
      <w:r w:rsidRPr="003427BC">
        <w:rPr>
          <w:color w:val="000000" w:themeColor="text1"/>
          <w:sz w:val="24"/>
          <w:szCs w:val="24"/>
        </w:rPr>
        <w:fldChar w:fldCharType="begin"/>
      </w:r>
      <w:r w:rsidRPr="003427BC">
        <w:rPr>
          <w:color w:val="000000" w:themeColor="text1"/>
          <w:sz w:val="24"/>
          <w:szCs w:val="24"/>
        </w:rPr>
        <w:instrText xml:space="preserve"> SEQ Figure \* ARABIC </w:instrText>
      </w:r>
      <w:r w:rsidRPr="003427BC">
        <w:rPr>
          <w:color w:val="000000" w:themeColor="text1"/>
          <w:sz w:val="24"/>
          <w:szCs w:val="24"/>
        </w:rPr>
        <w:fldChar w:fldCharType="separate"/>
      </w:r>
      <w:r w:rsidRPr="003427BC">
        <w:rPr>
          <w:noProof/>
          <w:color w:val="000000" w:themeColor="text1"/>
          <w:sz w:val="24"/>
          <w:szCs w:val="24"/>
        </w:rPr>
        <w:t>3</w:t>
      </w:r>
      <w:r w:rsidRPr="003427BC">
        <w:rPr>
          <w:color w:val="000000" w:themeColor="text1"/>
          <w:sz w:val="24"/>
          <w:szCs w:val="24"/>
        </w:rPr>
        <w:fldChar w:fldCharType="end"/>
      </w:r>
      <w:r w:rsidRPr="003427BC">
        <w:rPr>
          <w:color w:val="000000" w:themeColor="text1"/>
          <w:sz w:val="24"/>
          <w:szCs w:val="24"/>
        </w:rPr>
        <w:t xml:space="preserve">. </w:t>
      </w:r>
      <w:r w:rsidRPr="003427BC">
        <w:rPr>
          <w:b/>
          <w:i w:val="0"/>
          <w:color w:val="000000" w:themeColor="text1"/>
          <w:sz w:val="24"/>
          <w:szCs w:val="24"/>
        </w:rPr>
        <w:t>Hierarchical clustering on symptoms.</w:t>
      </w:r>
      <w:r w:rsidRPr="003427BC">
        <w:rPr>
          <w:i w:val="0"/>
          <w:color w:val="000000" w:themeColor="text1"/>
          <w:sz w:val="24"/>
          <w:szCs w:val="24"/>
        </w:rPr>
        <w:t xml:space="preserve"> Average-linkage hierarchical clustering of motor (blue) and non-motor (black) symptoms. Symptoms are labeled with their name and corresponding domain number. The dendrogram is colored with 5 clusters.</w:t>
      </w:r>
    </w:p>
    <w:sectPr w:rsidR="003427BC" w:rsidRPr="00A3187A" w:rsidSect="003F31D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75137" w14:textId="77777777" w:rsidR="00DE2F2B" w:rsidRDefault="00DE2F2B" w:rsidP="00157552">
      <w:pPr>
        <w:spacing w:line="240" w:lineRule="auto"/>
      </w:pPr>
      <w:r>
        <w:separator/>
      </w:r>
    </w:p>
  </w:endnote>
  <w:endnote w:type="continuationSeparator" w:id="0">
    <w:p w14:paraId="14A0AB03" w14:textId="77777777" w:rsidR="00DE2F2B" w:rsidRDefault="00DE2F2B" w:rsidP="00157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A8D72" w14:textId="77777777" w:rsidR="00DE2F2B" w:rsidRDefault="00DE2F2B" w:rsidP="00157552">
      <w:pPr>
        <w:spacing w:line="240" w:lineRule="auto"/>
      </w:pPr>
      <w:r>
        <w:separator/>
      </w:r>
    </w:p>
  </w:footnote>
  <w:footnote w:type="continuationSeparator" w:id="0">
    <w:p w14:paraId="3B646A39" w14:textId="77777777" w:rsidR="00DE2F2B" w:rsidRDefault="00DE2F2B" w:rsidP="001575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4110"/>
      <w:docPartObj>
        <w:docPartGallery w:val="Page Numbers (Top of Page)"/>
        <w:docPartUnique/>
      </w:docPartObj>
    </w:sdtPr>
    <w:sdtEndPr/>
    <w:sdtContent>
      <w:p w14:paraId="57F2411A" w14:textId="77777777" w:rsidR="00ED6404" w:rsidRDefault="00ED6404" w:rsidP="003F31D3">
        <w:pPr>
          <w:pStyle w:val="Header"/>
          <w:tabs>
            <w:tab w:val="clear" w:pos="4680"/>
          </w:tabs>
          <w:jc w:val="left"/>
        </w:pPr>
        <w:r w:rsidRPr="00A20B73">
          <w:rPr>
            <w:rFonts w:cs="Times New Roman"/>
            <w:sz w:val="28"/>
            <w:szCs w:val="28"/>
          </w:rPr>
          <w:t>Parkinson’s disease cluster analysis</w:t>
        </w:r>
        <w:r>
          <w:tab/>
        </w:r>
        <w:r>
          <w:fldChar w:fldCharType="begin"/>
        </w:r>
        <w:r>
          <w:instrText xml:space="preserve"> PAGE   \* MERGEFORMAT </w:instrText>
        </w:r>
        <w:r>
          <w:fldChar w:fldCharType="separate"/>
        </w:r>
        <w:r w:rsidR="00F87554">
          <w:rPr>
            <w:noProof/>
          </w:rPr>
          <w:t>3</w:t>
        </w:r>
        <w:r>
          <w:rPr>
            <w:noProof/>
          </w:rPr>
          <w:fldChar w:fldCharType="end"/>
        </w:r>
      </w:p>
    </w:sdtContent>
  </w:sdt>
  <w:p w14:paraId="03B860DC" w14:textId="77777777" w:rsidR="00ED6404" w:rsidRPr="004A1F21" w:rsidRDefault="00ED64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FB616B"/>
    <w:multiLevelType w:val="hybridMultilevel"/>
    <w:tmpl w:val="A60A41F0"/>
    <w:lvl w:ilvl="0" w:tplc="F24AA73C">
      <w:start w:val="1"/>
      <w:numFmt w:val="decimal"/>
      <w:lvlText w:val="%1."/>
      <w:lvlJc w:val="left"/>
      <w:pPr>
        <w:ind w:left="786" w:hanging="360"/>
      </w:pPr>
      <w:rPr>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1115B"/>
    <w:multiLevelType w:val="hybridMultilevel"/>
    <w:tmpl w:val="24320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04B53"/>
    <w:multiLevelType w:val="hybridMultilevel"/>
    <w:tmpl w:val="B90A38A8"/>
    <w:lvl w:ilvl="0" w:tplc="D95E893A">
      <w:start w:val="1"/>
      <w:numFmt w:val="decimal"/>
      <w:lvlText w:val="%1."/>
      <w:lvlJc w:val="left"/>
      <w:pPr>
        <w:ind w:left="786" w:hanging="360"/>
      </w:pPr>
      <w:rPr>
        <w:rFonts w:ascii="Times New Roman" w:eastAsiaTheme="minorEastAsia" w:hAnsi="Times New Roman" w:cstheme="minorBid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67C70"/>
    <w:multiLevelType w:val="hybridMultilevel"/>
    <w:tmpl w:val="3B8E1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B7173F"/>
    <w:multiLevelType w:val="hybridMultilevel"/>
    <w:tmpl w:val="8B6C2E22"/>
    <w:lvl w:ilvl="0" w:tplc="2A0A0C1C">
      <w:start w:val="1"/>
      <w:numFmt w:val="decimal"/>
      <w:lvlText w:val="%1."/>
      <w:lvlJc w:val="left"/>
      <w:pPr>
        <w:ind w:left="720" w:hanging="360"/>
      </w:pPr>
      <w:rPr>
        <w:rFonts w:ascii="Times New Roman" w:eastAsiaTheme="minorEastAsia" w:hAnsi="Times New Roman" w:cstheme="minorBidi"/>
      </w:rPr>
    </w:lvl>
    <w:lvl w:ilvl="1" w:tplc="B7B62E50" w:tentative="1">
      <w:start w:val="1"/>
      <w:numFmt w:val="lowerLetter"/>
      <w:lvlText w:val="%2."/>
      <w:lvlJc w:val="left"/>
      <w:pPr>
        <w:ind w:left="1440" w:hanging="360"/>
      </w:pPr>
    </w:lvl>
    <w:lvl w:ilvl="2" w:tplc="282C9766" w:tentative="1">
      <w:start w:val="1"/>
      <w:numFmt w:val="lowerRoman"/>
      <w:lvlText w:val="%3."/>
      <w:lvlJc w:val="right"/>
      <w:pPr>
        <w:ind w:left="2160" w:hanging="180"/>
      </w:pPr>
    </w:lvl>
    <w:lvl w:ilvl="3" w:tplc="CC90271C" w:tentative="1">
      <w:start w:val="1"/>
      <w:numFmt w:val="decimal"/>
      <w:lvlText w:val="%4."/>
      <w:lvlJc w:val="left"/>
      <w:pPr>
        <w:ind w:left="2880" w:hanging="360"/>
      </w:pPr>
    </w:lvl>
    <w:lvl w:ilvl="4" w:tplc="DAC65A02" w:tentative="1">
      <w:start w:val="1"/>
      <w:numFmt w:val="lowerLetter"/>
      <w:lvlText w:val="%5."/>
      <w:lvlJc w:val="left"/>
      <w:pPr>
        <w:ind w:left="3600" w:hanging="360"/>
      </w:pPr>
    </w:lvl>
    <w:lvl w:ilvl="5" w:tplc="6CCA1692" w:tentative="1">
      <w:start w:val="1"/>
      <w:numFmt w:val="lowerRoman"/>
      <w:lvlText w:val="%6."/>
      <w:lvlJc w:val="right"/>
      <w:pPr>
        <w:ind w:left="4320" w:hanging="180"/>
      </w:pPr>
    </w:lvl>
    <w:lvl w:ilvl="6" w:tplc="487E65BE" w:tentative="1">
      <w:start w:val="1"/>
      <w:numFmt w:val="decimal"/>
      <w:lvlText w:val="%7."/>
      <w:lvlJc w:val="left"/>
      <w:pPr>
        <w:ind w:left="5040" w:hanging="360"/>
      </w:pPr>
    </w:lvl>
    <w:lvl w:ilvl="7" w:tplc="B032E0A8" w:tentative="1">
      <w:start w:val="1"/>
      <w:numFmt w:val="lowerLetter"/>
      <w:lvlText w:val="%8."/>
      <w:lvlJc w:val="left"/>
      <w:pPr>
        <w:ind w:left="5760" w:hanging="360"/>
      </w:pPr>
    </w:lvl>
    <w:lvl w:ilvl="8" w:tplc="3860235A" w:tentative="1">
      <w:start w:val="1"/>
      <w:numFmt w:val="lowerRoman"/>
      <w:lvlText w:val="%9."/>
      <w:lvlJc w:val="right"/>
      <w:pPr>
        <w:ind w:left="6480" w:hanging="180"/>
      </w:pPr>
    </w:lvl>
  </w:abstractNum>
  <w:abstractNum w:abstractNumId="6">
    <w:nsid w:val="453A7376"/>
    <w:multiLevelType w:val="hybridMultilevel"/>
    <w:tmpl w:val="932C9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6904C3"/>
    <w:multiLevelType w:val="hybridMultilevel"/>
    <w:tmpl w:val="B08A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activeWritingStyle w:appName="MSWord" w:lang="es-ES" w:vendorID="64" w:dllVersion="131078" w:nlCheck="1" w:checkStyle="1"/>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AB"/>
    <w:rsid w:val="00001AAD"/>
    <w:rsid w:val="00004025"/>
    <w:rsid w:val="00007A3B"/>
    <w:rsid w:val="00010ABF"/>
    <w:rsid w:val="000110DB"/>
    <w:rsid w:val="00011A07"/>
    <w:rsid w:val="00012380"/>
    <w:rsid w:val="00014317"/>
    <w:rsid w:val="00016253"/>
    <w:rsid w:val="00021677"/>
    <w:rsid w:val="00024A3E"/>
    <w:rsid w:val="0003413A"/>
    <w:rsid w:val="0003416C"/>
    <w:rsid w:val="00036A28"/>
    <w:rsid w:val="00041870"/>
    <w:rsid w:val="00041C2E"/>
    <w:rsid w:val="000428D9"/>
    <w:rsid w:val="00043514"/>
    <w:rsid w:val="00043684"/>
    <w:rsid w:val="00052A3E"/>
    <w:rsid w:val="00052B98"/>
    <w:rsid w:val="00055FF1"/>
    <w:rsid w:val="00062E26"/>
    <w:rsid w:val="00067FC1"/>
    <w:rsid w:val="00077883"/>
    <w:rsid w:val="0008056E"/>
    <w:rsid w:val="00085CAC"/>
    <w:rsid w:val="0008710C"/>
    <w:rsid w:val="00091F69"/>
    <w:rsid w:val="00092788"/>
    <w:rsid w:val="00095C4B"/>
    <w:rsid w:val="00097CDE"/>
    <w:rsid w:val="000A01D4"/>
    <w:rsid w:val="000A1574"/>
    <w:rsid w:val="000A20E2"/>
    <w:rsid w:val="000A33A6"/>
    <w:rsid w:val="000A63A8"/>
    <w:rsid w:val="000B10B9"/>
    <w:rsid w:val="000B2A10"/>
    <w:rsid w:val="000B3B9A"/>
    <w:rsid w:val="000B6BC1"/>
    <w:rsid w:val="000B7B65"/>
    <w:rsid w:val="000C0351"/>
    <w:rsid w:val="000C0FA6"/>
    <w:rsid w:val="000C6230"/>
    <w:rsid w:val="000C746D"/>
    <w:rsid w:val="000D0790"/>
    <w:rsid w:val="000D7ABC"/>
    <w:rsid w:val="000E116C"/>
    <w:rsid w:val="000E1AD9"/>
    <w:rsid w:val="000E1DBD"/>
    <w:rsid w:val="000E592F"/>
    <w:rsid w:val="000E7BCF"/>
    <w:rsid w:val="000F22CC"/>
    <w:rsid w:val="000F24FA"/>
    <w:rsid w:val="000F2AB4"/>
    <w:rsid w:val="000F3AFD"/>
    <w:rsid w:val="000F5CA1"/>
    <w:rsid w:val="00100C07"/>
    <w:rsid w:val="00102446"/>
    <w:rsid w:val="001057E1"/>
    <w:rsid w:val="0010633D"/>
    <w:rsid w:val="001077CF"/>
    <w:rsid w:val="001126BC"/>
    <w:rsid w:val="00113570"/>
    <w:rsid w:val="00113B39"/>
    <w:rsid w:val="001228B7"/>
    <w:rsid w:val="001253EA"/>
    <w:rsid w:val="001306C5"/>
    <w:rsid w:val="00130D4D"/>
    <w:rsid w:val="00134D4A"/>
    <w:rsid w:val="00137374"/>
    <w:rsid w:val="00137750"/>
    <w:rsid w:val="00140B17"/>
    <w:rsid w:val="00141FC0"/>
    <w:rsid w:val="001434D0"/>
    <w:rsid w:val="00144F3B"/>
    <w:rsid w:val="00150C0C"/>
    <w:rsid w:val="00152301"/>
    <w:rsid w:val="001541C0"/>
    <w:rsid w:val="00155944"/>
    <w:rsid w:val="00157552"/>
    <w:rsid w:val="00163523"/>
    <w:rsid w:val="00164D1C"/>
    <w:rsid w:val="001671E8"/>
    <w:rsid w:val="00170DB1"/>
    <w:rsid w:val="00171A2C"/>
    <w:rsid w:val="00172EEB"/>
    <w:rsid w:val="0017701B"/>
    <w:rsid w:val="00177B29"/>
    <w:rsid w:val="0019210D"/>
    <w:rsid w:val="001925DF"/>
    <w:rsid w:val="001966C5"/>
    <w:rsid w:val="00197FAA"/>
    <w:rsid w:val="001A1570"/>
    <w:rsid w:val="001A2068"/>
    <w:rsid w:val="001C51F8"/>
    <w:rsid w:val="001C5675"/>
    <w:rsid w:val="001D0E5B"/>
    <w:rsid w:val="001D5477"/>
    <w:rsid w:val="001E2535"/>
    <w:rsid w:val="001E3AC6"/>
    <w:rsid w:val="001F656A"/>
    <w:rsid w:val="002022B7"/>
    <w:rsid w:val="00205B43"/>
    <w:rsid w:val="002129CE"/>
    <w:rsid w:val="00216A80"/>
    <w:rsid w:val="00224F81"/>
    <w:rsid w:val="002254BF"/>
    <w:rsid w:val="00231418"/>
    <w:rsid w:val="00233D3A"/>
    <w:rsid w:val="002440C2"/>
    <w:rsid w:val="00244A81"/>
    <w:rsid w:val="00250EA8"/>
    <w:rsid w:val="0025119E"/>
    <w:rsid w:val="00257B13"/>
    <w:rsid w:val="00260844"/>
    <w:rsid w:val="0026264C"/>
    <w:rsid w:val="00266C1B"/>
    <w:rsid w:val="002745D7"/>
    <w:rsid w:val="00277E06"/>
    <w:rsid w:val="002800D6"/>
    <w:rsid w:val="00281CAC"/>
    <w:rsid w:val="0028515A"/>
    <w:rsid w:val="002853B3"/>
    <w:rsid w:val="00285E40"/>
    <w:rsid w:val="002879FC"/>
    <w:rsid w:val="00287B65"/>
    <w:rsid w:val="00290A8B"/>
    <w:rsid w:val="002915FF"/>
    <w:rsid w:val="00291CCF"/>
    <w:rsid w:val="0029442E"/>
    <w:rsid w:val="002A542A"/>
    <w:rsid w:val="002A598B"/>
    <w:rsid w:val="002B1813"/>
    <w:rsid w:val="002B6B9B"/>
    <w:rsid w:val="002B7FC9"/>
    <w:rsid w:val="002C0FC4"/>
    <w:rsid w:val="002C29D0"/>
    <w:rsid w:val="002C325E"/>
    <w:rsid w:val="002C5A1B"/>
    <w:rsid w:val="002C647B"/>
    <w:rsid w:val="002D3436"/>
    <w:rsid w:val="002E228B"/>
    <w:rsid w:val="002E3A9B"/>
    <w:rsid w:val="002E6692"/>
    <w:rsid w:val="002F07A5"/>
    <w:rsid w:val="002F4A1A"/>
    <w:rsid w:val="002F5757"/>
    <w:rsid w:val="0030330C"/>
    <w:rsid w:val="003037B4"/>
    <w:rsid w:val="00307B4A"/>
    <w:rsid w:val="00310E28"/>
    <w:rsid w:val="00311029"/>
    <w:rsid w:val="003116A1"/>
    <w:rsid w:val="003147D6"/>
    <w:rsid w:val="00316D52"/>
    <w:rsid w:val="003214BE"/>
    <w:rsid w:val="00323A76"/>
    <w:rsid w:val="0032536B"/>
    <w:rsid w:val="003268AB"/>
    <w:rsid w:val="00330BC4"/>
    <w:rsid w:val="00332041"/>
    <w:rsid w:val="003347F3"/>
    <w:rsid w:val="003351E3"/>
    <w:rsid w:val="003427BC"/>
    <w:rsid w:val="0034464D"/>
    <w:rsid w:val="00344A94"/>
    <w:rsid w:val="003465AD"/>
    <w:rsid w:val="00353BC5"/>
    <w:rsid w:val="003600C6"/>
    <w:rsid w:val="00362100"/>
    <w:rsid w:val="003626FF"/>
    <w:rsid w:val="00370FD2"/>
    <w:rsid w:val="00373361"/>
    <w:rsid w:val="00373F9E"/>
    <w:rsid w:val="00374826"/>
    <w:rsid w:val="003766D7"/>
    <w:rsid w:val="00380ECB"/>
    <w:rsid w:val="00382AFB"/>
    <w:rsid w:val="00383CC8"/>
    <w:rsid w:val="00384A34"/>
    <w:rsid w:val="003932C6"/>
    <w:rsid w:val="003A007B"/>
    <w:rsid w:val="003A1FCC"/>
    <w:rsid w:val="003A27AE"/>
    <w:rsid w:val="003A3758"/>
    <w:rsid w:val="003A4C89"/>
    <w:rsid w:val="003A6E54"/>
    <w:rsid w:val="003B10F7"/>
    <w:rsid w:val="003B3D37"/>
    <w:rsid w:val="003B5649"/>
    <w:rsid w:val="003C2296"/>
    <w:rsid w:val="003C41EA"/>
    <w:rsid w:val="003C4F5D"/>
    <w:rsid w:val="003C5771"/>
    <w:rsid w:val="003D122C"/>
    <w:rsid w:val="003D1AA7"/>
    <w:rsid w:val="003D3FCA"/>
    <w:rsid w:val="003D476B"/>
    <w:rsid w:val="003D5035"/>
    <w:rsid w:val="003D6375"/>
    <w:rsid w:val="003D652D"/>
    <w:rsid w:val="003E2E73"/>
    <w:rsid w:val="003E424D"/>
    <w:rsid w:val="003F31D3"/>
    <w:rsid w:val="003F64E2"/>
    <w:rsid w:val="003F662E"/>
    <w:rsid w:val="003F6EF2"/>
    <w:rsid w:val="00400D60"/>
    <w:rsid w:val="00401BE5"/>
    <w:rsid w:val="004034E5"/>
    <w:rsid w:val="00403BC0"/>
    <w:rsid w:val="00413B57"/>
    <w:rsid w:val="0041534E"/>
    <w:rsid w:val="0042049C"/>
    <w:rsid w:val="004231C9"/>
    <w:rsid w:val="00423A15"/>
    <w:rsid w:val="00423D08"/>
    <w:rsid w:val="004243BA"/>
    <w:rsid w:val="00430FC8"/>
    <w:rsid w:val="00431DA9"/>
    <w:rsid w:val="00433A96"/>
    <w:rsid w:val="00437438"/>
    <w:rsid w:val="00443112"/>
    <w:rsid w:val="00446A2D"/>
    <w:rsid w:val="00452DD5"/>
    <w:rsid w:val="004531AF"/>
    <w:rsid w:val="004551D9"/>
    <w:rsid w:val="00455F91"/>
    <w:rsid w:val="0046395F"/>
    <w:rsid w:val="00464A14"/>
    <w:rsid w:val="00466606"/>
    <w:rsid w:val="00471487"/>
    <w:rsid w:val="00471C4B"/>
    <w:rsid w:val="00472589"/>
    <w:rsid w:val="00472903"/>
    <w:rsid w:val="00477E00"/>
    <w:rsid w:val="004807DD"/>
    <w:rsid w:val="00480D49"/>
    <w:rsid w:val="00481678"/>
    <w:rsid w:val="0049072B"/>
    <w:rsid w:val="0049090B"/>
    <w:rsid w:val="00490B6B"/>
    <w:rsid w:val="004911A8"/>
    <w:rsid w:val="00491E7D"/>
    <w:rsid w:val="004944C2"/>
    <w:rsid w:val="004A1F21"/>
    <w:rsid w:val="004A2493"/>
    <w:rsid w:val="004A3A72"/>
    <w:rsid w:val="004A42E5"/>
    <w:rsid w:val="004A51ED"/>
    <w:rsid w:val="004B16F0"/>
    <w:rsid w:val="004B2EE3"/>
    <w:rsid w:val="004B31A8"/>
    <w:rsid w:val="004B357D"/>
    <w:rsid w:val="004D0629"/>
    <w:rsid w:val="004D3B10"/>
    <w:rsid w:val="004D6B66"/>
    <w:rsid w:val="004E17DD"/>
    <w:rsid w:val="004E1B26"/>
    <w:rsid w:val="004E1EEF"/>
    <w:rsid w:val="004E44BA"/>
    <w:rsid w:val="004E5083"/>
    <w:rsid w:val="004F4CEB"/>
    <w:rsid w:val="004F6F22"/>
    <w:rsid w:val="00503759"/>
    <w:rsid w:val="00504257"/>
    <w:rsid w:val="0050639D"/>
    <w:rsid w:val="0051053C"/>
    <w:rsid w:val="00513106"/>
    <w:rsid w:val="00513237"/>
    <w:rsid w:val="005133BF"/>
    <w:rsid w:val="00514876"/>
    <w:rsid w:val="00516FEF"/>
    <w:rsid w:val="0052063E"/>
    <w:rsid w:val="00520F8B"/>
    <w:rsid w:val="00522AF1"/>
    <w:rsid w:val="005233B8"/>
    <w:rsid w:val="00523D95"/>
    <w:rsid w:val="00523F1B"/>
    <w:rsid w:val="00524DEA"/>
    <w:rsid w:val="00526984"/>
    <w:rsid w:val="005345B1"/>
    <w:rsid w:val="00535AC1"/>
    <w:rsid w:val="00535EBE"/>
    <w:rsid w:val="00536BA2"/>
    <w:rsid w:val="00540E40"/>
    <w:rsid w:val="00541875"/>
    <w:rsid w:val="00541E41"/>
    <w:rsid w:val="00546051"/>
    <w:rsid w:val="00550129"/>
    <w:rsid w:val="00553FF4"/>
    <w:rsid w:val="005542D6"/>
    <w:rsid w:val="0055682A"/>
    <w:rsid w:val="00556E3E"/>
    <w:rsid w:val="00560DF7"/>
    <w:rsid w:val="0056467B"/>
    <w:rsid w:val="005646AE"/>
    <w:rsid w:val="005660E8"/>
    <w:rsid w:val="00571C87"/>
    <w:rsid w:val="00574841"/>
    <w:rsid w:val="00574CD6"/>
    <w:rsid w:val="00582B28"/>
    <w:rsid w:val="00582DC8"/>
    <w:rsid w:val="005832B2"/>
    <w:rsid w:val="005832B8"/>
    <w:rsid w:val="00585FBE"/>
    <w:rsid w:val="00590AA7"/>
    <w:rsid w:val="00591748"/>
    <w:rsid w:val="00593AFD"/>
    <w:rsid w:val="00595B14"/>
    <w:rsid w:val="005A1FB3"/>
    <w:rsid w:val="005A2779"/>
    <w:rsid w:val="005A2AD9"/>
    <w:rsid w:val="005A2D6A"/>
    <w:rsid w:val="005A2DA5"/>
    <w:rsid w:val="005B1397"/>
    <w:rsid w:val="005B2325"/>
    <w:rsid w:val="005B30C2"/>
    <w:rsid w:val="005B42CD"/>
    <w:rsid w:val="005B559D"/>
    <w:rsid w:val="005B68BF"/>
    <w:rsid w:val="005B7725"/>
    <w:rsid w:val="005C65CD"/>
    <w:rsid w:val="005D761D"/>
    <w:rsid w:val="005D76C0"/>
    <w:rsid w:val="005E2D86"/>
    <w:rsid w:val="005E3D0D"/>
    <w:rsid w:val="005E60D5"/>
    <w:rsid w:val="005E661E"/>
    <w:rsid w:val="005E7672"/>
    <w:rsid w:val="005E776A"/>
    <w:rsid w:val="005F5402"/>
    <w:rsid w:val="005F684A"/>
    <w:rsid w:val="006003B6"/>
    <w:rsid w:val="00600623"/>
    <w:rsid w:val="00601DB7"/>
    <w:rsid w:val="006064DD"/>
    <w:rsid w:val="00607612"/>
    <w:rsid w:val="0061386A"/>
    <w:rsid w:val="00623851"/>
    <w:rsid w:val="006266BE"/>
    <w:rsid w:val="00627BB9"/>
    <w:rsid w:val="00637E87"/>
    <w:rsid w:val="00651886"/>
    <w:rsid w:val="0065272D"/>
    <w:rsid w:val="006544F0"/>
    <w:rsid w:val="00654CAF"/>
    <w:rsid w:val="00655CE7"/>
    <w:rsid w:val="0065758F"/>
    <w:rsid w:val="006602B8"/>
    <w:rsid w:val="00663865"/>
    <w:rsid w:val="0067253F"/>
    <w:rsid w:val="006777E6"/>
    <w:rsid w:val="00683298"/>
    <w:rsid w:val="006860A4"/>
    <w:rsid w:val="00691C4B"/>
    <w:rsid w:val="00692683"/>
    <w:rsid w:val="00692B6A"/>
    <w:rsid w:val="006938BE"/>
    <w:rsid w:val="006A0A45"/>
    <w:rsid w:val="006A4E8C"/>
    <w:rsid w:val="006A697B"/>
    <w:rsid w:val="006B0A4F"/>
    <w:rsid w:val="006B2935"/>
    <w:rsid w:val="006B3FC9"/>
    <w:rsid w:val="006B4483"/>
    <w:rsid w:val="006B46A4"/>
    <w:rsid w:val="006D3678"/>
    <w:rsid w:val="006D4BC8"/>
    <w:rsid w:val="006D4E6A"/>
    <w:rsid w:val="006D6B0F"/>
    <w:rsid w:val="006E033E"/>
    <w:rsid w:val="006E3279"/>
    <w:rsid w:val="006E531A"/>
    <w:rsid w:val="006E6067"/>
    <w:rsid w:val="006E606F"/>
    <w:rsid w:val="006E6157"/>
    <w:rsid w:val="006E6892"/>
    <w:rsid w:val="006E6D06"/>
    <w:rsid w:val="006E7591"/>
    <w:rsid w:val="006F1657"/>
    <w:rsid w:val="006F284E"/>
    <w:rsid w:val="006F6430"/>
    <w:rsid w:val="0070234B"/>
    <w:rsid w:val="00704AEB"/>
    <w:rsid w:val="007050D7"/>
    <w:rsid w:val="00706248"/>
    <w:rsid w:val="00707525"/>
    <w:rsid w:val="007110F1"/>
    <w:rsid w:val="00713AB5"/>
    <w:rsid w:val="00714CCC"/>
    <w:rsid w:val="00714E53"/>
    <w:rsid w:val="0071785F"/>
    <w:rsid w:val="0071787C"/>
    <w:rsid w:val="00717984"/>
    <w:rsid w:val="0072281A"/>
    <w:rsid w:val="00722A98"/>
    <w:rsid w:val="00723115"/>
    <w:rsid w:val="0072743F"/>
    <w:rsid w:val="00733FCA"/>
    <w:rsid w:val="0073785C"/>
    <w:rsid w:val="0073795D"/>
    <w:rsid w:val="00744ED6"/>
    <w:rsid w:val="00745144"/>
    <w:rsid w:val="00752E61"/>
    <w:rsid w:val="00756ACF"/>
    <w:rsid w:val="00763378"/>
    <w:rsid w:val="007670EB"/>
    <w:rsid w:val="00767E19"/>
    <w:rsid w:val="007702C1"/>
    <w:rsid w:val="007724A8"/>
    <w:rsid w:val="0077292F"/>
    <w:rsid w:val="00773CFA"/>
    <w:rsid w:val="00790CD0"/>
    <w:rsid w:val="00792AFF"/>
    <w:rsid w:val="007946BF"/>
    <w:rsid w:val="007A0673"/>
    <w:rsid w:val="007A1E77"/>
    <w:rsid w:val="007A3FFF"/>
    <w:rsid w:val="007B2C4E"/>
    <w:rsid w:val="007B4C53"/>
    <w:rsid w:val="007B6311"/>
    <w:rsid w:val="007D1AC7"/>
    <w:rsid w:val="007D55DF"/>
    <w:rsid w:val="007E0039"/>
    <w:rsid w:val="007E2E82"/>
    <w:rsid w:val="007E303F"/>
    <w:rsid w:val="007E3401"/>
    <w:rsid w:val="007E3534"/>
    <w:rsid w:val="007F6BCD"/>
    <w:rsid w:val="0080037C"/>
    <w:rsid w:val="00800E93"/>
    <w:rsid w:val="00802E9E"/>
    <w:rsid w:val="00804E48"/>
    <w:rsid w:val="0081002F"/>
    <w:rsid w:val="00810290"/>
    <w:rsid w:val="00810C11"/>
    <w:rsid w:val="00816DF6"/>
    <w:rsid w:val="00820C27"/>
    <w:rsid w:val="008233F0"/>
    <w:rsid w:val="00824194"/>
    <w:rsid w:val="008268EC"/>
    <w:rsid w:val="0082751D"/>
    <w:rsid w:val="00830CC9"/>
    <w:rsid w:val="0083344B"/>
    <w:rsid w:val="00833C58"/>
    <w:rsid w:val="00834EBC"/>
    <w:rsid w:val="00837FF6"/>
    <w:rsid w:val="008424D8"/>
    <w:rsid w:val="00844FC4"/>
    <w:rsid w:val="00851191"/>
    <w:rsid w:val="00852D18"/>
    <w:rsid w:val="00853B68"/>
    <w:rsid w:val="0085428C"/>
    <w:rsid w:val="008614C4"/>
    <w:rsid w:val="00865E33"/>
    <w:rsid w:val="008667C0"/>
    <w:rsid w:val="00866EC9"/>
    <w:rsid w:val="00867025"/>
    <w:rsid w:val="008679F9"/>
    <w:rsid w:val="00867F17"/>
    <w:rsid w:val="008733FC"/>
    <w:rsid w:val="00883DBA"/>
    <w:rsid w:val="008921E5"/>
    <w:rsid w:val="00895736"/>
    <w:rsid w:val="00897823"/>
    <w:rsid w:val="008A59B8"/>
    <w:rsid w:val="008A79BE"/>
    <w:rsid w:val="008B4092"/>
    <w:rsid w:val="008B4B01"/>
    <w:rsid w:val="008B4BC4"/>
    <w:rsid w:val="008C1988"/>
    <w:rsid w:val="008C2D30"/>
    <w:rsid w:val="008C5C03"/>
    <w:rsid w:val="008D10E9"/>
    <w:rsid w:val="008D253B"/>
    <w:rsid w:val="008D50EE"/>
    <w:rsid w:val="008D5847"/>
    <w:rsid w:val="008E6742"/>
    <w:rsid w:val="008F0523"/>
    <w:rsid w:val="008F0A50"/>
    <w:rsid w:val="008F443B"/>
    <w:rsid w:val="008F4788"/>
    <w:rsid w:val="008F4917"/>
    <w:rsid w:val="008F522D"/>
    <w:rsid w:val="008F558B"/>
    <w:rsid w:val="0090387B"/>
    <w:rsid w:val="0090571C"/>
    <w:rsid w:val="00905741"/>
    <w:rsid w:val="0091038D"/>
    <w:rsid w:val="009135FD"/>
    <w:rsid w:val="009234D4"/>
    <w:rsid w:val="00923E30"/>
    <w:rsid w:val="00924353"/>
    <w:rsid w:val="009340F8"/>
    <w:rsid w:val="009365F7"/>
    <w:rsid w:val="009442D0"/>
    <w:rsid w:val="0095020D"/>
    <w:rsid w:val="0095087B"/>
    <w:rsid w:val="00955B42"/>
    <w:rsid w:val="00955EC3"/>
    <w:rsid w:val="00960270"/>
    <w:rsid w:val="00961897"/>
    <w:rsid w:val="00961D33"/>
    <w:rsid w:val="009626DC"/>
    <w:rsid w:val="009633A2"/>
    <w:rsid w:val="00963FD7"/>
    <w:rsid w:val="00970FE3"/>
    <w:rsid w:val="00975C9A"/>
    <w:rsid w:val="009775BB"/>
    <w:rsid w:val="00977E28"/>
    <w:rsid w:val="0098056A"/>
    <w:rsid w:val="00982008"/>
    <w:rsid w:val="00984411"/>
    <w:rsid w:val="00985DF9"/>
    <w:rsid w:val="009940E2"/>
    <w:rsid w:val="0099748B"/>
    <w:rsid w:val="00997E10"/>
    <w:rsid w:val="00997FF0"/>
    <w:rsid w:val="009A0F5A"/>
    <w:rsid w:val="009A18B4"/>
    <w:rsid w:val="009A3036"/>
    <w:rsid w:val="009A717B"/>
    <w:rsid w:val="009B6EAF"/>
    <w:rsid w:val="009C1335"/>
    <w:rsid w:val="009C1B6F"/>
    <w:rsid w:val="009C263A"/>
    <w:rsid w:val="009C6F1A"/>
    <w:rsid w:val="009C702A"/>
    <w:rsid w:val="009D1FA1"/>
    <w:rsid w:val="009D24A0"/>
    <w:rsid w:val="009D743C"/>
    <w:rsid w:val="009E02DB"/>
    <w:rsid w:val="009E099E"/>
    <w:rsid w:val="009E29E4"/>
    <w:rsid w:val="009E46F4"/>
    <w:rsid w:val="009E69BC"/>
    <w:rsid w:val="009E7907"/>
    <w:rsid w:val="009F1343"/>
    <w:rsid w:val="009F4C3B"/>
    <w:rsid w:val="00A00900"/>
    <w:rsid w:val="00A024D3"/>
    <w:rsid w:val="00A029F4"/>
    <w:rsid w:val="00A03D9A"/>
    <w:rsid w:val="00A03EDB"/>
    <w:rsid w:val="00A05596"/>
    <w:rsid w:val="00A06514"/>
    <w:rsid w:val="00A0764C"/>
    <w:rsid w:val="00A101AD"/>
    <w:rsid w:val="00A10D32"/>
    <w:rsid w:val="00A10EA6"/>
    <w:rsid w:val="00A11285"/>
    <w:rsid w:val="00A132A4"/>
    <w:rsid w:val="00A20576"/>
    <w:rsid w:val="00A2087A"/>
    <w:rsid w:val="00A20B73"/>
    <w:rsid w:val="00A23F1C"/>
    <w:rsid w:val="00A2416C"/>
    <w:rsid w:val="00A3187A"/>
    <w:rsid w:val="00A321EF"/>
    <w:rsid w:val="00A32BB7"/>
    <w:rsid w:val="00A375A2"/>
    <w:rsid w:val="00A42DE6"/>
    <w:rsid w:val="00A5071C"/>
    <w:rsid w:val="00A54CB6"/>
    <w:rsid w:val="00A55C02"/>
    <w:rsid w:val="00A57194"/>
    <w:rsid w:val="00A60190"/>
    <w:rsid w:val="00A60384"/>
    <w:rsid w:val="00A64810"/>
    <w:rsid w:val="00A649EB"/>
    <w:rsid w:val="00A64B41"/>
    <w:rsid w:val="00A663E2"/>
    <w:rsid w:val="00A670B4"/>
    <w:rsid w:val="00A71445"/>
    <w:rsid w:val="00A73F89"/>
    <w:rsid w:val="00A75313"/>
    <w:rsid w:val="00A7754C"/>
    <w:rsid w:val="00A80DE5"/>
    <w:rsid w:val="00A824AC"/>
    <w:rsid w:val="00A83E46"/>
    <w:rsid w:val="00A84CFA"/>
    <w:rsid w:val="00A876B0"/>
    <w:rsid w:val="00A90ECF"/>
    <w:rsid w:val="00A921DF"/>
    <w:rsid w:val="00AA1A2F"/>
    <w:rsid w:val="00AA314C"/>
    <w:rsid w:val="00AA3A54"/>
    <w:rsid w:val="00AA4582"/>
    <w:rsid w:val="00AA6AF4"/>
    <w:rsid w:val="00AB24D8"/>
    <w:rsid w:val="00AB483C"/>
    <w:rsid w:val="00AB6596"/>
    <w:rsid w:val="00AC18CD"/>
    <w:rsid w:val="00AC4999"/>
    <w:rsid w:val="00AC7278"/>
    <w:rsid w:val="00AD2E6C"/>
    <w:rsid w:val="00AD330C"/>
    <w:rsid w:val="00AE00D6"/>
    <w:rsid w:val="00AE1A03"/>
    <w:rsid w:val="00AE1B65"/>
    <w:rsid w:val="00AE1DAD"/>
    <w:rsid w:val="00AE79A1"/>
    <w:rsid w:val="00AF1806"/>
    <w:rsid w:val="00B00732"/>
    <w:rsid w:val="00B01191"/>
    <w:rsid w:val="00B062BD"/>
    <w:rsid w:val="00B10201"/>
    <w:rsid w:val="00B11F8C"/>
    <w:rsid w:val="00B12486"/>
    <w:rsid w:val="00B12867"/>
    <w:rsid w:val="00B16199"/>
    <w:rsid w:val="00B16589"/>
    <w:rsid w:val="00B21569"/>
    <w:rsid w:val="00B21995"/>
    <w:rsid w:val="00B2357E"/>
    <w:rsid w:val="00B23911"/>
    <w:rsid w:val="00B240AE"/>
    <w:rsid w:val="00B25D49"/>
    <w:rsid w:val="00B274B4"/>
    <w:rsid w:val="00B3226C"/>
    <w:rsid w:val="00B4008C"/>
    <w:rsid w:val="00B41739"/>
    <w:rsid w:val="00B4503D"/>
    <w:rsid w:val="00B45170"/>
    <w:rsid w:val="00B452BB"/>
    <w:rsid w:val="00B50CC7"/>
    <w:rsid w:val="00B52F66"/>
    <w:rsid w:val="00B53FA9"/>
    <w:rsid w:val="00B547D2"/>
    <w:rsid w:val="00B5598D"/>
    <w:rsid w:val="00B5599C"/>
    <w:rsid w:val="00B62142"/>
    <w:rsid w:val="00B6445B"/>
    <w:rsid w:val="00B6478F"/>
    <w:rsid w:val="00B6743A"/>
    <w:rsid w:val="00B72AFA"/>
    <w:rsid w:val="00B73AC1"/>
    <w:rsid w:val="00B744E4"/>
    <w:rsid w:val="00B76450"/>
    <w:rsid w:val="00B822E6"/>
    <w:rsid w:val="00B85CF0"/>
    <w:rsid w:val="00B86127"/>
    <w:rsid w:val="00B86269"/>
    <w:rsid w:val="00B86698"/>
    <w:rsid w:val="00B902F6"/>
    <w:rsid w:val="00BA13E7"/>
    <w:rsid w:val="00BA65DC"/>
    <w:rsid w:val="00BA75B4"/>
    <w:rsid w:val="00BB1616"/>
    <w:rsid w:val="00BB544F"/>
    <w:rsid w:val="00BB6816"/>
    <w:rsid w:val="00BC04E5"/>
    <w:rsid w:val="00BC52CF"/>
    <w:rsid w:val="00BC617B"/>
    <w:rsid w:val="00BD0F45"/>
    <w:rsid w:val="00BD705D"/>
    <w:rsid w:val="00BD7781"/>
    <w:rsid w:val="00BE0C66"/>
    <w:rsid w:val="00BE3D62"/>
    <w:rsid w:val="00BF0528"/>
    <w:rsid w:val="00BF1285"/>
    <w:rsid w:val="00BF2F10"/>
    <w:rsid w:val="00BF5967"/>
    <w:rsid w:val="00BF7D9B"/>
    <w:rsid w:val="00C005F6"/>
    <w:rsid w:val="00C0617B"/>
    <w:rsid w:val="00C06548"/>
    <w:rsid w:val="00C10355"/>
    <w:rsid w:val="00C10A99"/>
    <w:rsid w:val="00C17528"/>
    <w:rsid w:val="00C21A91"/>
    <w:rsid w:val="00C234C1"/>
    <w:rsid w:val="00C276A6"/>
    <w:rsid w:val="00C31069"/>
    <w:rsid w:val="00C31C8F"/>
    <w:rsid w:val="00C32E15"/>
    <w:rsid w:val="00C33A36"/>
    <w:rsid w:val="00C34112"/>
    <w:rsid w:val="00C36276"/>
    <w:rsid w:val="00C419CD"/>
    <w:rsid w:val="00C42731"/>
    <w:rsid w:val="00C42952"/>
    <w:rsid w:val="00C430C1"/>
    <w:rsid w:val="00C43FF9"/>
    <w:rsid w:val="00C478B6"/>
    <w:rsid w:val="00C6339A"/>
    <w:rsid w:val="00C67D2B"/>
    <w:rsid w:val="00C72349"/>
    <w:rsid w:val="00C73E5A"/>
    <w:rsid w:val="00C73F61"/>
    <w:rsid w:val="00C7724A"/>
    <w:rsid w:val="00C8013F"/>
    <w:rsid w:val="00C86826"/>
    <w:rsid w:val="00C87DF1"/>
    <w:rsid w:val="00C91CBE"/>
    <w:rsid w:val="00C956B2"/>
    <w:rsid w:val="00CA02F8"/>
    <w:rsid w:val="00CA17B9"/>
    <w:rsid w:val="00CB1326"/>
    <w:rsid w:val="00CB7D12"/>
    <w:rsid w:val="00CC295C"/>
    <w:rsid w:val="00CC4772"/>
    <w:rsid w:val="00CC7CB7"/>
    <w:rsid w:val="00CD0B7D"/>
    <w:rsid w:val="00CD228C"/>
    <w:rsid w:val="00CD28F2"/>
    <w:rsid w:val="00CD649B"/>
    <w:rsid w:val="00CE0847"/>
    <w:rsid w:val="00CE102E"/>
    <w:rsid w:val="00CE53BB"/>
    <w:rsid w:val="00CF00CE"/>
    <w:rsid w:val="00CF1057"/>
    <w:rsid w:val="00CF6539"/>
    <w:rsid w:val="00CF6746"/>
    <w:rsid w:val="00D043F6"/>
    <w:rsid w:val="00D06749"/>
    <w:rsid w:val="00D07391"/>
    <w:rsid w:val="00D130B1"/>
    <w:rsid w:val="00D13B4B"/>
    <w:rsid w:val="00D15AFB"/>
    <w:rsid w:val="00D17536"/>
    <w:rsid w:val="00D17B87"/>
    <w:rsid w:val="00D209BB"/>
    <w:rsid w:val="00D20F60"/>
    <w:rsid w:val="00D235FD"/>
    <w:rsid w:val="00D25E23"/>
    <w:rsid w:val="00D36A32"/>
    <w:rsid w:val="00D37D49"/>
    <w:rsid w:val="00D437BF"/>
    <w:rsid w:val="00D437E2"/>
    <w:rsid w:val="00D51DFF"/>
    <w:rsid w:val="00D51EB6"/>
    <w:rsid w:val="00D53BE5"/>
    <w:rsid w:val="00D54D2C"/>
    <w:rsid w:val="00D5558E"/>
    <w:rsid w:val="00D55E4C"/>
    <w:rsid w:val="00D567E5"/>
    <w:rsid w:val="00D57F75"/>
    <w:rsid w:val="00D661F4"/>
    <w:rsid w:val="00D71392"/>
    <w:rsid w:val="00D713F9"/>
    <w:rsid w:val="00D71FF4"/>
    <w:rsid w:val="00D72CD0"/>
    <w:rsid w:val="00D74E0B"/>
    <w:rsid w:val="00D74E12"/>
    <w:rsid w:val="00D7585F"/>
    <w:rsid w:val="00D80EC2"/>
    <w:rsid w:val="00D82321"/>
    <w:rsid w:val="00D82DAF"/>
    <w:rsid w:val="00D840F5"/>
    <w:rsid w:val="00D916CF"/>
    <w:rsid w:val="00D93EE5"/>
    <w:rsid w:val="00D953A3"/>
    <w:rsid w:val="00D95805"/>
    <w:rsid w:val="00D95839"/>
    <w:rsid w:val="00D971B4"/>
    <w:rsid w:val="00DA0D85"/>
    <w:rsid w:val="00DB75FC"/>
    <w:rsid w:val="00DB7690"/>
    <w:rsid w:val="00DC2115"/>
    <w:rsid w:val="00DC2C44"/>
    <w:rsid w:val="00DC39C7"/>
    <w:rsid w:val="00DC3CE6"/>
    <w:rsid w:val="00DC506C"/>
    <w:rsid w:val="00DC6A0E"/>
    <w:rsid w:val="00DD0951"/>
    <w:rsid w:val="00DD31CA"/>
    <w:rsid w:val="00DD4913"/>
    <w:rsid w:val="00DE17EF"/>
    <w:rsid w:val="00DE20D0"/>
    <w:rsid w:val="00DE2F2B"/>
    <w:rsid w:val="00DE4D3D"/>
    <w:rsid w:val="00DE620A"/>
    <w:rsid w:val="00DF00CC"/>
    <w:rsid w:val="00DF1BE9"/>
    <w:rsid w:val="00DF2CE2"/>
    <w:rsid w:val="00DF36DD"/>
    <w:rsid w:val="00DF387C"/>
    <w:rsid w:val="00DF638B"/>
    <w:rsid w:val="00E05FAB"/>
    <w:rsid w:val="00E06CA2"/>
    <w:rsid w:val="00E12717"/>
    <w:rsid w:val="00E128F9"/>
    <w:rsid w:val="00E139BA"/>
    <w:rsid w:val="00E156AD"/>
    <w:rsid w:val="00E17E39"/>
    <w:rsid w:val="00E22BB0"/>
    <w:rsid w:val="00E23F38"/>
    <w:rsid w:val="00E24BAF"/>
    <w:rsid w:val="00E25820"/>
    <w:rsid w:val="00E304C8"/>
    <w:rsid w:val="00E3080F"/>
    <w:rsid w:val="00E30829"/>
    <w:rsid w:val="00E34BFA"/>
    <w:rsid w:val="00E36387"/>
    <w:rsid w:val="00E42FC4"/>
    <w:rsid w:val="00E43540"/>
    <w:rsid w:val="00E4394C"/>
    <w:rsid w:val="00E439FB"/>
    <w:rsid w:val="00E43B7C"/>
    <w:rsid w:val="00E4551E"/>
    <w:rsid w:val="00E519CF"/>
    <w:rsid w:val="00E54595"/>
    <w:rsid w:val="00E60CD9"/>
    <w:rsid w:val="00E611F2"/>
    <w:rsid w:val="00E643E1"/>
    <w:rsid w:val="00E64A00"/>
    <w:rsid w:val="00E64B7A"/>
    <w:rsid w:val="00E67D0E"/>
    <w:rsid w:val="00E71054"/>
    <w:rsid w:val="00E75106"/>
    <w:rsid w:val="00E77228"/>
    <w:rsid w:val="00E87415"/>
    <w:rsid w:val="00E874B7"/>
    <w:rsid w:val="00E91344"/>
    <w:rsid w:val="00E94915"/>
    <w:rsid w:val="00EA1157"/>
    <w:rsid w:val="00EA2215"/>
    <w:rsid w:val="00EB0744"/>
    <w:rsid w:val="00EC20B8"/>
    <w:rsid w:val="00EC57AB"/>
    <w:rsid w:val="00ED2702"/>
    <w:rsid w:val="00ED278B"/>
    <w:rsid w:val="00ED2808"/>
    <w:rsid w:val="00ED3008"/>
    <w:rsid w:val="00ED5176"/>
    <w:rsid w:val="00ED6404"/>
    <w:rsid w:val="00ED69E2"/>
    <w:rsid w:val="00EF1DB3"/>
    <w:rsid w:val="00EF2D60"/>
    <w:rsid w:val="00EF78D4"/>
    <w:rsid w:val="00EF7F2C"/>
    <w:rsid w:val="00F01773"/>
    <w:rsid w:val="00F03927"/>
    <w:rsid w:val="00F133FC"/>
    <w:rsid w:val="00F138AD"/>
    <w:rsid w:val="00F13BE3"/>
    <w:rsid w:val="00F13F6D"/>
    <w:rsid w:val="00F1558F"/>
    <w:rsid w:val="00F17437"/>
    <w:rsid w:val="00F21759"/>
    <w:rsid w:val="00F33D82"/>
    <w:rsid w:val="00F33E30"/>
    <w:rsid w:val="00F355F4"/>
    <w:rsid w:val="00F378B4"/>
    <w:rsid w:val="00F4081D"/>
    <w:rsid w:val="00F42EEC"/>
    <w:rsid w:val="00F4302B"/>
    <w:rsid w:val="00F46584"/>
    <w:rsid w:val="00F55D9A"/>
    <w:rsid w:val="00F55E95"/>
    <w:rsid w:val="00F569EC"/>
    <w:rsid w:val="00F62D17"/>
    <w:rsid w:val="00F648BC"/>
    <w:rsid w:val="00F669EC"/>
    <w:rsid w:val="00F72CCE"/>
    <w:rsid w:val="00F80CCA"/>
    <w:rsid w:val="00F85F38"/>
    <w:rsid w:val="00F870EF"/>
    <w:rsid w:val="00F87554"/>
    <w:rsid w:val="00F9000C"/>
    <w:rsid w:val="00F90477"/>
    <w:rsid w:val="00F9402F"/>
    <w:rsid w:val="00F96651"/>
    <w:rsid w:val="00F977C3"/>
    <w:rsid w:val="00F97C16"/>
    <w:rsid w:val="00FB31AB"/>
    <w:rsid w:val="00FB4824"/>
    <w:rsid w:val="00FB6589"/>
    <w:rsid w:val="00FC0FB9"/>
    <w:rsid w:val="00FC315E"/>
    <w:rsid w:val="00FC6DF9"/>
    <w:rsid w:val="00FD11C8"/>
    <w:rsid w:val="00FD1B87"/>
    <w:rsid w:val="00FE044E"/>
    <w:rsid w:val="00FE11EA"/>
    <w:rsid w:val="00FE1666"/>
    <w:rsid w:val="00FE556E"/>
    <w:rsid w:val="00FE62E4"/>
    <w:rsid w:val="00FE6875"/>
    <w:rsid w:val="00FF67FF"/>
    <w:rsid w:val="00FF73F7"/>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C5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8AB"/>
    <w:pPr>
      <w:spacing w:line="360" w:lineRule="auto"/>
      <w:jc w:val="both"/>
    </w:pPr>
    <w:rPr>
      <w:rFonts w:ascii="Times New Roman" w:hAnsi="Times New Roman"/>
    </w:rPr>
  </w:style>
  <w:style w:type="paragraph" w:styleId="Heading1">
    <w:name w:val="heading 1"/>
    <w:aliases w:val="Heading"/>
    <w:basedOn w:val="Normal"/>
    <w:next w:val="Normal"/>
    <w:link w:val="Heading1Char"/>
    <w:uiPriority w:val="9"/>
    <w:qFormat/>
    <w:rsid w:val="00AC4999"/>
    <w:pPr>
      <w:keepNext/>
      <w:keepLines/>
      <w:spacing w:before="120" w:after="120"/>
      <w:jc w:val="left"/>
      <w:outlineLvl w:val="0"/>
    </w:pPr>
    <w:rPr>
      <w:b/>
      <w:sz w:val="28"/>
    </w:rPr>
  </w:style>
  <w:style w:type="paragraph" w:styleId="Heading2">
    <w:name w:val="heading 2"/>
    <w:aliases w:val="Subheading"/>
    <w:basedOn w:val="Normal"/>
    <w:next w:val="Normal"/>
    <w:link w:val="Heading2Char"/>
    <w:uiPriority w:val="9"/>
    <w:unhideWhenUsed/>
    <w:qFormat/>
    <w:rsid w:val="00AC4999"/>
    <w:pPr>
      <w:keepNext/>
      <w:keepLines/>
      <w:spacing w:before="120" w:after="12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C4999"/>
    <w:rPr>
      <w:rFonts w:ascii="Times New Roman" w:hAnsi="Times New Roman"/>
      <w:b/>
      <w:sz w:val="28"/>
    </w:rPr>
  </w:style>
  <w:style w:type="character" w:customStyle="1" w:styleId="Heading2Char">
    <w:name w:val="Heading 2 Char"/>
    <w:aliases w:val="Subheading Char"/>
    <w:basedOn w:val="DefaultParagraphFont"/>
    <w:link w:val="Heading2"/>
    <w:uiPriority w:val="9"/>
    <w:rsid w:val="00AC4999"/>
    <w:rPr>
      <w:rFonts w:ascii="Times New Roman" w:eastAsiaTheme="majorEastAsia" w:hAnsi="Times New Roman" w:cstheme="majorBidi"/>
      <w:b/>
      <w:color w:val="000000" w:themeColor="text1"/>
      <w:sz w:val="26"/>
      <w:szCs w:val="26"/>
    </w:rPr>
  </w:style>
  <w:style w:type="paragraph" w:styleId="Subtitle">
    <w:name w:val="Subtitle"/>
    <w:basedOn w:val="Normal"/>
    <w:next w:val="Normal"/>
    <w:link w:val="SubtitleChar"/>
    <w:uiPriority w:val="11"/>
    <w:qFormat/>
    <w:rsid w:val="003268AB"/>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3268AB"/>
    <w:rPr>
      <w:color w:val="5A5A5A" w:themeColor="text1" w:themeTint="A5"/>
      <w:spacing w:val="15"/>
      <w:sz w:val="22"/>
      <w:szCs w:val="22"/>
    </w:rPr>
  </w:style>
  <w:style w:type="table" w:styleId="TableGrid">
    <w:name w:val="Table Grid"/>
    <w:basedOn w:val="TableNormal"/>
    <w:uiPriority w:val="39"/>
    <w:rsid w:val="000B3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614C4"/>
    <w:pPr>
      <w:spacing w:after="200" w:line="240" w:lineRule="auto"/>
    </w:pPr>
    <w:rPr>
      <w:i/>
      <w:iCs/>
      <w:color w:val="44546A" w:themeColor="text2"/>
      <w:sz w:val="18"/>
      <w:szCs w:val="18"/>
    </w:rPr>
  </w:style>
  <w:style w:type="paragraph" w:styleId="ListParagraph">
    <w:name w:val="List Paragraph"/>
    <w:basedOn w:val="Normal"/>
    <w:uiPriority w:val="34"/>
    <w:qFormat/>
    <w:rsid w:val="008614C4"/>
    <w:pPr>
      <w:ind w:left="720"/>
      <w:contextualSpacing/>
    </w:pPr>
  </w:style>
  <w:style w:type="paragraph" w:styleId="Header">
    <w:name w:val="header"/>
    <w:basedOn w:val="Normal"/>
    <w:link w:val="HeaderChar"/>
    <w:uiPriority w:val="99"/>
    <w:unhideWhenUsed/>
    <w:rsid w:val="00157552"/>
    <w:pPr>
      <w:tabs>
        <w:tab w:val="center" w:pos="4680"/>
        <w:tab w:val="right" w:pos="9360"/>
      </w:tabs>
      <w:spacing w:line="240" w:lineRule="auto"/>
    </w:pPr>
  </w:style>
  <w:style w:type="character" w:customStyle="1" w:styleId="HeaderChar">
    <w:name w:val="Header Char"/>
    <w:basedOn w:val="DefaultParagraphFont"/>
    <w:link w:val="Header"/>
    <w:uiPriority w:val="99"/>
    <w:rsid w:val="00157552"/>
    <w:rPr>
      <w:rFonts w:ascii="Times New Roman" w:hAnsi="Times New Roman"/>
    </w:rPr>
  </w:style>
  <w:style w:type="paragraph" w:styleId="Footer">
    <w:name w:val="footer"/>
    <w:basedOn w:val="Normal"/>
    <w:link w:val="FooterChar"/>
    <w:uiPriority w:val="99"/>
    <w:unhideWhenUsed/>
    <w:rsid w:val="00157552"/>
    <w:pPr>
      <w:tabs>
        <w:tab w:val="center" w:pos="4680"/>
        <w:tab w:val="right" w:pos="9360"/>
      </w:tabs>
      <w:spacing w:line="240" w:lineRule="auto"/>
    </w:pPr>
  </w:style>
  <w:style w:type="character" w:customStyle="1" w:styleId="FooterChar">
    <w:name w:val="Footer Char"/>
    <w:basedOn w:val="DefaultParagraphFont"/>
    <w:link w:val="Footer"/>
    <w:uiPriority w:val="99"/>
    <w:rsid w:val="00157552"/>
    <w:rPr>
      <w:rFonts w:ascii="Times New Roman" w:hAnsi="Times New Roman"/>
    </w:rPr>
  </w:style>
  <w:style w:type="paragraph" w:customStyle="1" w:styleId="References">
    <w:name w:val="References"/>
    <w:basedOn w:val="Normal"/>
    <w:qFormat/>
    <w:rsid w:val="00AC4999"/>
    <w:pPr>
      <w:spacing w:before="120" w:after="120"/>
    </w:pPr>
    <w:rPr>
      <w:rFonts w:cs="Times New Roman"/>
    </w:rPr>
  </w:style>
  <w:style w:type="paragraph" w:customStyle="1" w:styleId="TableFootnotes">
    <w:name w:val="Table Footnotes"/>
    <w:basedOn w:val="Normal"/>
    <w:qFormat/>
    <w:rsid w:val="00AC4999"/>
    <w:pPr>
      <w:spacing w:line="240" w:lineRule="auto"/>
    </w:pPr>
    <w:rPr>
      <w:rFonts w:cs="Times New Roman"/>
      <w:sz w:val="20"/>
      <w:szCs w:val="20"/>
      <w:vertAlign w:val="superscript"/>
    </w:rPr>
  </w:style>
  <w:style w:type="character" w:styleId="Hyperlink">
    <w:name w:val="Hyperlink"/>
    <w:basedOn w:val="DefaultParagraphFont"/>
    <w:uiPriority w:val="99"/>
    <w:unhideWhenUsed/>
    <w:rsid w:val="00471487"/>
    <w:rPr>
      <w:color w:val="0563C1" w:themeColor="hyperlink"/>
      <w:u w:val="single"/>
    </w:rPr>
  </w:style>
  <w:style w:type="character" w:styleId="PlaceholderText">
    <w:name w:val="Placeholder Text"/>
    <w:basedOn w:val="DefaultParagraphFont"/>
    <w:uiPriority w:val="99"/>
    <w:semiHidden/>
    <w:rsid w:val="00AB24D8"/>
    <w:rPr>
      <w:color w:val="808080"/>
    </w:rPr>
  </w:style>
  <w:style w:type="table" w:customStyle="1" w:styleId="Tablanormal31">
    <w:name w:val="Tabla normal 31"/>
    <w:basedOn w:val="TableNormal"/>
    <w:uiPriority w:val="43"/>
    <w:rsid w:val="00171A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DD49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913"/>
    <w:rPr>
      <w:rFonts w:ascii="Tahoma" w:hAnsi="Tahoma" w:cs="Tahoma"/>
      <w:sz w:val="16"/>
      <w:szCs w:val="16"/>
    </w:rPr>
  </w:style>
  <w:style w:type="character" w:styleId="CommentReference">
    <w:name w:val="annotation reference"/>
    <w:basedOn w:val="DefaultParagraphFont"/>
    <w:uiPriority w:val="99"/>
    <w:semiHidden/>
    <w:unhideWhenUsed/>
    <w:rsid w:val="00C10A99"/>
    <w:rPr>
      <w:sz w:val="16"/>
      <w:szCs w:val="16"/>
    </w:rPr>
  </w:style>
  <w:style w:type="paragraph" w:styleId="CommentText">
    <w:name w:val="annotation text"/>
    <w:basedOn w:val="Normal"/>
    <w:link w:val="CommentTextChar"/>
    <w:uiPriority w:val="99"/>
    <w:semiHidden/>
    <w:unhideWhenUsed/>
    <w:rsid w:val="00C10A99"/>
    <w:pPr>
      <w:spacing w:line="240" w:lineRule="auto"/>
    </w:pPr>
    <w:rPr>
      <w:sz w:val="20"/>
      <w:szCs w:val="20"/>
    </w:rPr>
  </w:style>
  <w:style w:type="character" w:customStyle="1" w:styleId="CommentTextChar">
    <w:name w:val="Comment Text Char"/>
    <w:basedOn w:val="DefaultParagraphFont"/>
    <w:link w:val="CommentText"/>
    <w:uiPriority w:val="99"/>
    <w:semiHidden/>
    <w:rsid w:val="00C10A9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10A99"/>
    <w:rPr>
      <w:b/>
      <w:bCs/>
    </w:rPr>
  </w:style>
  <w:style w:type="character" w:customStyle="1" w:styleId="CommentSubjectChar">
    <w:name w:val="Comment Subject Char"/>
    <w:basedOn w:val="CommentTextChar"/>
    <w:link w:val="CommentSubject"/>
    <w:uiPriority w:val="99"/>
    <w:semiHidden/>
    <w:rsid w:val="00C10A99"/>
    <w:rPr>
      <w:rFonts w:ascii="Times New Roman" w:hAnsi="Times New Roman"/>
      <w:b/>
      <w:bCs/>
      <w:sz w:val="20"/>
      <w:szCs w:val="20"/>
    </w:rPr>
  </w:style>
  <w:style w:type="paragraph" w:styleId="Revision">
    <w:name w:val="Revision"/>
    <w:hidden/>
    <w:uiPriority w:val="99"/>
    <w:semiHidden/>
    <w:rsid w:val="00810C11"/>
    <w:rPr>
      <w:rFonts w:ascii="Times New Roman" w:hAnsi="Times New Roman"/>
    </w:rPr>
  </w:style>
  <w:style w:type="paragraph" w:customStyle="1" w:styleId="desc">
    <w:name w:val="desc"/>
    <w:basedOn w:val="Normal"/>
    <w:rsid w:val="000B6BC1"/>
    <w:pPr>
      <w:spacing w:before="100" w:beforeAutospacing="1" w:after="100" w:afterAutospacing="1" w:line="240" w:lineRule="auto"/>
      <w:jc w:val="left"/>
    </w:pPr>
    <w:rPr>
      <w:rFonts w:eastAsia="Times New Roman" w:cs="Times New Roman"/>
      <w:lang w:val="de-DE" w:eastAsia="de-DE"/>
    </w:rPr>
  </w:style>
  <w:style w:type="paragraph" w:styleId="DocumentMap">
    <w:name w:val="Document Map"/>
    <w:basedOn w:val="Normal"/>
    <w:link w:val="DocumentMapChar"/>
    <w:uiPriority w:val="99"/>
    <w:semiHidden/>
    <w:unhideWhenUsed/>
    <w:rsid w:val="00152301"/>
    <w:pPr>
      <w:spacing w:line="240" w:lineRule="auto"/>
    </w:pPr>
    <w:rPr>
      <w:rFonts w:cs="Times New Roman"/>
    </w:rPr>
  </w:style>
  <w:style w:type="character" w:customStyle="1" w:styleId="DocumentMapChar">
    <w:name w:val="Document Map Char"/>
    <w:basedOn w:val="DefaultParagraphFont"/>
    <w:link w:val="DocumentMap"/>
    <w:uiPriority w:val="99"/>
    <w:semiHidden/>
    <w:rsid w:val="001523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9215">
      <w:bodyDiv w:val="1"/>
      <w:marLeft w:val="0"/>
      <w:marRight w:val="0"/>
      <w:marTop w:val="0"/>
      <w:marBottom w:val="0"/>
      <w:divBdr>
        <w:top w:val="none" w:sz="0" w:space="0" w:color="auto"/>
        <w:left w:val="none" w:sz="0" w:space="0" w:color="auto"/>
        <w:bottom w:val="none" w:sz="0" w:space="0" w:color="auto"/>
        <w:right w:val="none" w:sz="0" w:space="0" w:color="auto"/>
      </w:divBdr>
    </w:div>
    <w:div w:id="384764600">
      <w:bodyDiv w:val="1"/>
      <w:marLeft w:val="0"/>
      <w:marRight w:val="0"/>
      <w:marTop w:val="0"/>
      <w:marBottom w:val="0"/>
      <w:divBdr>
        <w:top w:val="none" w:sz="0" w:space="0" w:color="auto"/>
        <w:left w:val="none" w:sz="0" w:space="0" w:color="auto"/>
        <w:bottom w:val="none" w:sz="0" w:space="0" w:color="auto"/>
        <w:right w:val="none" w:sz="0" w:space="0" w:color="auto"/>
      </w:divBdr>
    </w:div>
    <w:div w:id="466513531">
      <w:bodyDiv w:val="1"/>
      <w:marLeft w:val="0"/>
      <w:marRight w:val="0"/>
      <w:marTop w:val="0"/>
      <w:marBottom w:val="0"/>
      <w:divBdr>
        <w:top w:val="none" w:sz="0" w:space="0" w:color="auto"/>
        <w:left w:val="none" w:sz="0" w:space="0" w:color="auto"/>
        <w:bottom w:val="none" w:sz="0" w:space="0" w:color="auto"/>
        <w:right w:val="none" w:sz="0" w:space="0" w:color="auto"/>
      </w:divBdr>
    </w:div>
    <w:div w:id="468205594">
      <w:bodyDiv w:val="1"/>
      <w:marLeft w:val="0"/>
      <w:marRight w:val="0"/>
      <w:marTop w:val="0"/>
      <w:marBottom w:val="0"/>
      <w:divBdr>
        <w:top w:val="none" w:sz="0" w:space="0" w:color="auto"/>
        <w:left w:val="none" w:sz="0" w:space="0" w:color="auto"/>
        <w:bottom w:val="none" w:sz="0" w:space="0" w:color="auto"/>
        <w:right w:val="none" w:sz="0" w:space="0" w:color="auto"/>
      </w:divBdr>
    </w:div>
    <w:div w:id="593830007">
      <w:bodyDiv w:val="1"/>
      <w:marLeft w:val="0"/>
      <w:marRight w:val="0"/>
      <w:marTop w:val="0"/>
      <w:marBottom w:val="0"/>
      <w:divBdr>
        <w:top w:val="none" w:sz="0" w:space="0" w:color="auto"/>
        <w:left w:val="none" w:sz="0" w:space="0" w:color="auto"/>
        <w:bottom w:val="none" w:sz="0" w:space="0" w:color="auto"/>
        <w:right w:val="none" w:sz="0" w:space="0" w:color="auto"/>
      </w:divBdr>
    </w:div>
    <w:div w:id="777026626">
      <w:bodyDiv w:val="1"/>
      <w:marLeft w:val="0"/>
      <w:marRight w:val="0"/>
      <w:marTop w:val="0"/>
      <w:marBottom w:val="0"/>
      <w:divBdr>
        <w:top w:val="none" w:sz="0" w:space="0" w:color="auto"/>
        <w:left w:val="none" w:sz="0" w:space="0" w:color="auto"/>
        <w:bottom w:val="none" w:sz="0" w:space="0" w:color="auto"/>
        <w:right w:val="none" w:sz="0" w:space="0" w:color="auto"/>
      </w:divBdr>
      <w:divsChild>
        <w:div w:id="2044935431">
          <w:marLeft w:val="0"/>
          <w:marRight w:val="0"/>
          <w:marTop w:val="0"/>
          <w:marBottom w:val="0"/>
          <w:divBdr>
            <w:top w:val="none" w:sz="0" w:space="0" w:color="auto"/>
            <w:left w:val="none" w:sz="0" w:space="0" w:color="auto"/>
            <w:bottom w:val="none" w:sz="0" w:space="0" w:color="auto"/>
            <w:right w:val="none" w:sz="0" w:space="0" w:color="auto"/>
          </w:divBdr>
        </w:div>
        <w:div w:id="1507591590">
          <w:marLeft w:val="0"/>
          <w:marRight w:val="0"/>
          <w:marTop w:val="0"/>
          <w:marBottom w:val="0"/>
          <w:divBdr>
            <w:top w:val="none" w:sz="0" w:space="0" w:color="auto"/>
            <w:left w:val="none" w:sz="0" w:space="0" w:color="auto"/>
            <w:bottom w:val="none" w:sz="0" w:space="0" w:color="auto"/>
            <w:right w:val="none" w:sz="0" w:space="0" w:color="auto"/>
          </w:divBdr>
        </w:div>
      </w:divsChild>
    </w:div>
    <w:div w:id="943421653">
      <w:bodyDiv w:val="1"/>
      <w:marLeft w:val="0"/>
      <w:marRight w:val="0"/>
      <w:marTop w:val="0"/>
      <w:marBottom w:val="0"/>
      <w:divBdr>
        <w:top w:val="none" w:sz="0" w:space="0" w:color="auto"/>
        <w:left w:val="none" w:sz="0" w:space="0" w:color="auto"/>
        <w:bottom w:val="none" w:sz="0" w:space="0" w:color="auto"/>
        <w:right w:val="none" w:sz="0" w:space="0" w:color="auto"/>
      </w:divBdr>
    </w:div>
    <w:div w:id="1231772341">
      <w:bodyDiv w:val="1"/>
      <w:marLeft w:val="0"/>
      <w:marRight w:val="0"/>
      <w:marTop w:val="0"/>
      <w:marBottom w:val="0"/>
      <w:divBdr>
        <w:top w:val="none" w:sz="0" w:space="0" w:color="auto"/>
        <w:left w:val="none" w:sz="0" w:space="0" w:color="auto"/>
        <w:bottom w:val="none" w:sz="0" w:space="0" w:color="auto"/>
        <w:right w:val="none" w:sz="0" w:space="0" w:color="auto"/>
      </w:divBdr>
    </w:div>
    <w:div w:id="1342928779">
      <w:bodyDiv w:val="1"/>
      <w:marLeft w:val="0"/>
      <w:marRight w:val="0"/>
      <w:marTop w:val="0"/>
      <w:marBottom w:val="0"/>
      <w:divBdr>
        <w:top w:val="none" w:sz="0" w:space="0" w:color="auto"/>
        <w:left w:val="none" w:sz="0" w:space="0" w:color="auto"/>
        <w:bottom w:val="none" w:sz="0" w:space="0" w:color="auto"/>
        <w:right w:val="none" w:sz="0" w:space="0" w:color="auto"/>
      </w:divBdr>
      <w:divsChild>
        <w:div w:id="1832133343">
          <w:marLeft w:val="0"/>
          <w:marRight w:val="0"/>
          <w:marTop w:val="100"/>
          <w:marBottom w:val="100"/>
          <w:divBdr>
            <w:top w:val="none" w:sz="0" w:space="0" w:color="auto"/>
            <w:left w:val="none" w:sz="0" w:space="0" w:color="auto"/>
            <w:bottom w:val="none" w:sz="0" w:space="0" w:color="auto"/>
            <w:right w:val="none" w:sz="0" w:space="0" w:color="auto"/>
          </w:divBdr>
          <w:divsChild>
            <w:div w:id="43919399">
              <w:marLeft w:val="0"/>
              <w:marRight w:val="0"/>
              <w:marTop w:val="0"/>
              <w:marBottom w:val="0"/>
              <w:divBdr>
                <w:top w:val="none" w:sz="0" w:space="0" w:color="auto"/>
                <w:left w:val="none" w:sz="0" w:space="0" w:color="auto"/>
                <w:bottom w:val="none" w:sz="0" w:space="0" w:color="auto"/>
                <w:right w:val="none" w:sz="0" w:space="0" w:color="auto"/>
              </w:divBdr>
              <w:divsChild>
                <w:div w:id="1749383390">
                  <w:marLeft w:val="47"/>
                  <w:marRight w:val="47"/>
                  <w:marTop w:val="67"/>
                  <w:marBottom w:val="67"/>
                  <w:divBdr>
                    <w:top w:val="none" w:sz="0" w:space="0" w:color="auto"/>
                    <w:left w:val="none" w:sz="0" w:space="0" w:color="auto"/>
                    <w:bottom w:val="none" w:sz="0" w:space="0" w:color="auto"/>
                    <w:right w:val="none" w:sz="0" w:space="0" w:color="auto"/>
                  </w:divBdr>
                  <w:divsChild>
                    <w:div w:id="341318374">
                      <w:marLeft w:val="0"/>
                      <w:marRight w:val="0"/>
                      <w:marTop w:val="0"/>
                      <w:marBottom w:val="0"/>
                      <w:divBdr>
                        <w:top w:val="none" w:sz="0" w:space="0" w:color="auto"/>
                        <w:left w:val="none" w:sz="0" w:space="0" w:color="auto"/>
                        <w:bottom w:val="none" w:sz="0" w:space="0" w:color="auto"/>
                        <w:right w:val="none" w:sz="0" w:space="0" w:color="auto"/>
                      </w:divBdr>
                      <w:divsChild>
                        <w:div w:id="1706296888">
                          <w:marLeft w:val="0"/>
                          <w:marRight w:val="0"/>
                          <w:marTop w:val="0"/>
                          <w:marBottom w:val="0"/>
                          <w:divBdr>
                            <w:top w:val="none" w:sz="0" w:space="0" w:color="auto"/>
                            <w:left w:val="none" w:sz="0" w:space="0" w:color="auto"/>
                            <w:bottom w:val="none" w:sz="0" w:space="0" w:color="auto"/>
                            <w:right w:val="none" w:sz="0" w:space="0" w:color="auto"/>
                          </w:divBdr>
                          <w:divsChild>
                            <w:div w:id="256184013">
                              <w:marLeft w:val="0"/>
                              <w:marRight w:val="0"/>
                              <w:marTop w:val="0"/>
                              <w:marBottom w:val="0"/>
                              <w:divBdr>
                                <w:top w:val="none" w:sz="0" w:space="0" w:color="auto"/>
                                <w:left w:val="none" w:sz="0" w:space="0" w:color="auto"/>
                                <w:bottom w:val="none" w:sz="0" w:space="0" w:color="auto"/>
                                <w:right w:val="none" w:sz="0" w:space="0" w:color="auto"/>
                              </w:divBdr>
                              <w:divsChild>
                                <w:div w:id="2053729054">
                                  <w:marLeft w:val="47"/>
                                  <w:marRight w:val="47"/>
                                  <w:marTop w:val="67"/>
                                  <w:marBottom w:val="67"/>
                                  <w:divBdr>
                                    <w:top w:val="none" w:sz="0" w:space="0" w:color="auto"/>
                                    <w:left w:val="none" w:sz="0" w:space="0" w:color="auto"/>
                                    <w:bottom w:val="none" w:sz="0" w:space="0" w:color="auto"/>
                                    <w:right w:val="none" w:sz="0" w:space="0" w:color="auto"/>
                                  </w:divBdr>
                                  <w:divsChild>
                                    <w:div w:id="1835074600">
                                      <w:marLeft w:val="0"/>
                                      <w:marRight w:val="0"/>
                                      <w:marTop w:val="0"/>
                                      <w:marBottom w:val="0"/>
                                      <w:divBdr>
                                        <w:top w:val="none" w:sz="0" w:space="0" w:color="auto"/>
                                        <w:left w:val="none" w:sz="0" w:space="0" w:color="auto"/>
                                        <w:bottom w:val="none" w:sz="0" w:space="0" w:color="auto"/>
                                        <w:right w:val="none" w:sz="0" w:space="0" w:color="auto"/>
                                      </w:divBdr>
                                      <w:divsChild>
                                        <w:div w:id="1256666445">
                                          <w:marLeft w:val="0"/>
                                          <w:marRight w:val="0"/>
                                          <w:marTop w:val="0"/>
                                          <w:marBottom w:val="0"/>
                                          <w:divBdr>
                                            <w:top w:val="none" w:sz="0" w:space="0" w:color="auto"/>
                                            <w:left w:val="none" w:sz="0" w:space="0" w:color="auto"/>
                                            <w:bottom w:val="none" w:sz="0" w:space="0" w:color="auto"/>
                                            <w:right w:val="none" w:sz="0" w:space="0" w:color="auto"/>
                                          </w:divBdr>
                                          <w:divsChild>
                                            <w:div w:id="1614970747">
                                              <w:marLeft w:val="0"/>
                                              <w:marRight w:val="0"/>
                                              <w:marTop w:val="0"/>
                                              <w:marBottom w:val="0"/>
                                              <w:divBdr>
                                                <w:top w:val="none" w:sz="0" w:space="0" w:color="auto"/>
                                                <w:left w:val="none" w:sz="0" w:space="0" w:color="auto"/>
                                                <w:bottom w:val="none" w:sz="0" w:space="0" w:color="auto"/>
                                                <w:right w:val="none" w:sz="0" w:space="0" w:color="auto"/>
                                              </w:divBdr>
                                              <w:divsChild>
                                                <w:div w:id="992028357">
                                                  <w:marLeft w:val="0"/>
                                                  <w:marRight w:val="0"/>
                                                  <w:marTop w:val="0"/>
                                                  <w:marBottom w:val="0"/>
                                                  <w:divBdr>
                                                    <w:top w:val="none" w:sz="0" w:space="0" w:color="auto"/>
                                                    <w:left w:val="none" w:sz="0" w:space="0" w:color="auto"/>
                                                    <w:bottom w:val="none" w:sz="0" w:space="0" w:color="auto"/>
                                                    <w:right w:val="none" w:sz="0" w:space="0" w:color="auto"/>
                                                  </w:divBdr>
                                                  <w:divsChild>
                                                    <w:div w:id="733698342">
                                                      <w:marLeft w:val="47"/>
                                                      <w:marRight w:val="47"/>
                                                      <w:marTop w:val="67"/>
                                                      <w:marBottom w:val="67"/>
                                                      <w:divBdr>
                                                        <w:top w:val="none" w:sz="0" w:space="0" w:color="auto"/>
                                                        <w:left w:val="none" w:sz="0" w:space="0" w:color="auto"/>
                                                        <w:bottom w:val="none" w:sz="0" w:space="0" w:color="auto"/>
                                                        <w:right w:val="none" w:sz="0" w:space="0" w:color="auto"/>
                                                      </w:divBdr>
                                                      <w:divsChild>
                                                        <w:div w:id="1658418352">
                                                          <w:marLeft w:val="0"/>
                                                          <w:marRight w:val="0"/>
                                                          <w:marTop w:val="0"/>
                                                          <w:marBottom w:val="0"/>
                                                          <w:divBdr>
                                                            <w:top w:val="none" w:sz="0" w:space="0" w:color="auto"/>
                                                            <w:left w:val="none" w:sz="0" w:space="0" w:color="auto"/>
                                                            <w:bottom w:val="none" w:sz="0" w:space="0" w:color="auto"/>
                                                            <w:right w:val="none" w:sz="0" w:space="0" w:color="auto"/>
                                                          </w:divBdr>
                                                          <w:divsChild>
                                                            <w:div w:id="1933082095">
                                                              <w:marLeft w:val="0"/>
                                                              <w:marRight w:val="0"/>
                                                              <w:marTop w:val="0"/>
                                                              <w:marBottom w:val="0"/>
                                                              <w:divBdr>
                                                                <w:top w:val="none" w:sz="0" w:space="0" w:color="auto"/>
                                                                <w:left w:val="none" w:sz="0" w:space="0" w:color="auto"/>
                                                                <w:bottom w:val="none" w:sz="0" w:space="0" w:color="auto"/>
                                                                <w:right w:val="none" w:sz="0" w:space="0" w:color="auto"/>
                                                              </w:divBdr>
                                                              <w:divsChild>
                                                                <w:div w:id="22099331">
                                                                  <w:marLeft w:val="0"/>
                                                                  <w:marRight w:val="0"/>
                                                                  <w:marTop w:val="0"/>
                                                                  <w:marBottom w:val="0"/>
                                                                  <w:divBdr>
                                                                    <w:top w:val="none" w:sz="0" w:space="0" w:color="auto"/>
                                                                    <w:left w:val="none" w:sz="0" w:space="0" w:color="auto"/>
                                                                    <w:bottom w:val="none" w:sz="0" w:space="0" w:color="auto"/>
                                                                    <w:right w:val="none" w:sz="0" w:space="0" w:color="auto"/>
                                                                  </w:divBdr>
                                                                  <w:divsChild>
                                                                    <w:div w:id="1893929935">
                                                                      <w:marLeft w:val="0"/>
                                                                      <w:marRight w:val="0"/>
                                                                      <w:marTop w:val="0"/>
                                                                      <w:marBottom w:val="0"/>
                                                                      <w:divBdr>
                                                                        <w:top w:val="none" w:sz="0" w:space="0" w:color="auto"/>
                                                                        <w:left w:val="none" w:sz="0" w:space="0" w:color="auto"/>
                                                                        <w:bottom w:val="none" w:sz="0" w:space="0" w:color="auto"/>
                                                                        <w:right w:val="none" w:sz="0" w:space="0" w:color="auto"/>
                                                                      </w:divBdr>
                                                                      <w:divsChild>
                                                                        <w:div w:id="152114487">
                                                                          <w:marLeft w:val="0"/>
                                                                          <w:marRight w:val="0"/>
                                                                          <w:marTop w:val="0"/>
                                                                          <w:marBottom w:val="0"/>
                                                                          <w:divBdr>
                                                                            <w:top w:val="none" w:sz="0" w:space="0" w:color="auto"/>
                                                                            <w:left w:val="none" w:sz="0" w:space="0" w:color="auto"/>
                                                                            <w:bottom w:val="none" w:sz="0" w:space="0" w:color="auto"/>
                                                                            <w:right w:val="none" w:sz="0" w:space="0" w:color="auto"/>
                                                                          </w:divBdr>
                                                                          <w:divsChild>
                                                                            <w:div w:id="842742335">
                                                                              <w:marLeft w:val="47"/>
                                                                              <w:marRight w:val="47"/>
                                                                              <w:marTop w:val="67"/>
                                                                              <w:marBottom w:val="67"/>
                                                                              <w:divBdr>
                                                                                <w:top w:val="none" w:sz="0" w:space="0" w:color="auto"/>
                                                                                <w:left w:val="none" w:sz="0" w:space="0" w:color="auto"/>
                                                                                <w:bottom w:val="none" w:sz="0" w:space="0" w:color="auto"/>
                                                                                <w:right w:val="none" w:sz="0" w:space="0" w:color="auto"/>
                                                                              </w:divBdr>
                                                                              <w:divsChild>
                                                                                <w:div w:id="242687303">
                                                                                  <w:marLeft w:val="0"/>
                                                                                  <w:marRight w:val="0"/>
                                                                                  <w:marTop w:val="0"/>
                                                                                  <w:marBottom w:val="0"/>
                                                                                  <w:divBdr>
                                                                                    <w:top w:val="none" w:sz="0" w:space="0" w:color="auto"/>
                                                                                    <w:left w:val="none" w:sz="0" w:space="0" w:color="auto"/>
                                                                                    <w:bottom w:val="none" w:sz="0" w:space="0" w:color="auto"/>
                                                                                    <w:right w:val="none" w:sz="0" w:space="0" w:color="auto"/>
                                                                                  </w:divBdr>
                                                                                  <w:divsChild>
                                                                                    <w:div w:id="2020425199">
                                                                                      <w:marLeft w:val="0"/>
                                                                                      <w:marRight w:val="0"/>
                                                                                      <w:marTop w:val="0"/>
                                                                                      <w:marBottom w:val="0"/>
                                                                                      <w:divBdr>
                                                                                        <w:top w:val="none" w:sz="0" w:space="0" w:color="auto"/>
                                                                                        <w:left w:val="none" w:sz="0" w:space="0" w:color="auto"/>
                                                                                        <w:bottom w:val="none" w:sz="0" w:space="0" w:color="auto"/>
                                                                                        <w:right w:val="none" w:sz="0" w:space="0" w:color="auto"/>
                                                                                      </w:divBdr>
                                                                                      <w:divsChild>
                                                                                        <w:div w:id="2082827168">
                                                                                          <w:marLeft w:val="0"/>
                                                                                          <w:marRight w:val="0"/>
                                                                                          <w:marTop w:val="0"/>
                                                                                          <w:marBottom w:val="0"/>
                                                                                          <w:divBdr>
                                                                                            <w:top w:val="none" w:sz="0" w:space="0" w:color="auto"/>
                                                                                            <w:left w:val="none" w:sz="0" w:space="0" w:color="auto"/>
                                                                                            <w:bottom w:val="none" w:sz="0" w:space="0" w:color="auto"/>
                                                                                            <w:right w:val="none" w:sz="0" w:space="0" w:color="auto"/>
                                                                                          </w:divBdr>
                                                                                          <w:divsChild>
                                                                                            <w:div w:id="1149321918">
                                                                                              <w:marLeft w:val="0"/>
                                                                                              <w:marRight w:val="0"/>
                                                                                              <w:marTop w:val="0"/>
                                                                                              <w:marBottom w:val="0"/>
                                                                                              <w:divBdr>
                                                                                                <w:top w:val="none" w:sz="0" w:space="0" w:color="auto"/>
                                                                                                <w:left w:val="none" w:sz="0" w:space="0" w:color="auto"/>
                                                                                                <w:bottom w:val="none" w:sz="0" w:space="0" w:color="auto"/>
                                                                                                <w:right w:val="none" w:sz="0" w:space="0" w:color="auto"/>
                                                                                              </w:divBdr>
                                                                                              <w:divsChild>
                                                                                                <w:div w:id="767190298">
                                                                                                  <w:marLeft w:val="0"/>
                                                                                                  <w:marRight w:val="0"/>
                                                                                                  <w:marTop w:val="0"/>
                                                                                                  <w:marBottom w:val="0"/>
                                                                                                  <w:divBdr>
                                                                                                    <w:top w:val="none" w:sz="0" w:space="0" w:color="auto"/>
                                                                                                    <w:left w:val="none" w:sz="0" w:space="0" w:color="auto"/>
                                                                                                    <w:bottom w:val="none" w:sz="0" w:space="0" w:color="auto"/>
                                                                                                    <w:right w:val="none" w:sz="0" w:space="0" w:color="auto"/>
                                                                                                  </w:divBdr>
                                                                                                  <w:divsChild>
                                                                                                    <w:div w:id="1823540993">
                                                                                                      <w:marLeft w:val="0"/>
                                                                                                      <w:marRight w:val="0"/>
                                                                                                      <w:marTop w:val="0"/>
                                                                                                      <w:marBottom w:val="0"/>
                                                                                                      <w:divBdr>
                                                                                                        <w:top w:val="none" w:sz="0" w:space="0" w:color="auto"/>
                                                                                                        <w:left w:val="none" w:sz="0" w:space="0" w:color="auto"/>
                                                                                                        <w:bottom w:val="none" w:sz="0" w:space="0" w:color="auto"/>
                                                                                                        <w:right w:val="none" w:sz="0" w:space="0" w:color="auto"/>
                                                                                                      </w:divBdr>
                                                                                                      <w:divsChild>
                                                                                                        <w:div w:id="690379761">
                                                                                                          <w:marLeft w:val="0"/>
                                                                                                          <w:marRight w:val="0"/>
                                                                                                          <w:marTop w:val="0"/>
                                                                                                          <w:marBottom w:val="0"/>
                                                                                                          <w:divBdr>
                                                                                                            <w:top w:val="none" w:sz="0" w:space="0" w:color="auto"/>
                                                                                                            <w:left w:val="none" w:sz="0" w:space="0" w:color="auto"/>
                                                                                                            <w:bottom w:val="none" w:sz="0" w:space="0" w:color="auto"/>
                                                                                                            <w:right w:val="none" w:sz="0" w:space="0" w:color="auto"/>
                                                                                                          </w:divBdr>
                                                                                                          <w:divsChild>
                                                                                                            <w:div w:id="1978870578">
                                                                                                              <w:marLeft w:val="0"/>
                                                                                                              <w:marRight w:val="0"/>
                                                                                                              <w:marTop w:val="0"/>
                                                                                                              <w:marBottom w:val="0"/>
                                                                                                              <w:divBdr>
                                                                                                                <w:top w:val="none" w:sz="0" w:space="0" w:color="auto"/>
                                                                                                                <w:left w:val="none" w:sz="0" w:space="0" w:color="auto"/>
                                                                                                                <w:bottom w:val="none" w:sz="0" w:space="0" w:color="auto"/>
                                                                                                                <w:right w:val="none" w:sz="0" w:space="0" w:color="auto"/>
                                                                                                              </w:divBdr>
                                                                                                              <w:divsChild>
                                                                                                                <w:div w:id="537091018">
                                                                                                                  <w:marLeft w:val="0"/>
                                                                                                                  <w:marRight w:val="0"/>
                                                                                                                  <w:marTop w:val="0"/>
                                                                                                                  <w:marBottom w:val="0"/>
                                                                                                                  <w:divBdr>
                                                                                                                    <w:top w:val="none" w:sz="0" w:space="0" w:color="auto"/>
                                                                                                                    <w:left w:val="none" w:sz="0" w:space="0" w:color="auto"/>
                                                                                                                    <w:bottom w:val="none" w:sz="0" w:space="0" w:color="auto"/>
                                                                                                                    <w:right w:val="none" w:sz="0" w:space="0" w:color="auto"/>
                                                                                                                  </w:divBdr>
                                                                                                                </w:div>
                                                                                                                <w:div w:id="7128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225">
                                                                                                          <w:marLeft w:val="0"/>
                                                                                                          <w:marRight w:val="0"/>
                                                                                                          <w:marTop w:val="0"/>
                                                                                                          <w:marBottom w:val="0"/>
                                                                                                          <w:divBdr>
                                                                                                            <w:top w:val="none" w:sz="0" w:space="0" w:color="auto"/>
                                                                                                            <w:left w:val="none" w:sz="0" w:space="0" w:color="auto"/>
                                                                                                            <w:bottom w:val="none" w:sz="0" w:space="0" w:color="auto"/>
                                                                                                            <w:right w:val="none" w:sz="0" w:space="0" w:color="auto"/>
                                                                                                          </w:divBdr>
                                                                                                          <w:divsChild>
                                                                                                            <w:div w:id="1885218313">
                                                                                                              <w:marLeft w:val="0"/>
                                                                                                              <w:marRight w:val="0"/>
                                                                                                              <w:marTop w:val="0"/>
                                                                                                              <w:marBottom w:val="0"/>
                                                                                                              <w:divBdr>
                                                                                                                <w:top w:val="none" w:sz="0" w:space="0" w:color="auto"/>
                                                                                                                <w:left w:val="none" w:sz="0" w:space="0" w:color="auto"/>
                                                                                                                <w:bottom w:val="none" w:sz="0" w:space="0" w:color="auto"/>
                                                                                                                <w:right w:val="none" w:sz="0" w:space="0" w:color="auto"/>
                                                                                                              </w:divBdr>
                                                                                                              <w:divsChild>
                                                                                                                <w:div w:id="1287008838">
                                                                                                                  <w:marLeft w:val="0"/>
                                                                                                                  <w:marRight w:val="0"/>
                                                                                                                  <w:marTop w:val="0"/>
                                                                                                                  <w:marBottom w:val="0"/>
                                                                                                                  <w:divBdr>
                                                                                                                    <w:top w:val="none" w:sz="0" w:space="0" w:color="auto"/>
                                                                                                                    <w:left w:val="none" w:sz="0" w:space="0" w:color="auto"/>
                                                                                                                    <w:bottom w:val="none" w:sz="0" w:space="0" w:color="auto"/>
                                                                                                                    <w:right w:val="none" w:sz="0" w:space="0" w:color="auto"/>
                                                                                                                  </w:divBdr>
                                                                                                                </w:div>
                                                                                                                <w:div w:id="1525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328">
                                                                                                          <w:marLeft w:val="0"/>
                                                                                                          <w:marRight w:val="0"/>
                                                                                                          <w:marTop w:val="0"/>
                                                                                                          <w:marBottom w:val="0"/>
                                                                                                          <w:divBdr>
                                                                                                            <w:top w:val="none" w:sz="0" w:space="0" w:color="auto"/>
                                                                                                            <w:left w:val="none" w:sz="0" w:space="0" w:color="auto"/>
                                                                                                            <w:bottom w:val="none" w:sz="0" w:space="0" w:color="auto"/>
                                                                                                            <w:right w:val="none" w:sz="0" w:space="0" w:color="auto"/>
                                                                                                          </w:divBdr>
                                                                                                          <w:divsChild>
                                                                                                            <w:div w:id="345256535">
                                                                                                              <w:marLeft w:val="0"/>
                                                                                                              <w:marRight w:val="0"/>
                                                                                                              <w:marTop w:val="0"/>
                                                                                                              <w:marBottom w:val="0"/>
                                                                                                              <w:divBdr>
                                                                                                                <w:top w:val="none" w:sz="0" w:space="0" w:color="auto"/>
                                                                                                                <w:left w:val="none" w:sz="0" w:space="0" w:color="auto"/>
                                                                                                                <w:bottom w:val="none" w:sz="0" w:space="0" w:color="auto"/>
                                                                                                                <w:right w:val="none" w:sz="0" w:space="0" w:color="auto"/>
                                                                                                              </w:divBdr>
                                                                                                              <w:divsChild>
                                                                                                                <w:div w:id="1193377280">
                                                                                                                  <w:marLeft w:val="0"/>
                                                                                                                  <w:marRight w:val="0"/>
                                                                                                                  <w:marTop w:val="0"/>
                                                                                                                  <w:marBottom w:val="0"/>
                                                                                                                  <w:divBdr>
                                                                                                                    <w:top w:val="none" w:sz="0" w:space="0" w:color="auto"/>
                                                                                                                    <w:left w:val="none" w:sz="0" w:space="0" w:color="auto"/>
                                                                                                                    <w:bottom w:val="none" w:sz="0" w:space="0" w:color="auto"/>
                                                                                                                    <w:right w:val="none" w:sz="0" w:space="0" w:color="auto"/>
                                                                                                                  </w:divBdr>
                                                                                                                </w:div>
                                                                                                                <w:div w:id="1267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4468">
                                                                                                          <w:marLeft w:val="0"/>
                                                                                                          <w:marRight w:val="0"/>
                                                                                                          <w:marTop w:val="0"/>
                                                                                                          <w:marBottom w:val="0"/>
                                                                                                          <w:divBdr>
                                                                                                            <w:top w:val="none" w:sz="0" w:space="0" w:color="auto"/>
                                                                                                            <w:left w:val="none" w:sz="0" w:space="0" w:color="auto"/>
                                                                                                            <w:bottom w:val="none" w:sz="0" w:space="0" w:color="auto"/>
                                                                                                            <w:right w:val="none" w:sz="0" w:space="0" w:color="auto"/>
                                                                                                          </w:divBdr>
                                                                                                          <w:divsChild>
                                                                                                            <w:div w:id="703136527">
                                                                                                              <w:marLeft w:val="0"/>
                                                                                                              <w:marRight w:val="0"/>
                                                                                                              <w:marTop w:val="0"/>
                                                                                                              <w:marBottom w:val="0"/>
                                                                                                              <w:divBdr>
                                                                                                                <w:top w:val="none" w:sz="0" w:space="0" w:color="auto"/>
                                                                                                                <w:left w:val="none" w:sz="0" w:space="0" w:color="auto"/>
                                                                                                                <w:bottom w:val="none" w:sz="0" w:space="0" w:color="auto"/>
                                                                                                                <w:right w:val="none" w:sz="0" w:space="0" w:color="auto"/>
                                                                                                              </w:divBdr>
                                                                                                              <w:divsChild>
                                                                                                                <w:div w:id="1543639968">
                                                                                                                  <w:marLeft w:val="0"/>
                                                                                                                  <w:marRight w:val="0"/>
                                                                                                                  <w:marTop w:val="0"/>
                                                                                                                  <w:marBottom w:val="0"/>
                                                                                                                  <w:divBdr>
                                                                                                                    <w:top w:val="none" w:sz="0" w:space="0" w:color="auto"/>
                                                                                                                    <w:left w:val="none" w:sz="0" w:space="0" w:color="auto"/>
                                                                                                                    <w:bottom w:val="none" w:sz="0" w:space="0" w:color="auto"/>
                                                                                                                    <w:right w:val="none" w:sz="0" w:space="0" w:color="auto"/>
                                                                                                                  </w:divBdr>
                                                                                                                </w:div>
                                                                                                                <w:div w:id="18600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0902450">
      <w:bodyDiv w:val="1"/>
      <w:marLeft w:val="0"/>
      <w:marRight w:val="0"/>
      <w:marTop w:val="0"/>
      <w:marBottom w:val="0"/>
      <w:divBdr>
        <w:top w:val="none" w:sz="0" w:space="0" w:color="auto"/>
        <w:left w:val="none" w:sz="0" w:space="0" w:color="auto"/>
        <w:bottom w:val="none" w:sz="0" w:space="0" w:color="auto"/>
        <w:right w:val="none" w:sz="0" w:space="0" w:color="auto"/>
      </w:divBdr>
      <w:divsChild>
        <w:div w:id="1003627681">
          <w:marLeft w:val="0"/>
          <w:marRight w:val="0"/>
          <w:marTop w:val="100"/>
          <w:marBottom w:val="100"/>
          <w:divBdr>
            <w:top w:val="none" w:sz="0" w:space="0" w:color="auto"/>
            <w:left w:val="none" w:sz="0" w:space="0" w:color="auto"/>
            <w:bottom w:val="none" w:sz="0" w:space="0" w:color="auto"/>
            <w:right w:val="none" w:sz="0" w:space="0" w:color="auto"/>
          </w:divBdr>
          <w:divsChild>
            <w:div w:id="1892576529">
              <w:marLeft w:val="0"/>
              <w:marRight w:val="0"/>
              <w:marTop w:val="0"/>
              <w:marBottom w:val="0"/>
              <w:divBdr>
                <w:top w:val="none" w:sz="0" w:space="0" w:color="auto"/>
                <w:left w:val="none" w:sz="0" w:space="0" w:color="auto"/>
                <w:bottom w:val="none" w:sz="0" w:space="0" w:color="auto"/>
                <w:right w:val="none" w:sz="0" w:space="0" w:color="auto"/>
              </w:divBdr>
              <w:divsChild>
                <w:div w:id="1253317763">
                  <w:marLeft w:val="47"/>
                  <w:marRight w:val="47"/>
                  <w:marTop w:val="67"/>
                  <w:marBottom w:val="67"/>
                  <w:divBdr>
                    <w:top w:val="none" w:sz="0" w:space="0" w:color="auto"/>
                    <w:left w:val="none" w:sz="0" w:space="0" w:color="auto"/>
                    <w:bottom w:val="none" w:sz="0" w:space="0" w:color="auto"/>
                    <w:right w:val="none" w:sz="0" w:space="0" w:color="auto"/>
                  </w:divBdr>
                  <w:divsChild>
                    <w:div w:id="518783011">
                      <w:marLeft w:val="0"/>
                      <w:marRight w:val="0"/>
                      <w:marTop w:val="0"/>
                      <w:marBottom w:val="0"/>
                      <w:divBdr>
                        <w:top w:val="none" w:sz="0" w:space="0" w:color="auto"/>
                        <w:left w:val="none" w:sz="0" w:space="0" w:color="auto"/>
                        <w:bottom w:val="none" w:sz="0" w:space="0" w:color="auto"/>
                        <w:right w:val="none" w:sz="0" w:space="0" w:color="auto"/>
                      </w:divBdr>
                      <w:divsChild>
                        <w:div w:id="1250889256">
                          <w:marLeft w:val="0"/>
                          <w:marRight w:val="0"/>
                          <w:marTop w:val="0"/>
                          <w:marBottom w:val="0"/>
                          <w:divBdr>
                            <w:top w:val="none" w:sz="0" w:space="0" w:color="auto"/>
                            <w:left w:val="none" w:sz="0" w:space="0" w:color="auto"/>
                            <w:bottom w:val="none" w:sz="0" w:space="0" w:color="auto"/>
                            <w:right w:val="none" w:sz="0" w:space="0" w:color="auto"/>
                          </w:divBdr>
                          <w:divsChild>
                            <w:div w:id="1849754259">
                              <w:marLeft w:val="0"/>
                              <w:marRight w:val="0"/>
                              <w:marTop w:val="0"/>
                              <w:marBottom w:val="0"/>
                              <w:divBdr>
                                <w:top w:val="none" w:sz="0" w:space="0" w:color="auto"/>
                                <w:left w:val="none" w:sz="0" w:space="0" w:color="auto"/>
                                <w:bottom w:val="none" w:sz="0" w:space="0" w:color="auto"/>
                                <w:right w:val="none" w:sz="0" w:space="0" w:color="auto"/>
                              </w:divBdr>
                              <w:divsChild>
                                <w:div w:id="392122610">
                                  <w:marLeft w:val="47"/>
                                  <w:marRight w:val="47"/>
                                  <w:marTop w:val="67"/>
                                  <w:marBottom w:val="67"/>
                                  <w:divBdr>
                                    <w:top w:val="none" w:sz="0" w:space="0" w:color="auto"/>
                                    <w:left w:val="none" w:sz="0" w:space="0" w:color="auto"/>
                                    <w:bottom w:val="none" w:sz="0" w:space="0" w:color="auto"/>
                                    <w:right w:val="none" w:sz="0" w:space="0" w:color="auto"/>
                                  </w:divBdr>
                                  <w:divsChild>
                                    <w:div w:id="70667323">
                                      <w:marLeft w:val="0"/>
                                      <w:marRight w:val="0"/>
                                      <w:marTop w:val="0"/>
                                      <w:marBottom w:val="0"/>
                                      <w:divBdr>
                                        <w:top w:val="none" w:sz="0" w:space="0" w:color="auto"/>
                                        <w:left w:val="none" w:sz="0" w:space="0" w:color="auto"/>
                                        <w:bottom w:val="none" w:sz="0" w:space="0" w:color="auto"/>
                                        <w:right w:val="none" w:sz="0" w:space="0" w:color="auto"/>
                                      </w:divBdr>
                                      <w:divsChild>
                                        <w:div w:id="994841721">
                                          <w:marLeft w:val="0"/>
                                          <w:marRight w:val="0"/>
                                          <w:marTop w:val="0"/>
                                          <w:marBottom w:val="0"/>
                                          <w:divBdr>
                                            <w:top w:val="none" w:sz="0" w:space="0" w:color="auto"/>
                                            <w:left w:val="none" w:sz="0" w:space="0" w:color="auto"/>
                                            <w:bottom w:val="none" w:sz="0" w:space="0" w:color="auto"/>
                                            <w:right w:val="none" w:sz="0" w:space="0" w:color="auto"/>
                                          </w:divBdr>
                                          <w:divsChild>
                                            <w:div w:id="606157256">
                                              <w:marLeft w:val="0"/>
                                              <w:marRight w:val="0"/>
                                              <w:marTop w:val="0"/>
                                              <w:marBottom w:val="0"/>
                                              <w:divBdr>
                                                <w:top w:val="none" w:sz="0" w:space="0" w:color="auto"/>
                                                <w:left w:val="none" w:sz="0" w:space="0" w:color="auto"/>
                                                <w:bottom w:val="none" w:sz="0" w:space="0" w:color="auto"/>
                                                <w:right w:val="none" w:sz="0" w:space="0" w:color="auto"/>
                                              </w:divBdr>
                                              <w:divsChild>
                                                <w:div w:id="1778285991">
                                                  <w:marLeft w:val="0"/>
                                                  <w:marRight w:val="0"/>
                                                  <w:marTop w:val="0"/>
                                                  <w:marBottom w:val="0"/>
                                                  <w:divBdr>
                                                    <w:top w:val="none" w:sz="0" w:space="0" w:color="auto"/>
                                                    <w:left w:val="none" w:sz="0" w:space="0" w:color="auto"/>
                                                    <w:bottom w:val="none" w:sz="0" w:space="0" w:color="auto"/>
                                                    <w:right w:val="none" w:sz="0" w:space="0" w:color="auto"/>
                                                  </w:divBdr>
                                                  <w:divsChild>
                                                    <w:div w:id="2146656516">
                                                      <w:marLeft w:val="47"/>
                                                      <w:marRight w:val="47"/>
                                                      <w:marTop w:val="67"/>
                                                      <w:marBottom w:val="67"/>
                                                      <w:divBdr>
                                                        <w:top w:val="none" w:sz="0" w:space="0" w:color="auto"/>
                                                        <w:left w:val="none" w:sz="0" w:space="0" w:color="auto"/>
                                                        <w:bottom w:val="none" w:sz="0" w:space="0" w:color="auto"/>
                                                        <w:right w:val="none" w:sz="0" w:space="0" w:color="auto"/>
                                                      </w:divBdr>
                                                      <w:divsChild>
                                                        <w:div w:id="1972513204">
                                                          <w:marLeft w:val="0"/>
                                                          <w:marRight w:val="0"/>
                                                          <w:marTop w:val="0"/>
                                                          <w:marBottom w:val="0"/>
                                                          <w:divBdr>
                                                            <w:top w:val="none" w:sz="0" w:space="0" w:color="auto"/>
                                                            <w:left w:val="none" w:sz="0" w:space="0" w:color="auto"/>
                                                            <w:bottom w:val="none" w:sz="0" w:space="0" w:color="auto"/>
                                                            <w:right w:val="none" w:sz="0" w:space="0" w:color="auto"/>
                                                          </w:divBdr>
                                                          <w:divsChild>
                                                            <w:div w:id="1032923278">
                                                              <w:marLeft w:val="0"/>
                                                              <w:marRight w:val="0"/>
                                                              <w:marTop w:val="0"/>
                                                              <w:marBottom w:val="0"/>
                                                              <w:divBdr>
                                                                <w:top w:val="none" w:sz="0" w:space="0" w:color="auto"/>
                                                                <w:left w:val="none" w:sz="0" w:space="0" w:color="auto"/>
                                                                <w:bottom w:val="none" w:sz="0" w:space="0" w:color="auto"/>
                                                                <w:right w:val="none" w:sz="0" w:space="0" w:color="auto"/>
                                                              </w:divBdr>
                                                              <w:divsChild>
                                                                <w:div w:id="188614408">
                                                                  <w:marLeft w:val="0"/>
                                                                  <w:marRight w:val="0"/>
                                                                  <w:marTop w:val="0"/>
                                                                  <w:marBottom w:val="0"/>
                                                                  <w:divBdr>
                                                                    <w:top w:val="none" w:sz="0" w:space="0" w:color="auto"/>
                                                                    <w:left w:val="none" w:sz="0" w:space="0" w:color="auto"/>
                                                                    <w:bottom w:val="none" w:sz="0" w:space="0" w:color="auto"/>
                                                                    <w:right w:val="none" w:sz="0" w:space="0" w:color="auto"/>
                                                                  </w:divBdr>
                                                                  <w:divsChild>
                                                                    <w:div w:id="441192489">
                                                                      <w:marLeft w:val="0"/>
                                                                      <w:marRight w:val="0"/>
                                                                      <w:marTop w:val="0"/>
                                                                      <w:marBottom w:val="0"/>
                                                                      <w:divBdr>
                                                                        <w:top w:val="none" w:sz="0" w:space="0" w:color="auto"/>
                                                                        <w:left w:val="none" w:sz="0" w:space="0" w:color="auto"/>
                                                                        <w:bottom w:val="none" w:sz="0" w:space="0" w:color="auto"/>
                                                                        <w:right w:val="none" w:sz="0" w:space="0" w:color="auto"/>
                                                                      </w:divBdr>
                                                                      <w:divsChild>
                                                                        <w:div w:id="1443919170">
                                                                          <w:marLeft w:val="0"/>
                                                                          <w:marRight w:val="0"/>
                                                                          <w:marTop w:val="0"/>
                                                                          <w:marBottom w:val="0"/>
                                                                          <w:divBdr>
                                                                            <w:top w:val="none" w:sz="0" w:space="0" w:color="auto"/>
                                                                            <w:left w:val="none" w:sz="0" w:space="0" w:color="auto"/>
                                                                            <w:bottom w:val="none" w:sz="0" w:space="0" w:color="auto"/>
                                                                            <w:right w:val="none" w:sz="0" w:space="0" w:color="auto"/>
                                                                          </w:divBdr>
                                                                          <w:divsChild>
                                                                            <w:div w:id="1403868101">
                                                                              <w:marLeft w:val="47"/>
                                                                              <w:marRight w:val="47"/>
                                                                              <w:marTop w:val="67"/>
                                                                              <w:marBottom w:val="67"/>
                                                                              <w:divBdr>
                                                                                <w:top w:val="none" w:sz="0" w:space="0" w:color="auto"/>
                                                                                <w:left w:val="none" w:sz="0" w:space="0" w:color="auto"/>
                                                                                <w:bottom w:val="none" w:sz="0" w:space="0" w:color="auto"/>
                                                                                <w:right w:val="none" w:sz="0" w:space="0" w:color="auto"/>
                                                                              </w:divBdr>
                                                                              <w:divsChild>
                                                                                <w:div w:id="1445613736">
                                                                                  <w:marLeft w:val="0"/>
                                                                                  <w:marRight w:val="0"/>
                                                                                  <w:marTop w:val="0"/>
                                                                                  <w:marBottom w:val="0"/>
                                                                                  <w:divBdr>
                                                                                    <w:top w:val="none" w:sz="0" w:space="0" w:color="auto"/>
                                                                                    <w:left w:val="none" w:sz="0" w:space="0" w:color="auto"/>
                                                                                    <w:bottom w:val="none" w:sz="0" w:space="0" w:color="auto"/>
                                                                                    <w:right w:val="none" w:sz="0" w:space="0" w:color="auto"/>
                                                                                  </w:divBdr>
                                                                                  <w:divsChild>
                                                                                    <w:div w:id="670327991">
                                                                                      <w:marLeft w:val="0"/>
                                                                                      <w:marRight w:val="0"/>
                                                                                      <w:marTop w:val="0"/>
                                                                                      <w:marBottom w:val="0"/>
                                                                                      <w:divBdr>
                                                                                        <w:top w:val="none" w:sz="0" w:space="0" w:color="auto"/>
                                                                                        <w:left w:val="none" w:sz="0" w:space="0" w:color="auto"/>
                                                                                        <w:bottom w:val="none" w:sz="0" w:space="0" w:color="auto"/>
                                                                                        <w:right w:val="none" w:sz="0" w:space="0" w:color="auto"/>
                                                                                      </w:divBdr>
                                                                                      <w:divsChild>
                                                                                        <w:div w:id="1279527337">
                                                                                          <w:marLeft w:val="0"/>
                                                                                          <w:marRight w:val="0"/>
                                                                                          <w:marTop w:val="0"/>
                                                                                          <w:marBottom w:val="0"/>
                                                                                          <w:divBdr>
                                                                                            <w:top w:val="none" w:sz="0" w:space="0" w:color="auto"/>
                                                                                            <w:left w:val="none" w:sz="0" w:space="0" w:color="auto"/>
                                                                                            <w:bottom w:val="none" w:sz="0" w:space="0" w:color="auto"/>
                                                                                            <w:right w:val="none" w:sz="0" w:space="0" w:color="auto"/>
                                                                                          </w:divBdr>
                                                                                          <w:divsChild>
                                                                                            <w:div w:id="1118184706">
                                                                                              <w:marLeft w:val="0"/>
                                                                                              <w:marRight w:val="0"/>
                                                                                              <w:marTop w:val="0"/>
                                                                                              <w:marBottom w:val="0"/>
                                                                                              <w:divBdr>
                                                                                                <w:top w:val="none" w:sz="0" w:space="0" w:color="auto"/>
                                                                                                <w:left w:val="none" w:sz="0" w:space="0" w:color="auto"/>
                                                                                                <w:bottom w:val="none" w:sz="0" w:space="0" w:color="auto"/>
                                                                                                <w:right w:val="none" w:sz="0" w:space="0" w:color="auto"/>
                                                                                              </w:divBdr>
                                                                                              <w:divsChild>
                                                                                                <w:div w:id="1372538897">
                                                                                                  <w:marLeft w:val="0"/>
                                                                                                  <w:marRight w:val="0"/>
                                                                                                  <w:marTop w:val="0"/>
                                                                                                  <w:marBottom w:val="0"/>
                                                                                                  <w:divBdr>
                                                                                                    <w:top w:val="none" w:sz="0" w:space="0" w:color="auto"/>
                                                                                                    <w:left w:val="none" w:sz="0" w:space="0" w:color="auto"/>
                                                                                                    <w:bottom w:val="none" w:sz="0" w:space="0" w:color="auto"/>
                                                                                                    <w:right w:val="none" w:sz="0" w:space="0" w:color="auto"/>
                                                                                                  </w:divBdr>
                                                                                                  <w:divsChild>
                                                                                                    <w:div w:id="1928683359">
                                                                                                      <w:marLeft w:val="0"/>
                                                                                                      <w:marRight w:val="0"/>
                                                                                                      <w:marTop w:val="0"/>
                                                                                                      <w:marBottom w:val="0"/>
                                                                                                      <w:divBdr>
                                                                                                        <w:top w:val="none" w:sz="0" w:space="0" w:color="auto"/>
                                                                                                        <w:left w:val="none" w:sz="0" w:space="0" w:color="auto"/>
                                                                                                        <w:bottom w:val="none" w:sz="0" w:space="0" w:color="auto"/>
                                                                                                        <w:right w:val="none" w:sz="0" w:space="0" w:color="auto"/>
                                                                                                      </w:divBdr>
                                                                                                      <w:divsChild>
                                                                                                        <w:div w:id="1213342409">
                                                                                                          <w:marLeft w:val="0"/>
                                                                                                          <w:marRight w:val="0"/>
                                                                                                          <w:marTop w:val="0"/>
                                                                                                          <w:marBottom w:val="0"/>
                                                                                                          <w:divBdr>
                                                                                                            <w:top w:val="none" w:sz="0" w:space="0" w:color="auto"/>
                                                                                                            <w:left w:val="none" w:sz="0" w:space="0" w:color="auto"/>
                                                                                                            <w:bottom w:val="none" w:sz="0" w:space="0" w:color="auto"/>
                                                                                                            <w:right w:val="none" w:sz="0" w:space="0" w:color="auto"/>
                                                                                                          </w:divBdr>
                                                                                                          <w:divsChild>
                                                                                                            <w:div w:id="1142776098">
                                                                                                              <w:marLeft w:val="0"/>
                                                                                                              <w:marRight w:val="0"/>
                                                                                                              <w:marTop w:val="0"/>
                                                                                                              <w:marBottom w:val="0"/>
                                                                                                              <w:divBdr>
                                                                                                                <w:top w:val="none" w:sz="0" w:space="0" w:color="auto"/>
                                                                                                                <w:left w:val="none" w:sz="0" w:space="0" w:color="auto"/>
                                                                                                                <w:bottom w:val="none" w:sz="0" w:space="0" w:color="auto"/>
                                                                                                                <w:right w:val="none" w:sz="0" w:space="0" w:color="auto"/>
                                                                                                              </w:divBdr>
                                                                                                              <w:divsChild>
                                                                                                                <w:div w:id="1524325689">
                                                                                                                  <w:marLeft w:val="0"/>
                                                                                                                  <w:marRight w:val="0"/>
                                                                                                                  <w:marTop w:val="0"/>
                                                                                                                  <w:marBottom w:val="0"/>
                                                                                                                  <w:divBdr>
                                                                                                                    <w:top w:val="none" w:sz="0" w:space="0" w:color="auto"/>
                                                                                                                    <w:left w:val="none" w:sz="0" w:space="0" w:color="auto"/>
                                                                                                                    <w:bottom w:val="none" w:sz="0" w:space="0" w:color="auto"/>
                                                                                                                    <w:right w:val="none" w:sz="0" w:space="0" w:color="auto"/>
                                                                                                                  </w:divBdr>
                                                                                                                </w:div>
                                                                                                                <w:div w:id="492531128">
                                                                                                                  <w:marLeft w:val="0"/>
                                                                                                                  <w:marRight w:val="0"/>
                                                                                                                  <w:marTop w:val="0"/>
                                                                                                                  <w:marBottom w:val="0"/>
                                                                                                                  <w:divBdr>
                                                                                                                    <w:top w:val="none" w:sz="0" w:space="0" w:color="auto"/>
                                                                                                                    <w:left w:val="none" w:sz="0" w:space="0" w:color="auto"/>
                                                                                                                    <w:bottom w:val="none" w:sz="0" w:space="0" w:color="auto"/>
                                                                                                                    <w:right w:val="none" w:sz="0" w:space="0" w:color="auto"/>
                                                                                                                  </w:divBdr>
                                                                                                                </w:div>
                                                                                                              </w:divsChild>
                                                                                                            </w:div>
                                                                                                            <w:div w:id="92554530">
                                                                                                              <w:marLeft w:val="0"/>
                                                                                                              <w:marRight w:val="0"/>
                                                                                                              <w:marTop w:val="0"/>
                                                                                                              <w:marBottom w:val="0"/>
                                                                                                              <w:divBdr>
                                                                                                                <w:top w:val="none" w:sz="0" w:space="0" w:color="auto"/>
                                                                                                                <w:left w:val="none" w:sz="0" w:space="0" w:color="auto"/>
                                                                                                                <w:bottom w:val="none" w:sz="0" w:space="0" w:color="auto"/>
                                                                                                                <w:right w:val="none" w:sz="0" w:space="0" w:color="auto"/>
                                                                                                              </w:divBdr>
                                                                                                              <w:divsChild>
                                                                                                                <w:div w:id="1923099464">
                                                                                                                  <w:marLeft w:val="0"/>
                                                                                                                  <w:marRight w:val="0"/>
                                                                                                                  <w:marTop w:val="0"/>
                                                                                                                  <w:marBottom w:val="0"/>
                                                                                                                  <w:divBdr>
                                                                                                                    <w:top w:val="none" w:sz="0" w:space="0" w:color="auto"/>
                                                                                                                    <w:left w:val="none" w:sz="0" w:space="0" w:color="auto"/>
                                                                                                                    <w:bottom w:val="none" w:sz="0" w:space="0" w:color="auto"/>
                                                                                                                    <w:right w:val="none" w:sz="0" w:space="0" w:color="auto"/>
                                                                                                                  </w:divBdr>
                                                                                                                </w:div>
                                                                                                                <w:div w:id="3062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5186">
                                                                                                          <w:marLeft w:val="0"/>
                                                                                                          <w:marRight w:val="0"/>
                                                                                                          <w:marTop w:val="0"/>
                                                                                                          <w:marBottom w:val="0"/>
                                                                                                          <w:divBdr>
                                                                                                            <w:top w:val="none" w:sz="0" w:space="0" w:color="auto"/>
                                                                                                            <w:left w:val="none" w:sz="0" w:space="0" w:color="auto"/>
                                                                                                            <w:bottom w:val="none" w:sz="0" w:space="0" w:color="auto"/>
                                                                                                            <w:right w:val="none" w:sz="0" w:space="0" w:color="auto"/>
                                                                                                          </w:divBdr>
                                                                                                          <w:divsChild>
                                                                                                            <w:div w:id="1961524437">
                                                                                                              <w:marLeft w:val="0"/>
                                                                                                              <w:marRight w:val="0"/>
                                                                                                              <w:marTop w:val="0"/>
                                                                                                              <w:marBottom w:val="0"/>
                                                                                                              <w:divBdr>
                                                                                                                <w:top w:val="none" w:sz="0" w:space="0" w:color="auto"/>
                                                                                                                <w:left w:val="none" w:sz="0" w:space="0" w:color="auto"/>
                                                                                                                <w:bottom w:val="none" w:sz="0" w:space="0" w:color="auto"/>
                                                                                                                <w:right w:val="none" w:sz="0" w:space="0" w:color="auto"/>
                                                                                                              </w:divBdr>
                                                                                                              <w:divsChild>
                                                                                                                <w:div w:id="466824949">
                                                                                                                  <w:marLeft w:val="0"/>
                                                                                                                  <w:marRight w:val="0"/>
                                                                                                                  <w:marTop w:val="0"/>
                                                                                                                  <w:marBottom w:val="0"/>
                                                                                                                  <w:divBdr>
                                                                                                                    <w:top w:val="none" w:sz="0" w:space="0" w:color="auto"/>
                                                                                                                    <w:left w:val="none" w:sz="0" w:space="0" w:color="auto"/>
                                                                                                                    <w:bottom w:val="none" w:sz="0" w:space="0" w:color="auto"/>
                                                                                                                    <w:right w:val="none" w:sz="0" w:space="0" w:color="auto"/>
                                                                                                                  </w:divBdr>
                                                                                                                </w:div>
                                                                                                                <w:div w:id="1101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986">
                                                                                                          <w:marLeft w:val="0"/>
                                                                                                          <w:marRight w:val="0"/>
                                                                                                          <w:marTop w:val="0"/>
                                                                                                          <w:marBottom w:val="0"/>
                                                                                                          <w:divBdr>
                                                                                                            <w:top w:val="none" w:sz="0" w:space="0" w:color="auto"/>
                                                                                                            <w:left w:val="none" w:sz="0" w:space="0" w:color="auto"/>
                                                                                                            <w:bottom w:val="none" w:sz="0" w:space="0" w:color="auto"/>
                                                                                                            <w:right w:val="none" w:sz="0" w:space="0" w:color="auto"/>
                                                                                                          </w:divBdr>
                                                                                                          <w:divsChild>
                                                                                                            <w:div w:id="593440751">
                                                                                                              <w:marLeft w:val="0"/>
                                                                                                              <w:marRight w:val="0"/>
                                                                                                              <w:marTop w:val="0"/>
                                                                                                              <w:marBottom w:val="0"/>
                                                                                                              <w:divBdr>
                                                                                                                <w:top w:val="none" w:sz="0" w:space="0" w:color="auto"/>
                                                                                                                <w:left w:val="none" w:sz="0" w:space="0" w:color="auto"/>
                                                                                                                <w:bottom w:val="none" w:sz="0" w:space="0" w:color="auto"/>
                                                                                                                <w:right w:val="none" w:sz="0" w:space="0" w:color="auto"/>
                                                                                                              </w:divBdr>
                                                                                                              <w:divsChild>
                                                                                                                <w:div w:id="1927642806">
                                                                                                                  <w:marLeft w:val="0"/>
                                                                                                                  <w:marRight w:val="0"/>
                                                                                                                  <w:marTop w:val="0"/>
                                                                                                                  <w:marBottom w:val="0"/>
                                                                                                                  <w:divBdr>
                                                                                                                    <w:top w:val="none" w:sz="0" w:space="0" w:color="auto"/>
                                                                                                                    <w:left w:val="none" w:sz="0" w:space="0" w:color="auto"/>
                                                                                                                    <w:bottom w:val="none" w:sz="0" w:space="0" w:color="auto"/>
                                                                                                                    <w:right w:val="none" w:sz="0" w:space="0" w:color="auto"/>
                                                                                                                  </w:divBdr>
                                                                                                                </w:div>
                                                                                                                <w:div w:id="11147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776">
                                                                                                          <w:marLeft w:val="0"/>
                                                                                                          <w:marRight w:val="0"/>
                                                                                                          <w:marTop w:val="0"/>
                                                                                                          <w:marBottom w:val="0"/>
                                                                                                          <w:divBdr>
                                                                                                            <w:top w:val="none" w:sz="0" w:space="0" w:color="auto"/>
                                                                                                            <w:left w:val="none" w:sz="0" w:space="0" w:color="auto"/>
                                                                                                            <w:bottom w:val="none" w:sz="0" w:space="0" w:color="auto"/>
                                                                                                            <w:right w:val="none" w:sz="0" w:space="0" w:color="auto"/>
                                                                                                          </w:divBdr>
                                                                                                          <w:divsChild>
                                                                                                            <w:div w:id="524053837">
                                                                                                              <w:marLeft w:val="0"/>
                                                                                                              <w:marRight w:val="0"/>
                                                                                                              <w:marTop w:val="0"/>
                                                                                                              <w:marBottom w:val="0"/>
                                                                                                              <w:divBdr>
                                                                                                                <w:top w:val="none" w:sz="0" w:space="0" w:color="auto"/>
                                                                                                                <w:left w:val="none" w:sz="0" w:space="0" w:color="auto"/>
                                                                                                                <w:bottom w:val="none" w:sz="0" w:space="0" w:color="auto"/>
                                                                                                                <w:right w:val="none" w:sz="0" w:space="0" w:color="auto"/>
                                                                                                              </w:divBdr>
                                                                                                              <w:divsChild>
                                                                                                                <w:div w:id="188033664">
                                                                                                                  <w:marLeft w:val="0"/>
                                                                                                                  <w:marRight w:val="0"/>
                                                                                                                  <w:marTop w:val="0"/>
                                                                                                                  <w:marBottom w:val="0"/>
                                                                                                                  <w:divBdr>
                                                                                                                    <w:top w:val="none" w:sz="0" w:space="0" w:color="auto"/>
                                                                                                                    <w:left w:val="none" w:sz="0" w:space="0" w:color="auto"/>
                                                                                                                    <w:bottom w:val="none" w:sz="0" w:space="0" w:color="auto"/>
                                                                                                                    <w:right w:val="none" w:sz="0" w:space="0" w:color="auto"/>
                                                                                                                  </w:divBdr>
                                                                                                                </w:div>
                                                                                                                <w:div w:id="5084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3629">
                                                                                                          <w:marLeft w:val="0"/>
                                                                                                          <w:marRight w:val="0"/>
                                                                                                          <w:marTop w:val="0"/>
                                                                                                          <w:marBottom w:val="0"/>
                                                                                                          <w:divBdr>
                                                                                                            <w:top w:val="none" w:sz="0" w:space="0" w:color="auto"/>
                                                                                                            <w:left w:val="none" w:sz="0" w:space="0" w:color="auto"/>
                                                                                                            <w:bottom w:val="none" w:sz="0" w:space="0" w:color="auto"/>
                                                                                                            <w:right w:val="none" w:sz="0" w:space="0" w:color="auto"/>
                                                                                                          </w:divBdr>
                                                                                                          <w:divsChild>
                                                                                                            <w:div w:id="1863545228">
                                                                                                              <w:marLeft w:val="0"/>
                                                                                                              <w:marRight w:val="0"/>
                                                                                                              <w:marTop w:val="0"/>
                                                                                                              <w:marBottom w:val="0"/>
                                                                                                              <w:divBdr>
                                                                                                                <w:top w:val="none" w:sz="0" w:space="0" w:color="auto"/>
                                                                                                                <w:left w:val="none" w:sz="0" w:space="0" w:color="auto"/>
                                                                                                                <w:bottom w:val="none" w:sz="0" w:space="0" w:color="auto"/>
                                                                                                                <w:right w:val="none" w:sz="0" w:space="0" w:color="auto"/>
                                                                                                              </w:divBdr>
                                                                                                              <w:divsChild>
                                                                                                                <w:div w:id="316419533">
                                                                                                                  <w:marLeft w:val="0"/>
                                                                                                                  <w:marRight w:val="0"/>
                                                                                                                  <w:marTop w:val="0"/>
                                                                                                                  <w:marBottom w:val="0"/>
                                                                                                                  <w:divBdr>
                                                                                                                    <w:top w:val="none" w:sz="0" w:space="0" w:color="auto"/>
                                                                                                                    <w:left w:val="none" w:sz="0" w:space="0" w:color="auto"/>
                                                                                                                    <w:bottom w:val="none" w:sz="0" w:space="0" w:color="auto"/>
                                                                                                                    <w:right w:val="none" w:sz="0" w:space="0" w:color="auto"/>
                                                                                                                  </w:divBdr>
                                                                                                                </w:div>
                                                                                                                <w:div w:id="4927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y.chaudhuri@nhs.net"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03443F3-3F0E-A045-BA8F-1B6067E5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6517</Words>
  <Characters>37148</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Jesse Mu</cp:lastModifiedBy>
  <cp:revision>31</cp:revision>
  <cp:lastPrinted>2016-08-30T09:57:00Z</cp:lastPrinted>
  <dcterms:created xsi:type="dcterms:W3CDTF">2016-12-22T20:25:00Z</dcterms:created>
  <dcterms:modified xsi:type="dcterms:W3CDTF">2017-03-26T22:13:00Z</dcterms:modified>
</cp:coreProperties>
</file>