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INTERNAL MANAGEMENT COMMUNICATION</w:t>
      </w:r>
    </w:p>
    <w:p>
      <w:pPr>
        <w:pStyle w:val="Title"/>
      </w:pPr>
      <w:r>
        <w:t>Business Memo</w:t>
      </w:r>
    </w:p>
    <w:p>
      <w:r>
        <w:rPr>
          <w:rFonts w:ascii="Aptos" w:hAnsi="Aptos"/>
          <w:color w:val="606B76"/>
          <w:sz w:val="20"/>
        </w:rPr>
        <w:t>Decision and execution note</w:t>
      </w:r>
    </w:p>
    <w:p>
      <w:pPr>
        <w:spacing w:before="0" w:after="160"/>
        <w:pBdr>
          <w:bottom w:val="single" w:sz="24" w:color="1B798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EF3F7"/>
            <w:tcBorders>
              <w:bottom w:val="single" w:sz="4" w:color="DDE4EA"/>
            </w:tcBorders>
          </w:tcPr>
          <w:p>
            <w:r>
              <w:rPr>
                <w:rFonts w:ascii="Aptos" w:hAnsi="Aptos"/>
                <w:b/>
                <w:color w:val="19365D"/>
                <w:sz w:val="15"/>
              </w:rPr>
              <w:t>TO</w:t>
            </w:r>
          </w:p>
        </w:tc>
        <w:tc>
          <w:tcPr>
            <w:tcW w:type="dxa" w:w="4939"/>
            <w:tcBorders>
              <w:bottom w:val="single" w:sz="4" w:color="DDE4EA"/>
            </w:tcBorders>
          </w:tcPr>
          <w:p>
            <w:r>
              <w:rPr>
                <w:rFonts w:ascii="Aptos" w:hAnsi="Aptos"/>
                <w:b w:val="0"/>
                <w:color w:val="293038"/>
                <w:sz w:val="18"/>
              </w:rPr>
              <w:t>Executive Committee and Business Unit Heads</w:t>
            </w:r>
          </w:p>
        </w:tc>
      </w:tr>
      <w:tr>
        <w:tc>
          <w:tcPr>
            <w:tcW w:type="dxa" w:w="4939"/>
            <w:shd w:fill="EEF3F7"/>
            <w:tcBorders>
              <w:bottom w:val="single" w:sz="4" w:color="DDE4EA"/>
            </w:tcBorders>
          </w:tcPr>
          <w:p>
            <w:r>
              <w:rPr>
                <w:rFonts w:ascii="Aptos" w:hAnsi="Aptos"/>
                <w:b/>
                <w:color w:val="19365D"/>
                <w:sz w:val="15"/>
              </w:rPr>
              <w:t>FROM</w:t>
            </w:r>
          </w:p>
        </w:tc>
        <w:tc>
          <w:tcPr>
            <w:tcW w:type="dxa" w:w="4939"/>
            <w:tcBorders>
              <w:bottom w:val="single" w:sz="4" w:color="DDE4EA"/>
            </w:tcBorders>
          </w:tcPr>
          <w:p>
            <w:r>
              <w:rPr>
                <w:rFonts w:ascii="Aptos" w:hAnsi="Aptos"/>
                <w:b w:val="0"/>
                <w:color w:val="293038"/>
                <w:sz w:val="18"/>
              </w:rPr>
              <w:t>Marcus Lee, Chief Operating Officer</w:t>
            </w:r>
          </w:p>
        </w:tc>
      </w:tr>
      <w:tr>
        <w:tc>
          <w:tcPr>
            <w:tcW w:type="dxa" w:w="4939"/>
            <w:shd w:fill="EEF3F7"/>
            <w:tcBorders>
              <w:bottom w:val="single" w:sz="4" w:color="DDE4EA"/>
            </w:tcBorders>
          </w:tcPr>
          <w:p>
            <w:r>
              <w:rPr>
                <w:rFonts w:ascii="Aptos" w:hAnsi="Aptos"/>
                <w:b/>
                <w:color w:val="19365D"/>
                <w:sz w:val="15"/>
              </w:rPr>
              <w:t>DATE</w:t>
            </w:r>
          </w:p>
        </w:tc>
        <w:tc>
          <w:tcPr>
            <w:tcW w:type="dxa" w:w="4939"/>
            <w:tcBorders>
              <w:bottom w:val="single" w:sz="4" w:color="DDE4EA"/>
            </w:tcBorders>
          </w:tcPr>
          <w:p>
            <w:r>
              <w:rPr>
                <w:rFonts w:ascii="Aptos" w:hAnsi="Aptos"/>
                <w:b w:val="0"/>
                <w:color w:val="293038"/>
                <w:sz w:val="18"/>
              </w:rPr>
              <w:t>7 October 2026</w:t>
            </w:r>
          </w:p>
        </w:tc>
      </w:tr>
      <w:tr>
        <w:tc>
          <w:tcPr>
            <w:tcW w:type="dxa" w:w="4939"/>
            <w:shd w:fill="EEF3F7"/>
            <w:tcBorders>
              <w:bottom w:val="single" w:sz="4" w:color="DDE4EA"/>
            </w:tcBorders>
          </w:tcPr>
          <w:p>
            <w:r>
              <w:rPr>
                <w:rFonts w:ascii="Aptos" w:hAnsi="Aptos"/>
                <w:b/>
                <w:color w:val="19365D"/>
                <w:sz w:val="15"/>
              </w:rPr>
              <w:t>SUBJECT</w:t>
            </w:r>
          </w:p>
        </w:tc>
        <w:tc>
          <w:tcPr>
            <w:tcW w:type="dxa" w:w="4939"/>
            <w:tcBorders>
              <w:bottom w:val="single" w:sz="4" w:color="DDE4EA"/>
            </w:tcBorders>
          </w:tcPr>
          <w:p>
            <w:r>
              <w:rPr>
                <w:rFonts w:ascii="Aptos" w:hAnsi="Aptos"/>
                <w:b/>
                <w:color w:val="293038"/>
                <w:sz w:val="18"/>
              </w:rPr>
              <w:t>Operating Model Reset: Simplifying Delivery and Decision Rights</w:t>
            </w:r>
          </w:p>
        </w:tc>
      </w:tr>
      <w:tr>
        <w:tc>
          <w:tcPr>
            <w:tcW w:type="dxa" w:w="4939"/>
            <w:shd w:fill="EEF3F7"/>
            <w:tcBorders>
              <w:bottom w:val="single" w:sz="4" w:color="DDE4EA"/>
            </w:tcBorders>
          </w:tcPr>
          <w:p>
            <w:r>
              <w:rPr>
                <w:rFonts w:ascii="Aptos" w:hAnsi="Aptos"/>
                <w:b/>
                <w:color w:val="19365D"/>
                <w:sz w:val="15"/>
              </w:rPr>
              <w:t>CLASSIFICATION</w:t>
            </w:r>
          </w:p>
        </w:tc>
        <w:tc>
          <w:tcPr>
            <w:tcW w:type="dxa" w:w="4939"/>
            <w:tcBorders>
              <w:bottom w:val="single" w:sz="4" w:color="DDE4EA"/>
            </w:tcBorders>
          </w:tcPr>
          <w:p>
            <w:r>
              <w:rPr>
                <w:rFonts w:ascii="Aptos" w:hAnsi="Aptos"/>
                <w:b w:val="0"/>
                <w:color w:val="293038"/>
                <w:sz w:val="18"/>
              </w:rPr>
              <w:t>Internal - Management</w:t>
            </w:r>
          </w:p>
        </w:tc>
      </w:tr>
    </w:tbl>
    <w:p>
      <w:pPr>
        <w:pStyle w:val="Heading1"/>
      </w:pPr>
      <w:r>
        <w:t>Purpose</w:t>
      </w:r>
    </w:p>
    <w:p>
      <w:r>
        <w:t>This memo confirms the operating-model changes approved by the Executive Committee on 5 October. The objective is to reduce hand-offs, clarify accountability, and improve the speed with which priority client commitments move from decision to delivery.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6F8FA"/>
            <w:tcBorders>
              <w:left w:val="single" w:sz="22" w:color="1B7981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9365D"/>
                <w:sz w:val="21"/>
              </w:rPr>
              <w:t>Decision</w:t>
            </w:r>
          </w:p>
          <w:p>
            <w:pPr>
              <w:spacing w:after="80"/>
            </w:pPr>
            <w:r>
              <w:rPr>
                <w:rFonts w:ascii="Aptos" w:hAnsi="Aptos"/>
                <w:color w:val="293038"/>
                <w:sz w:val="18"/>
              </w:rPr>
              <w:t>Effective 1 November 2026, accountability for delivery will move to five end-to-end value streams. Each value stream will own demand shaping, prioritisation, engineering delivery, operational readiness and benefit tracking for its scope.</w:t>
            </w:r>
          </w:p>
        </w:tc>
      </w:tr>
    </w:tbl>
    <w:p>
      <w:pPr>
        <w:pStyle w:val="Heading1"/>
      </w:pPr>
      <w:r>
        <w:t>What is changing</w:t>
      </w:r>
    </w:p>
    <w:p>
      <w:pPr>
        <w:spacing w:after="20"/>
      </w:pPr>
      <w:r>
        <w:rPr>
          <w:rFonts w:ascii="Aptos" w:hAnsi="Aptos"/>
          <w:b/>
          <w:color w:val="1B7981"/>
          <w:sz w:val="22"/>
        </w:rPr>
        <w:t>1. Five value streams</w:t>
      </w:r>
    </w:p>
    <w:p>
      <w:r>
        <w:t>Client Onboarding; Markets &amp; Confirmations; Payments &amp; Treasury; Data &amp; Regulatory; Enterprise Platforms.</w:t>
      </w:r>
    </w:p>
    <w:p>
      <w:pPr>
        <w:spacing w:after="20"/>
      </w:pPr>
      <w:r>
        <w:rPr>
          <w:rFonts w:ascii="Aptos" w:hAnsi="Aptos"/>
          <w:b/>
          <w:color w:val="1B7981"/>
          <w:sz w:val="22"/>
        </w:rPr>
        <w:t>2. One accountable executive</w:t>
      </w:r>
    </w:p>
    <w:p>
      <w:r>
        <w:t>Each stream will have one Executive Sponsor and one Value Stream Lead with authority over priorities, capacity and delivery trade-offs.</w:t>
      </w:r>
    </w:p>
    <w:p>
      <w:pPr>
        <w:spacing w:after="20"/>
      </w:pPr>
      <w:r>
        <w:rPr>
          <w:rFonts w:ascii="Aptos" w:hAnsi="Aptos"/>
          <w:b/>
          <w:color w:val="1B7981"/>
          <w:sz w:val="22"/>
        </w:rPr>
        <w:t>3. Fewer governance layers</w:t>
      </w:r>
    </w:p>
    <w:p>
      <w:r>
        <w:t>Project-level steering forums will be consolidated. Material risk, regulatory commitments and investment exceptions will continue to receive independent review.</w:t>
      </w:r>
    </w:p>
    <w:p>
      <w:pPr>
        <w:spacing w:after="20"/>
      </w:pPr>
      <w:r>
        <w:rPr>
          <w:rFonts w:ascii="Aptos" w:hAnsi="Aptos"/>
          <w:b/>
          <w:color w:val="1B7981"/>
          <w:sz w:val="22"/>
        </w:rPr>
        <w:t>4. Persistent product teams</w:t>
      </w:r>
    </w:p>
    <w:p>
      <w:r>
        <w:t>Core capabilities will be staffed as enduring teams rather than repeatedly assembled project squads.</w:t>
      </w:r>
    </w:p>
    <w:p>
      <w:pPr>
        <w:pStyle w:val="Heading1"/>
      </w:pPr>
      <w:r>
        <w:t>Why now</w:t>
      </w:r>
    </w:p>
    <w:p>
      <w:pPr>
        <w:pStyle w:val="ListBullet"/>
        <w:spacing w:after="60"/>
      </w:pPr>
      <w:r>
        <w:t>Across the last two quarters, 37% of priority initiatives experienced delay attributable primarily to cross-team dependencies or unclear decision ownership.</w:t>
      </w:r>
    </w:p>
    <w:p>
      <w:pPr>
        <w:pStyle w:val="ListBullet"/>
        <w:spacing w:after="60"/>
      </w:pPr>
      <w:r>
        <w:t>Technology and operations teams are maintaining overlapping governance artefacts for the same outcomes.</w:t>
      </w:r>
    </w:p>
    <w:p>
      <w:pPr>
        <w:pStyle w:val="ListBullet"/>
        <w:spacing w:after="60"/>
      </w:pPr>
      <w:r>
        <w:t>Client commitments increasingly span product, data, engineering and operations; our current structure optimises functions more effectively than end-to-end outcomes.</w:t>
      </w:r>
    </w:p>
    <w:p>
      <w:pPr>
        <w:pStyle w:val="Kicker"/>
      </w:pPr>
      <w:r>
        <w:t>EXECUTION</w:t>
      </w:r>
    </w:p>
    <w:p>
      <w:pPr>
        <w:pStyle w:val="Heading1"/>
      </w:pPr>
      <w:r>
        <w:t>Implementation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19365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WHEN</w:t>
            </w:r>
          </w:p>
        </w:tc>
        <w:tc>
          <w:tcPr>
            <w:tcW w:type="dxa" w:w="2469"/>
            <w:shd w:fill="19365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2469"/>
            <w:shd w:fill="19365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469"/>
            <w:shd w:fill="19365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EVIDENCE OF COMPLETION</w:t>
            </w:r>
          </w:p>
        </w:tc>
      </w:tr>
      <w:tr>
        <w:tc>
          <w:tcPr>
            <w:tcW w:type="dxa" w:w="2469"/>
            <w:shd w:fill="F6F8FA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14 Oct</w:t>
            </w:r>
          </w:p>
        </w:tc>
        <w:tc>
          <w:tcPr>
            <w:tcW w:type="dxa" w:w="2469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Confirm value-stream charters</w:t>
            </w:r>
          </w:p>
        </w:tc>
        <w:tc>
          <w:tcPr>
            <w:tcW w:type="dxa" w:w="2469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COO + Sponsors</w:t>
            </w:r>
          </w:p>
        </w:tc>
        <w:tc>
          <w:tcPr>
            <w:tcW w:type="dxa" w:w="2469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Approved scope and decision rights</w:t>
            </w:r>
          </w:p>
        </w:tc>
      </w:tr>
      <w:tr>
        <w:tc>
          <w:tcPr>
            <w:tcW w:type="dxa" w:w="2469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21 Oct</w:t>
            </w:r>
          </w:p>
        </w:tc>
        <w:tc>
          <w:tcPr>
            <w:tcW w:type="dxa" w:w="2469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Map people and in-flight work</w:t>
            </w:r>
          </w:p>
        </w:tc>
        <w:tc>
          <w:tcPr>
            <w:tcW w:type="dxa" w:w="2469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BU Leads + HR</w:t>
            </w:r>
          </w:p>
        </w:tc>
        <w:tc>
          <w:tcPr>
            <w:tcW w:type="dxa" w:w="2469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Named teams and transition risks</w:t>
            </w:r>
          </w:p>
        </w:tc>
      </w:tr>
      <w:tr>
        <w:tc>
          <w:tcPr>
            <w:tcW w:type="dxa" w:w="2469"/>
            <w:shd w:fill="F6F8FA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28 Oct</w:t>
            </w:r>
          </w:p>
        </w:tc>
        <w:tc>
          <w:tcPr>
            <w:tcW w:type="dxa" w:w="2469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Baseline service and delivery metrics</w:t>
            </w:r>
          </w:p>
        </w:tc>
        <w:tc>
          <w:tcPr>
            <w:tcW w:type="dxa" w:w="2469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CIO + Operations</w:t>
            </w:r>
          </w:p>
        </w:tc>
        <w:tc>
          <w:tcPr>
            <w:tcW w:type="dxa" w:w="2469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Baseline dashboard published</w:t>
            </w:r>
          </w:p>
        </w:tc>
      </w:tr>
      <w:tr>
        <w:tc>
          <w:tcPr>
            <w:tcW w:type="dxa" w:w="2469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1 Nov</w:t>
            </w:r>
          </w:p>
        </w:tc>
        <w:tc>
          <w:tcPr>
            <w:tcW w:type="dxa" w:w="2469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New model goes live</w:t>
            </w:r>
          </w:p>
        </w:tc>
        <w:tc>
          <w:tcPr>
            <w:tcW w:type="dxa" w:w="2469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All Sponsors</w:t>
            </w:r>
          </w:p>
        </w:tc>
        <w:tc>
          <w:tcPr>
            <w:tcW w:type="dxa" w:w="2469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Governance and backlog ownership active</w:t>
            </w:r>
          </w:p>
        </w:tc>
      </w:tr>
      <w:tr>
        <w:tc>
          <w:tcPr>
            <w:tcW w:type="dxa" w:w="2469"/>
            <w:shd w:fill="F6F8FA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30 Nov</w:t>
            </w:r>
          </w:p>
        </w:tc>
        <w:tc>
          <w:tcPr>
            <w:tcW w:type="dxa" w:w="2469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30-day health check</w:t>
            </w:r>
          </w:p>
        </w:tc>
        <w:tc>
          <w:tcPr>
            <w:tcW w:type="dxa" w:w="2469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Transformation Office</w:t>
            </w:r>
          </w:p>
        </w:tc>
        <w:tc>
          <w:tcPr>
            <w:tcW w:type="dxa" w:w="2469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Issues and corrective actions agreed</w:t>
            </w:r>
          </w:p>
        </w:tc>
      </w:tr>
    </w:tbl>
    <w:p>
      <w:pPr>
        <w:pStyle w:val="Heading1"/>
      </w:pPr>
      <w:r>
        <w:t>Non-negotiables</w:t>
      </w:r>
    </w:p>
    <w:p>
      <w:pPr>
        <w:pStyle w:val="ListBullet"/>
        <w:spacing w:after="60"/>
      </w:pPr>
      <w:r>
        <w:t>No reduction in independent risk, compliance or production-readiness controls.</w:t>
      </w:r>
    </w:p>
    <w:p>
      <w:pPr>
        <w:pStyle w:val="ListBullet"/>
        <w:spacing w:after="60"/>
      </w:pPr>
      <w:r>
        <w:t>Client and regulatory deadlines remain binding during transition.</w:t>
      </w:r>
    </w:p>
    <w:p>
      <w:pPr>
        <w:pStyle w:val="ListBullet"/>
        <w:spacing w:after="60"/>
      </w:pPr>
      <w:r>
        <w:t>Every service must retain a named business owner and technology owner.</w:t>
      </w:r>
    </w:p>
    <w:p>
      <w:pPr>
        <w:pStyle w:val="ListBullet"/>
        <w:spacing w:after="60"/>
      </w:pPr>
      <w:r>
        <w:t>Exceptions requiring more than five working days to resolve must be escalated to the relevant Executive Sponsor.</w:t>
      </w:r>
    </w:p>
    <w:p>
      <w:pPr>
        <w:pStyle w:val="Heading1"/>
      </w:pPr>
      <w:r>
        <w:t>Measures we will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EF3F7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9365D"/>
                <w:sz w:val="36"/>
              </w:rPr>
              <w:t>≤ 5 days</w:t>
            </w:r>
          </w:p>
          <w:p>
            <w:pPr>
              <w:spacing w:after="80"/>
              <w:jc w:val="center"/>
            </w:pPr>
            <w:r>
              <w:rPr>
                <w:rFonts w:ascii="Aptos" w:hAnsi="Aptos"/>
                <w:b/>
                <w:color w:val="606B76"/>
                <w:sz w:val="15"/>
              </w:rPr>
              <w:t>DECISION LEAD TIME</w:t>
            </w:r>
          </w:p>
        </w:tc>
        <w:tc>
          <w:tcPr>
            <w:tcW w:type="dxa" w:w="2469"/>
            <w:shd w:fill="EEF3F7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9365D"/>
                <w:sz w:val="36"/>
              </w:rPr>
              <w:t>≥ 85%</w:t>
            </w:r>
          </w:p>
          <w:p>
            <w:pPr>
              <w:spacing w:after="80"/>
              <w:jc w:val="center"/>
            </w:pPr>
            <w:r>
              <w:rPr>
                <w:rFonts w:ascii="Aptos" w:hAnsi="Aptos"/>
                <w:b/>
                <w:color w:val="606B76"/>
                <w:sz w:val="15"/>
              </w:rPr>
              <w:t>ON-TIME DELIVERY</w:t>
            </w:r>
          </w:p>
        </w:tc>
        <w:tc>
          <w:tcPr>
            <w:tcW w:type="dxa" w:w="2469"/>
            <w:shd w:fill="EEF3F7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9365D"/>
                <w:sz w:val="36"/>
              </w:rPr>
              <w:t>−25%</w:t>
            </w:r>
          </w:p>
          <w:p>
            <w:pPr>
              <w:spacing w:after="80"/>
              <w:jc w:val="center"/>
            </w:pPr>
            <w:r>
              <w:rPr>
                <w:rFonts w:ascii="Aptos" w:hAnsi="Aptos"/>
                <w:b/>
                <w:color w:val="606B76"/>
                <w:sz w:val="15"/>
              </w:rPr>
              <w:t>HAND-OFFS</w:t>
            </w:r>
          </w:p>
        </w:tc>
        <w:tc>
          <w:tcPr>
            <w:tcW w:type="dxa" w:w="2469"/>
            <w:shd w:fill="EEF3F7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9365D"/>
                <w:sz w:val="36"/>
              </w:rPr>
              <w:t>≥ 99.9%</w:t>
            </w:r>
          </w:p>
          <w:p>
            <w:pPr>
              <w:spacing w:after="80"/>
              <w:jc w:val="center"/>
            </w:pPr>
            <w:r>
              <w:rPr>
                <w:rFonts w:ascii="Aptos" w:hAnsi="Aptos"/>
                <w:b/>
                <w:color w:val="606B76"/>
                <w:sz w:val="15"/>
              </w:rPr>
              <w:t>TIER-1 AVAILABILITY</w:t>
            </w:r>
          </w:p>
        </w:tc>
      </w:tr>
    </w:tbl>
    <w:p>
      <w:pPr>
        <w:spacing w:after="0"/>
      </w:pPr>
    </w:p>
    <w:p>
      <w:pPr>
        <w:pStyle w:val="Heading1"/>
      </w:pPr>
      <w:r>
        <w:t>Required action</w:t>
      </w:r>
    </w:p>
    <w:p>
      <w:r>
        <w:t>Business Unit Heads should nominate their transition lead by 10 October and complete the attached value-stream mapping template by 17 October. Questions that affect more than one business unit should be raised through the Transformation Office so that a single answer can be published for all teams.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6F8FA"/>
            <w:tcBorders>
              <w:left w:val="single" w:sz="22" w:color="1B7981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9365D"/>
                <w:sz w:val="21"/>
              </w:rPr>
              <w:t>Communication principle</w:t>
            </w:r>
          </w:p>
          <w:p>
            <w:pPr>
              <w:spacing w:after="80"/>
            </w:pPr>
            <w:r>
              <w:rPr>
                <w:rFonts w:ascii="Aptos" w:hAnsi="Aptos"/>
                <w:color w:val="293038"/>
                <w:sz w:val="18"/>
              </w:rPr>
              <w:t>Frame this as an accountability and flow redesign. Be clear on decisions, controls and success measures.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64"/>
      <w:gridCol w:w="3264"/>
      <w:gridCol w:w="3264"/>
    </w:tblGrid>
    <w:tr>
      <w:tc>
        <w:tcPr>
          <w:tcW w:type="dxa" w:w="3264"/>
        </w:tcPr>
        <w:p>
          <w:pPr>
            <w:jc w:val="left"/>
          </w:pPr>
          <w:r>
            <w:rPr>
              <w:rFonts w:ascii="Aptos" w:hAnsi="Aptos"/>
              <w:b/>
              <w:color w:val="606B76"/>
              <w:sz w:val="14"/>
            </w:rPr>
            <w:t>NORTHBRIDGE GROUP</w:t>
          </w:r>
        </w:p>
      </w:tc>
      <w:tc>
        <w:tcPr>
          <w:tcW w:type="dxa" w:w="3264"/>
        </w:tcPr>
        <w:p>
          <w:pPr>
            <w:jc w:val="center"/>
          </w:pPr>
          <w:r>
            <w:rPr>
              <w:rFonts w:ascii="Aptos" w:hAnsi="Aptos"/>
              <w:b w:val="0"/>
              <w:color w:val="606B76"/>
              <w:sz w:val="14"/>
            </w:rPr>
            <w:t>CONFIDENTIAL / ILLUSTRATIVE</w:t>
          </w:r>
        </w:p>
      </w:tc>
      <w:tc>
        <w:tcPr>
          <w:tcW w:type="dxa" w:w="3264"/>
        </w:tcPr>
        <w:p>
          <w:pPr>
            <w:jc w:val="right"/>
          </w:pPr>
          <w:r>
            <w:rPr>
              <w:rFonts w:ascii="Aptos" w:hAnsi="Aptos"/>
              <w:color w:val="606B76"/>
              <w:sz w:val="14"/>
            </w:rPr>
            <w:t xml:space="preserve">Page </w:t>
          </w:r>
          <w:r>
            <w:rPr>
              <w:rFonts w:ascii="Aptos" w:hAnsi="Aptos"/>
              <w:color w:val="606B76"/>
              <w:sz w:val="14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68"/>
      <w:gridCol w:w="6624"/>
    </w:tblGrid>
    <w:tr>
      <w:tc>
        <w:tcPr>
          <w:tcW w:type="dxa" w:w="4896"/>
          <w:tcBorders>
            <w:bottom w:val="single" w:sz="8" w:color="D8E0E7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417320" cy="4360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orthbridge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4360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  <w:tcBorders>
            <w:bottom w:val="single" w:sz="8" w:color="D8E0E7"/>
          </w:tcBorders>
        </w:tcPr>
        <w:p>
          <w:pPr>
            <w:jc w:val="right"/>
          </w:pPr>
          <w:r>
            <w:rPr>
              <w:rFonts w:ascii="Aptos" w:hAnsi="Aptos"/>
              <w:b/>
              <w:color w:val="606B76"/>
              <w:sz w:val="15"/>
            </w:rPr>
            <w:t>BUSINESS MEMO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ptos" w:hAnsi="Aptos"/>
      <w:color w:val="29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798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80"/>
    </w:pPr>
    <w:rPr>
      <w:rFonts w:ascii="Aptos" w:hAnsi="Aptos"/>
      <w:b/>
      <w:color w:val="1B798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