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EXECUTIVE COMMITTEE | DECISION PAPER</w:t>
      </w:r>
    </w:p>
    <w:p>
      <w:pPr>
        <w:pStyle w:val="Title"/>
      </w:pPr>
      <w:r>
        <w:t>Executive Brief</w:t>
      </w:r>
    </w:p>
    <w:p>
      <w:r>
        <w:rPr>
          <w:rFonts w:ascii="Aptos" w:hAnsi="Aptos"/>
          <w:b/>
          <w:color w:val="1B7981"/>
          <w:sz w:val="32"/>
        </w:rPr>
        <w:t>Modernising the Markets Confirmation Platform</w:t>
      </w:r>
    </w:p>
    <w:p>
      <w:r>
        <w:rPr>
          <w:rFonts w:ascii="Aptos" w:hAnsi="Aptos"/>
          <w:b/>
          <w:color w:val="293038"/>
          <w:sz w:val="21"/>
        </w:rPr>
        <w:t>Decision requested: approve phased migration from the Java 6 / WebLogic monolith to Spring Boot services with event-driven workflow.</w:t>
      </w:r>
    </w:p>
    <w:p>
      <w:pPr>
        <w:spacing w:before="0" w:after="160"/>
        <w:pBdr>
          <w:bottom w:val="single" w:sz="24" w:color="1B798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14 yrs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CORE PLATFORM AGE</w:t>
            </w:r>
          </w:p>
        </w:tc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38%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CHANGE SPEND ON LEGACY</w:t>
            </w:r>
          </w:p>
        </w:tc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6–8 wks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TYPICAL RELEASE</w:t>
            </w:r>
          </w:p>
        </w:tc>
        <w:tc>
          <w:tcPr>
            <w:tcW w:type="dxa" w:w="2469"/>
            <w:shd w:fill="EEF3F7"/>
            <w:vAlign w:val="center"/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19365D"/>
                <w:sz w:val="36"/>
              </w:rPr>
              <w:t>3</w:t>
            </w:r>
          </w:p>
          <w:p>
            <w:pPr>
              <w:spacing w:after="80"/>
              <w:jc w:val="center"/>
            </w:pPr>
            <w:r>
              <w:rPr>
                <w:rFonts w:ascii="Aptos" w:hAnsi="Aptos"/>
                <w:b/>
                <w:color w:val="606B76"/>
                <w:sz w:val="15"/>
              </w:rPr>
              <w:t>MATERIAL EOL RISKS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9F4F4"/>
            <w:tcBorders>
              <w:left w:val="single" w:sz="22" w:color="1B7981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9365D"/>
                <w:sz w:val="21"/>
              </w:rPr>
              <w:t>Recommendation</w:t>
            </w:r>
          </w:p>
          <w:p>
            <w:pPr>
              <w:spacing w:after="80"/>
            </w:pPr>
            <w:r>
              <w:rPr>
                <w:rFonts w:ascii="Aptos" w:hAnsi="Aptos"/>
                <w:color w:val="293038"/>
                <w:sz w:val="18"/>
              </w:rPr>
              <w:t>Proceed with a strangler-pattern migration over four controlled waves. Establish a Kafka event backbone, extract bounded business capabilities into Spring Boot services, introduce service-owned data progressively, and retire WebLogic only after parallel-run evidence demonstrates functional and operational equivalence.</w:t>
            </w:r>
          </w:p>
        </w:tc>
      </w:tr>
    </w:tbl>
    <w:p>
      <w:pPr>
        <w:pStyle w:val="Heading1"/>
      </w:pPr>
      <w:r>
        <w:t>Why this matters now</w:t>
      </w:r>
    </w:p>
    <w:p>
      <w:pPr>
        <w:pStyle w:val="ListBullet"/>
        <w:spacing w:after="60"/>
      </w:pPr>
      <w:r>
        <w:t>The current platform combines trade intake, confirmation decisioning, document generation, dispatch, inbound matching and exception handling in one deployment unit.</w:t>
      </w:r>
    </w:p>
    <w:p>
      <w:pPr>
        <w:pStyle w:val="ListBullet"/>
        <w:spacing w:after="60"/>
      </w:pPr>
      <w:r>
        <w:t>Java 6 and WebLogic dependencies constrain security remediation, engineering productivity and infrastructure options.</w:t>
      </w:r>
    </w:p>
    <w:p>
      <w:pPr>
        <w:pStyle w:val="ListBullet"/>
        <w:spacing w:after="60"/>
      </w:pPr>
      <w:r>
        <w:t>A single shared database makes change coordination expensive and increases blast radius during release and recovery.</w:t>
      </w:r>
    </w:p>
    <w:p>
      <w:pPr>
        <w:pStyle w:val="ListBullet"/>
        <w:spacing w:after="60"/>
      </w:pPr>
      <w:r>
        <w:t>Business demand is shifting toward higher throughput, richer matching, faster rule change and better operational visibility.</w:t>
      </w:r>
    </w:p>
    <w:p>
      <w:pPr>
        <w:pStyle w:val="Heading1"/>
      </w:pPr>
      <w:r>
        <w:t>Target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9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BUSINESS CAPABILITY</w:t>
            </w:r>
          </w:p>
        </w:tc>
        <w:tc>
          <w:tcPr>
            <w:tcW w:type="dxa" w:w="3293"/>
            <w:shd w:fill="19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TARGET SERVICE</w:t>
            </w:r>
          </w:p>
        </w:tc>
        <w:tc>
          <w:tcPr>
            <w:tcW w:type="dxa" w:w="3293"/>
            <w:shd w:fill="19365D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PRIMARY INTERACTION</w:t>
            </w:r>
          </w:p>
        </w:tc>
      </w:tr>
      <w:tr>
        <w:tc>
          <w:tcPr>
            <w:tcW w:type="dxa" w:w="3293"/>
            <w:shd w:fill="FFFFFF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Trade intake &amp; eligibility</w:t>
            </w:r>
          </w:p>
        </w:tc>
        <w:tc>
          <w:tcPr>
            <w:tcW w:type="dxa" w:w="3293"/>
            <w:shd w:fill="FFFFFF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Trade Intake / Decision</w:t>
            </w:r>
          </w:p>
        </w:tc>
        <w:tc>
          <w:tcPr>
            <w:tcW w:type="dxa" w:w="3293"/>
            <w:shd w:fill="FFFFFF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Kafka events</w:t>
            </w:r>
          </w:p>
        </w:tc>
      </w:tr>
      <w:tr>
        <w:tc>
          <w:tcPr>
            <w:tcW w:type="dxa" w:w="3293"/>
            <w:shd w:fill="F6F8FA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Validation &amp; workflow</w:t>
            </w:r>
          </w:p>
        </w:tc>
        <w:tc>
          <w:tcPr>
            <w:tcW w:type="dxa" w:w="3293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Confirmation Workflow</w:t>
            </w:r>
          </w:p>
        </w:tc>
        <w:tc>
          <w:tcPr>
            <w:tcW w:type="dxa" w:w="3293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Kafka + API</w:t>
            </w:r>
          </w:p>
        </w:tc>
      </w:tr>
      <w:tr>
        <w:tc>
          <w:tcPr>
            <w:tcW w:type="dxa" w:w="3293"/>
            <w:shd w:fill="FFFFFF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Document creation &amp; dispatch</w:t>
            </w:r>
          </w:p>
        </w:tc>
        <w:tc>
          <w:tcPr>
            <w:tcW w:type="dxa" w:w="3293"/>
            <w:shd w:fill="FFFFFF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Document / Dispatch</w:t>
            </w:r>
          </w:p>
        </w:tc>
        <w:tc>
          <w:tcPr>
            <w:tcW w:type="dxa" w:w="3293"/>
            <w:shd w:fill="FFFFFF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Kafka events</w:t>
            </w:r>
          </w:p>
        </w:tc>
      </w:tr>
      <w:tr>
        <w:tc>
          <w:tcPr>
            <w:tcW w:type="dxa" w:w="3293"/>
            <w:shd w:fill="F6F8FA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Inbound docs, matching, exceptions</w:t>
            </w:r>
          </w:p>
        </w:tc>
        <w:tc>
          <w:tcPr>
            <w:tcW w:type="dxa" w:w="3293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Inbound / Match / Case</w:t>
            </w:r>
          </w:p>
        </w:tc>
        <w:tc>
          <w:tcPr>
            <w:tcW w:type="dxa" w:w="3293"/>
            <w:shd w:fill="F6F8FA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Kafka + operator APIs</w:t>
            </w:r>
          </w:p>
        </w:tc>
      </w:tr>
    </w:tbl>
    <w:p>
      <w:pPr>
        <w:pStyle w:val="Heading1"/>
      </w:pPr>
      <w:r>
        <w:t>Key design decisions</w:t>
      </w:r>
    </w:p>
    <w:p>
      <w:pPr>
        <w:spacing w:after="20"/>
      </w:pPr>
      <w:r>
        <w:rPr>
          <w:rFonts w:ascii="Aptos" w:hAnsi="Aptos"/>
          <w:b/>
          <w:color w:val="1B7981"/>
          <w:sz w:val="21"/>
        </w:rPr>
        <w:t>Strangler over big-bang rewrite</w:t>
      </w:r>
    </w:p>
    <w:p>
      <w:r>
        <w:t>Allows business flows to be extracted one capability at a time while the current platform remains the system of record during transition.</w:t>
      </w:r>
    </w:p>
    <w:p>
      <w:pPr>
        <w:spacing w:after="20"/>
      </w:pPr>
      <w:r>
        <w:rPr>
          <w:rFonts w:ascii="Aptos" w:hAnsi="Aptos"/>
          <w:b/>
          <w:color w:val="1B7981"/>
          <w:sz w:val="21"/>
        </w:rPr>
        <w:t>Events for workflow; APIs for immediate queries</w:t>
      </w:r>
    </w:p>
    <w:p>
      <w:r>
        <w:t>Kafka decouples long-running confirmation steps and enables replay. APIs remain appropriate for synchronous lookups or commands that require an immediate answer.</w:t>
      </w:r>
    </w:p>
    <w:p>
      <w:pPr>
        <w:spacing w:after="20"/>
      </w:pPr>
      <w:r>
        <w:rPr>
          <w:rFonts w:ascii="Aptos" w:hAnsi="Aptos"/>
          <w:b/>
          <w:color w:val="1B7981"/>
          <w:sz w:val="21"/>
        </w:rPr>
        <w:t>Local transactions + outbox + idempotency</w:t>
      </w:r>
    </w:p>
    <w:p>
      <w:r>
        <w:t>Avoids distributed XA transactions and protects against duplicate or lost processing when database writes and event publication intersect.</w:t>
      </w:r>
    </w:p>
    <w:p>
      <w:pPr>
        <w:spacing w:after="20"/>
      </w:pPr>
      <w:r>
        <w:rPr>
          <w:rFonts w:ascii="Aptos" w:hAnsi="Aptos"/>
          <w:b/>
          <w:color w:val="1B7981"/>
          <w:sz w:val="21"/>
        </w:rPr>
        <w:t>Service-owned data as the target</w:t>
      </w:r>
    </w:p>
    <w:p>
      <w:r>
        <w:t>Prevents a “distributed monolith” built around the existing shared database. Database separation will be sequenced behind capability extraction to control migration risk.</w:t>
      </w:r>
    </w:p>
    <w:p>
      <w:pPr>
        <w:spacing w:after="20"/>
      </w:pPr>
      <w:r>
        <w:rPr>
          <w:rFonts w:ascii="Aptos" w:hAnsi="Aptos"/>
          <w:b/>
          <w:color w:val="1B7981"/>
          <w:sz w:val="21"/>
        </w:rPr>
        <w:t>Exceptions as a first-class domain</w:t>
      </w:r>
    </w:p>
    <w:p>
      <w:r>
        <w:t>Operational failures become visible cases with status, ownership, retry and audit—not merely application logs.</w:t>
      </w:r>
    </w:p>
    <w:p>
      <w:r>
        <w:br w:type="page"/>
      </w:r>
    </w:p>
    <w:p>
      <w:pPr>
        <w:pStyle w:val="Kicker"/>
      </w:pPr>
      <w:r>
        <w:t>DELIVERY &amp; RISK</w:t>
      </w:r>
    </w:p>
    <w:p>
      <w:pPr>
        <w:pStyle w:val="Heading1"/>
      </w:pPr>
      <w:r>
        <w:t>Four-wave migration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EEF3F7"/>
          </w:tcPr>
          <w:p>
            <w:r>
              <w:rPr>
                <w:rFonts w:ascii="Aptos" w:hAnsi="Aptos"/>
                <w:b/>
                <w:color w:val="1B7981"/>
                <w:sz w:val="16"/>
              </w:rPr>
              <w:t>WAVE 1</w:t>
            </w:r>
          </w:p>
          <w:p>
            <w:r>
              <w:rPr>
                <w:rFonts w:ascii="Aptos" w:hAnsi="Aptos"/>
                <w:b/>
                <w:color w:val="19365D"/>
                <w:sz w:val="21"/>
              </w:rPr>
              <w:t>Foundation</w:t>
            </w:r>
          </w:p>
          <w:p>
            <w:pPr>
              <w:spacing w:after="60"/>
            </w:pPr>
            <w:r>
              <w:rPr>
                <w:rFonts w:ascii="Aptos" w:hAnsi="Aptos"/>
                <w:color w:val="293038"/>
                <w:sz w:val="15"/>
              </w:rPr>
              <w:t>Spring Boot platform, CI/CD, Kafka, observability, security baseline</w:t>
            </w:r>
          </w:p>
        </w:tc>
        <w:tc>
          <w:tcPr>
            <w:tcW w:type="dxa" w:w="2469"/>
            <w:shd w:fill="E9F4F4"/>
          </w:tcPr>
          <w:p>
            <w:r>
              <w:rPr>
                <w:rFonts w:ascii="Aptos" w:hAnsi="Aptos"/>
                <w:b/>
                <w:color w:val="1B7981"/>
                <w:sz w:val="16"/>
              </w:rPr>
              <w:t>WAVE 2</w:t>
            </w:r>
          </w:p>
          <w:p>
            <w:r>
              <w:rPr>
                <w:rFonts w:ascii="Aptos" w:hAnsi="Aptos"/>
                <w:b/>
                <w:color w:val="19365D"/>
                <w:sz w:val="21"/>
              </w:rPr>
              <w:t>Low-coupling extraction</w:t>
            </w:r>
          </w:p>
          <w:p>
            <w:pPr>
              <w:spacing w:after="60"/>
            </w:pPr>
            <w:r>
              <w:rPr>
                <w:rFonts w:ascii="Aptos" w:hAnsi="Aptos"/>
                <w:color w:val="293038"/>
                <w:sz w:val="15"/>
              </w:rPr>
              <w:t>Document generation, dispatch, reference-data façade</w:t>
            </w:r>
          </w:p>
        </w:tc>
        <w:tc>
          <w:tcPr>
            <w:tcW w:type="dxa" w:w="2469"/>
            <w:shd w:fill="EEF3F7"/>
          </w:tcPr>
          <w:p>
            <w:r>
              <w:rPr>
                <w:rFonts w:ascii="Aptos" w:hAnsi="Aptos"/>
                <w:b/>
                <w:color w:val="1B7981"/>
                <w:sz w:val="16"/>
              </w:rPr>
              <w:t>WAVE 3</w:t>
            </w:r>
          </w:p>
          <w:p>
            <w:r>
              <w:rPr>
                <w:rFonts w:ascii="Aptos" w:hAnsi="Aptos"/>
                <w:b/>
                <w:color w:val="19365D"/>
                <w:sz w:val="21"/>
              </w:rPr>
              <w:t>Core workflow</w:t>
            </w:r>
          </w:p>
          <w:p>
            <w:pPr>
              <w:spacing w:after="60"/>
            </w:pPr>
            <w:r>
              <w:rPr>
                <w:rFonts w:ascii="Aptos" w:hAnsi="Aptos"/>
                <w:color w:val="293038"/>
                <w:sz w:val="15"/>
              </w:rPr>
              <w:t>Decision, validation, workflow state and exception case management</w:t>
            </w:r>
          </w:p>
        </w:tc>
        <w:tc>
          <w:tcPr>
            <w:tcW w:type="dxa" w:w="2469"/>
            <w:shd w:fill="E9F4F4"/>
          </w:tcPr>
          <w:p>
            <w:r>
              <w:rPr>
                <w:rFonts w:ascii="Aptos" w:hAnsi="Aptos"/>
                <w:b/>
                <w:color w:val="1B7981"/>
                <w:sz w:val="16"/>
              </w:rPr>
              <w:t>WAVE 4</w:t>
            </w:r>
          </w:p>
          <w:p>
            <w:r>
              <w:rPr>
                <w:rFonts w:ascii="Aptos" w:hAnsi="Aptos"/>
                <w:b/>
                <w:color w:val="19365D"/>
                <w:sz w:val="21"/>
              </w:rPr>
              <w:t>Inbound &amp; retirement</w:t>
            </w:r>
          </w:p>
          <w:p>
            <w:pPr>
              <w:spacing w:after="60"/>
            </w:pPr>
            <w:r>
              <w:rPr>
                <w:rFonts w:ascii="Aptos" w:hAnsi="Aptos"/>
                <w:color w:val="293038"/>
                <w:sz w:val="15"/>
              </w:rPr>
              <w:t>Matching, residual data migration, WebLogic shutdown</w:t>
            </w:r>
          </w:p>
        </w:tc>
      </w:tr>
    </w:tbl>
    <w:p>
      <w:pPr>
        <w:pStyle w:val="Heading1"/>
      </w:pPr>
      <w:r>
        <w:t>CI/CD and release controls</w:t>
      </w:r>
    </w:p>
    <w:p>
      <w:pPr>
        <w:pStyle w:val="ListBullet"/>
        <w:spacing w:after="60"/>
      </w:pPr>
      <w:r>
        <w:t>Pipeline per service: compile, test, static analysis, SAST/dependency scan, contract tests, container build and image scan.</w:t>
      </w:r>
    </w:p>
    <w:p>
      <w:pPr>
        <w:pStyle w:val="ListBullet"/>
        <w:spacing w:after="60"/>
      </w:pPr>
      <w:r>
        <w:t>Build once; promote the same immutable image through Development, SIT, UAT and Production.</w:t>
      </w:r>
    </w:p>
    <w:p>
      <w:pPr>
        <w:pStyle w:val="ListBullet"/>
        <w:spacing w:after="60"/>
      </w:pPr>
      <w:r>
        <w:t>Database changes use Flyway/Liquibase with backward-compatible expand-and-contract migrations.</w:t>
      </w:r>
    </w:p>
    <w:p>
      <w:pPr>
        <w:pStyle w:val="ListBullet"/>
        <w:spacing w:after="60"/>
      </w:pPr>
      <w:r>
        <w:t>Kafka schema compatibility and consumer contracts are checked automatically.</w:t>
      </w:r>
    </w:p>
    <w:p>
      <w:pPr>
        <w:pStyle w:val="ListBullet"/>
        <w:spacing w:after="60"/>
      </w:pPr>
      <w:r>
        <w:t>Production deployment uses health gates, rollback criteria and telemetry.</w:t>
      </w:r>
    </w:p>
    <w:p>
      <w:pPr>
        <w:pStyle w:val="Heading1"/>
      </w:pPr>
      <w:r>
        <w:t>Principal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3293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EXPOSURE</w:t>
            </w:r>
          </w:p>
        </w:tc>
        <w:tc>
          <w:tcPr>
            <w:tcW w:type="dxa" w:w="3293"/>
            <w:shd w:fill="19365D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Functional divergence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High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Golden-data regression, parallel run, outcome reconciliation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Duplicate / lost events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High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Idempotent consumers, outbox pattern, partitioning by business key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Shared-DB coupling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Medium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Ownership map, façade APIs, staged schema separation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/>
                <w:color w:val="293038"/>
                <w:sz w:val="16"/>
              </w:rPr>
              <w:t>Operational complexity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Medium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293038"/>
                <w:sz w:val="16"/>
              </w:rPr>
              <w:t>Tracing, SLOs, runbooks and dashboards</w:t>
            </w:r>
          </w:p>
        </w:tc>
      </w:tr>
    </w:tbl>
    <w:p>
      <w:pPr>
        <w:pStyle w:val="Heading1"/>
      </w:pPr>
      <w:r>
        <w:t>Decision requested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6F8FA"/>
            <w:tcBorders>
              <w:left w:val="single" w:sz="22" w:color="1B7981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9365D"/>
                <w:sz w:val="21"/>
              </w:rPr>
              <w:t>Approve</w:t>
            </w:r>
          </w:p>
          <w:p>
            <w:pPr>
              <w:spacing w:after="80"/>
            </w:pPr>
            <w:r>
              <w:rPr>
                <w:rFonts w:ascii="Aptos" w:hAnsi="Aptos"/>
                <w:color w:val="293038"/>
                <w:sz w:val="18"/>
              </w:rPr>
              <w:t>1) Four-wave target architecture and migration approach; 2) platform investment for Kafka, CI/CD and observability; 3) Wave 1 mobilisation; and 4) a quarterly executive checkpoint tied to decommissioning outcomes—not code-conversion activity.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</w:tcPr>
        <w:p>
          <w:pPr>
            <w:jc w:val="left"/>
          </w:pPr>
          <w:r>
            <w:rPr>
              <w:rFonts w:ascii="Aptos" w:hAnsi="Aptos"/>
              <w:b/>
              <w:color w:val="606B76"/>
              <w:sz w:val="14"/>
            </w:rPr>
            <w:t>NORTHBRIDGE GROUP</w:t>
          </w:r>
        </w:p>
      </w:tc>
      <w:tc>
        <w:tcPr>
          <w:tcW w:type="dxa" w:w="3264"/>
        </w:tcPr>
        <w:p>
          <w:pPr>
            <w:jc w:val="center"/>
          </w:pPr>
          <w:r>
            <w:rPr>
              <w:rFonts w:ascii="Aptos" w:hAnsi="Aptos"/>
              <w:b w:val="0"/>
              <w:color w:val="606B76"/>
              <w:sz w:val="14"/>
            </w:rPr>
            <w:t>CONFIDENTIAL / ILLUSTRATIVE</w:t>
          </w:r>
        </w:p>
      </w:tc>
      <w:tc>
        <w:tcPr>
          <w:tcW w:type="dxa" w:w="3264"/>
        </w:tcPr>
        <w:p>
          <w:pPr>
            <w:jc w:val="right"/>
          </w:pPr>
          <w:r>
            <w:rPr>
              <w:rFonts w:ascii="Aptos" w:hAnsi="Aptos"/>
              <w:color w:val="606B76"/>
              <w:sz w:val="14"/>
            </w:rPr>
            <w:t xml:space="preserve">Page </w:t>
          </w:r>
          <w:r>
            <w:rPr>
              <w:rFonts w:ascii="Aptos" w:hAnsi="Aptos"/>
              <w:color w:val="606B76"/>
              <w:sz w:val="14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68"/>
      <w:gridCol w:w="6624"/>
    </w:tblGrid>
    <w:tr>
      <w:tc>
        <w:tcPr>
          <w:tcW w:type="dxa" w:w="4896"/>
          <w:tcBorders>
            <w:bottom w:val="single" w:sz="8" w:color="D8E0E7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417320" cy="4360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orthbridg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4360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  <w:tcBorders>
            <w:bottom w:val="single" w:sz="8" w:color="D8E0E7"/>
          </w:tcBorders>
        </w:tcPr>
        <w:p>
          <w:pPr>
            <w:jc w:val="right"/>
          </w:pPr>
          <w:r>
            <w:rPr>
              <w:rFonts w:ascii="Aptos" w:hAnsi="Aptos"/>
              <w:b/>
              <w:color w:val="606B76"/>
              <w:sz w:val="15"/>
            </w:rPr>
            <w:t>EXECUTIVE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2930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9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Aptos" w:hAnsi="Aptos"/>
      <w:b/>
      <w:color w:val="1B798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