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NORTHBRIDGE SIGNAL | Q4 2026</w:t>
      </w:r>
    </w:p>
    <w:p>
      <w:pPr>
        <w:pStyle w:val="Title"/>
      </w:pPr>
      <w:r>
        <w:t>SIGNAL</w:t>
      </w:r>
    </w:p>
    <w:p>
      <w:r>
        <w:rPr>
          <w:rFonts w:ascii="Aptos" w:hAnsi="Aptos"/>
          <w:b/>
          <w:color w:val="1B7981"/>
          <w:sz w:val="30"/>
        </w:rPr>
        <w:t>Ideas, clients and people shaping the next quarter</w:t>
      </w:r>
    </w:p>
    <w:p>
      <w:pPr>
        <w:spacing w:before="0" w:after="160"/>
        <w:pBdr>
          <w:bottom w:val="single" w:sz="30" w:color="B88C37"/>
        </w:pBdr>
      </w:pPr>
    </w:p>
    <w:tbl>
      <w:tblPr>
        <w:tblW w:type="auto" w:w="0"/>
        <w:jc w:val="center"/>
        <w:tblLook w:firstColumn="1" w:firstRow="1" w:lastColumn="0" w:lastRow="0" w:noHBand="0" w:noVBand="1" w:val="04A0"/>
      </w:tblPr>
      <w:tblGrid>
        <w:gridCol w:w="4939"/>
        <w:gridCol w:w="4939"/>
      </w:tblGrid>
      <w:tr>
        <w:tc>
          <w:tcPr>
            <w:tcW w:type="dxa" w:w="4939"/>
            <w:shd w:fill="19365D"/>
          </w:tcPr>
          <w:p>
            <w:r>
              <w:rPr>
                <w:rFonts w:ascii="Aptos" w:hAnsi="Aptos"/>
                <w:b/>
                <w:color w:val="D3E0EB"/>
                <w:sz w:val="16"/>
              </w:rPr>
              <w:t>FEATURE</w:t>
            </w:r>
          </w:p>
          <w:p>
            <w:r>
              <w:rPr>
                <w:rFonts w:ascii="Aptos" w:hAnsi="Aptos"/>
                <w:b/>
                <w:color w:val="FFFFFF"/>
                <w:sz w:val="36"/>
              </w:rPr>
              <w:t>From pilots to production: responsible AI gets practical</w:t>
            </w:r>
          </w:p>
          <w:p>
            <w:r>
              <w:rPr>
                <w:rFonts w:ascii="Aptos" w:hAnsi="Aptos"/>
                <w:color w:val="FFFFFF"/>
                <w:sz w:val="18"/>
              </w:rPr>
              <w:t>Four lessons from teams moving AI into regulated workflows—without compromising control.</w:t>
            </w:r>
          </w:p>
        </w:tc>
        <w:tc>
          <w:tcPr>
            <w:tcW w:type="dxa" w:w="4939"/>
            <w:shd w:fill="E9F4F4"/>
          </w:tcPr>
          <w:p>
            <w:r>
              <w:rPr>
                <w:rFonts w:ascii="Aptos" w:hAnsi="Aptos"/>
                <w:b/>
                <w:color w:val="19365D"/>
                <w:sz w:val="60"/>
              </w:rPr>
              <w:t>41%</w:t>
            </w:r>
          </w:p>
          <w:p>
            <w:r>
              <w:rPr>
                <w:rFonts w:ascii="Aptos" w:hAnsi="Aptos"/>
                <w:b/>
                <w:color w:val="293038"/>
                <w:sz w:val="18"/>
              </w:rPr>
              <w:t>of eligible internal workflows now use an AI-assisted step</w:t>
            </w:r>
          </w:p>
          <w:p>
            <w:r>
              <w:rPr>
                <w:rFonts w:ascii="Aptos" w:hAnsi="Aptos"/>
                <w:i/>
                <w:color w:val="606B76"/>
                <w:sz w:val="16"/>
              </w:rPr>
              <w:t>Design principle: augment judgement, automate repetition, preserve accountability.</w:t>
            </w:r>
          </w:p>
        </w:tc>
      </w:tr>
    </w:tbl>
    <w:p>
      <w:pPr>
        <w:pStyle w:val="Heading1"/>
      </w:pPr>
      <w:r>
        <w:t>The quarter in 60 seconds</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469"/>
            <w:shd w:fill="EEF3F7"/>
            <w:vAlign w:val="center"/>
          </w:tcPr>
          <w:p>
            <w:pPr>
              <w:spacing w:after="20"/>
              <w:jc w:val="center"/>
            </w:pPr>
            <w:r>
              <w:rPr>
                <w:rFonts w:ascii="Aptos" w:hAnsi="Aptos"/>
                <w:b/>
                <w:color w:val="19365D"/>
                <w:sz w:val="36"/>
              </w:rPr>
              <w:t>17</w:t>
            </w:r>
          </w:p>
          <w:p>
            <w:pPr>
              <w:spacing w:after="80"/>
              <w:jc w:val="center"/>
            </w:pPr>
            <w:r>
              <w:rPr>
                <w:rFonts w:ascii="Aptos" w:hAnsi="Aptos"/>
                <w:b/>
                <w:color w:val="606B76"/>
                <w:sz w:val="15"/>
              </w:rPr>
              <w:t>STRATEGIC WINS</w:t>
            </w:r>
          </w:p>
        </w:tc>
        <w:tc>
          <w:tcPr>
            <w:tcW w:type="dxa" w:w="2469"/>
            <w:shd w:fill="EEF3F7"/>
            <w:vAlign w:val="center"/>
          </w:tcPr>
          <w:p>
            <w:pPr>
              <w:spacing w:after="20"/>
              <w:jc w:val="center"/>
            </w:pPr>
            <w:r>
              <w:rPr>
                <w:rFonts w:ascii="Aptos" w:hAnsi="Aptos"/>
                <w:b/>
                <w:color w:val="19365D"/>
                <w:sz w:val="36"/>
              </w:rPr>
              <w:t>28%</w:t>
            </w:r>
          </w:p>
          <w:p>
            <w:pPr>
              <w:spacing w:after="80"/>
              <w:jc w:val="center"/>
            </w:pPr>
            <w:r>
              <w:rPr>
                <w:rFonts w:ascii="Aptos" w:hAnsi="Aptos"/>
                <w:b/>
                <w:color w:val="606B76"/>
                <w:sz w:val="15"/>
              </w:rPr>
              <w:t>FEWER P1/P2 INCIDENTS</w:t>
            </w:r>
          </w:p>
        </w:tc>
        <w:tc>
          <w:tcPr>
            <w:tcW w:type="dxa" w:w="2469"/>
            <w:shd w:fill="EEF3F7"/>
            <w:vAlign w:val="center"/>
          </w:tcPr>
          <w:p>
            <w:pPr>
              <w:spacing w:after="20"/>
              <w:jc w:val="center"/>
            </w:pPr>
            <w:r>
              <w:rPr>
                <w:rFonts w:ascii="Aptos" w:hAnsi="Aptos"/>
                <w:b/>
                <w:color w:val="19365D"/>
                <w:sz w:val="36"/>
              </w:rPr>
              <w:t>3 days</w:t>
            </w:r>
          </w:p>
          <w:p>
            <w:pPr>
              <w:spacing w:after="80"/>
              <w:jc w:val="center"/>
            </w:pPr>
            <w:r>
              <w:rPr>
                <w:rFonts w:ascii="Aptos" w:hAnsi="Aptos"/>
                <w:b/>
                <w:color w:val="606B76"/>
                <w:sz w:val="15"/>
              </w:rPr>
              <w:t>RELEASE LEAD TIME</w:t>
            </w:r>
          </w:p>
        </w:tc>
        <w:tc>
          <w:tcPr>
            <w:tcW w:type="dxa" w:w="2469"/>
            <w:shd w:fill="EEF3F7"/>
            <w:vAlign w:val="center"/>
          </w:tcPr>
          <w:p>
            <w:pPr>
              <w:spacing w:after="20"/>
              <w:jc w:val="center"/>
            </w:pPr>
            <w:r>
              <w:rPr>
                <w:rFonts w:ascii="Aptos" w:hAnsi="Aptos"/>
                <w:b/>
                <w:color w:val="19365D"/>
                <w:sz w:val="36"/>
              </w:rPr>
              <w:t>95%+</w:t>
            </w:r>
          </w:p>
          <w:p>
            <w:pPr>
              <w:spacing w:after="80"/>
              <w:jc w:val="center"/>
            </w:pPr>
            <w:r>
              <w:rPr>
                <w:rFonts w:ascii="Aptos" w:hAnsi="Aptos"/>
                <w:b/>
                <w:color w:val="606B76"/>
                <w:sz w:val="15"/>
              </w:rPr>
              <w:t>CLIENT RETENTION</w:t>
            </w:r>
          </w:p>
        </w:tc>
      </w:tr>
    </w:tbl>
    <w:p>
      <w:pPr>
        <w:spacing w:after="0"/>
      </w:pPr>
    </w:p>
    <w:p>
      <w:pPr>
        <w:pStyle w:val="Heading1"/>
      </w:pPr>
      <w:r>
        <w:t>What we learned about production AI</w:t>
      </w:r>
    </w:p>
    <w:p>
      <w:pPr>
        <w:spacing w:after="20"/>
      </w:pPr>
      <w:r>
        <w:rPr>
          <w:rFonts w:ascii="Aptos" w:hAnsi="Aptos"/>
          <w:b/>
          <w:color w:val="1B7981"/>
          <w:sz w:val="21"/>
        </w:rPr>
        <w:t>Start with workflow friction, not the model</w:t>
      </w:r>
    </w:p>
    <w:p>
      <w:r>
        <w:t>The strongest use cases were tied to clear operational pain: extracting terms from documents, triaging exceptions, summarising case history and accelerating engineering diagnostics.</w:t>
      </w:r>
    </w:p>
    <w:p>
      <w:pPr>
        <w:spacing w:after="20"/>
      </w:pPr>
      <w:r>
        <w:rPr>
          <w:rFonts w:ascii="Aptos" w:hAnsi="Aptos"/>
          <w:b/>
          <w:color w:val="1B7981"/>
          <w:sz w:val="21"/>
        </w:rPr>
        <w:t>Design the control before the demo</w:t>
      </w:r>
    </w:p>
    <w:p>
      <w:r>
        <w:t>Teams that defined human override, audit evidence and failure handling early moved through risk review faster than teams that treated governance as a final checkpoint.</w:t>
      </w:r>
    </w:p>
    <w:p>
      <w:pPr>
        <w:spacing w:after="20"/>
      </w:pPr>
      <w:r>
        <w:rPr>
          <w:rFonts w:ascii="Aptos" w:hAnsi="Aptos"/>
          <w:b/>
          <w:color w:val="1B7981"/>
          <w:sz w:val="21"/>
        </w:rPr>
        <w:t>Measure changed work, not model novelty</w:t>
      </w:r>
    </w:p>
    <w:p>
      <w:r>
        <w:t>Cycle time, error rate and manual touch points proved more useful than model-centric scores when explaining value to business owners.</w:t>
      </w:r>
    </w:p>
    <w:p>
      <w:pPr>
        <w:spacing w:after="20"/>
      </w:pPr>
      <w:r>
        <w:rPr>
          <w:rFonts w:ascii="Aptos" w:hAnsi="Aptos"/>
          <w:b/>
          <w:color w:val="1B7981"/>
          <w:sz w:val="21"/>
        </w:rPr>
        <w:t>Make adoption visible</w:t>
      </w:r>
    </w:p>
    <w:p>
      <w:r>
        <w:t>Usage telemetry and team-level feedback helped distinguish genuine productivity gains from isolated experimentation.</w:t>
      </w:r>
    </w:p>
    <w:tbl>
      <w:tblPr>
        <w:tblW w:type="auto" w:w="0"/>
        <w:jc w:val="center"/>
        <w:tblLook w:firstColumn="1" w:firstRow="1" w:lastColumn="0" w:lastRow="0" w:noHBand="0" w:noVBand="1" w:val="04A0"/>
      </w:tblPr>
      <w:tblGrid>
        <w:gridCol w:w="4939"/>
        <w:gridCol w:w="4939"/>
      </w:tblGrid>
      <w:tr>
        <w:tc>
          <w:tcPr>
            <w:tcW w:type="dxa" w:w="4939"/>
            <w:shd w:fill="F6F8FA"/>
          </w:tcPr>
          <w:p>
            <w:r>
              <w:rPr>
                <w:rFonts w:ascii="Aptos" w:hAnsi="Aptos"/>
                <w:b/>
                <w:color w:val="B88C37"/>
                <w:sz w:val="16"/>
              </w:rPr>
              <w:t>CLIENT STORY</w:t>
            </w:r>
          </w:p>
          <w:p>
            <w:r>
              <w:rPr>
                <w:rFonts w:ascii="Aptos" w:hAnsi="Aptos"/>
                <w:b/>
                <w:color w:val="19365D"/>
                <w:sz w:val="26"/>
              </w:rPr>
              <w:t>A confirmation journey redesigned</w:t>
            </w:r>
          </w:p>
          <w:p>
            <w:r>
              <w:t>A regional markets client consolidated fragmented confirmation workflows into a single observable process. Early outcomes include faster exception triage and clearer ownership across operations and technology.</w:t>
            </w:r>
          </w:p>
        </w:tc>
        <w:tc>
          <w:tcPr>
            <w:tcW w:type="dxa" w:w="4939"/>
            <w:shd w:fill="F6F8FA"/>
          </w:tcPr>
          <w:p>
            <w:r>
              <w:rPr>
                <w:rFonts w:ascii="Aptos" w:hAnsi="Aptos"/>
                <w:b/>
                <w:color w:val="B88C37"/>
                <w:sz w:val="16"/>
              </w:rPr>
              <w:t>PEOPLE</w:t>
            </w:r>
          </w:p>
          <w:p>
            <w:r>
              <w:rPr>
                <w:rFonts w:ascii="Aptos" w:hAnsi="Aptos"/>
                <w:b/>
                <w:color w:val="19365D"/>
                <w:sz w:val="26"/>
              </w:rPr>
              <w:t>The craft behind calm operations</w:t>
            </w:r>
          </w:p>
          <w:p>
            <w:r>
              <w:t>This quarter we recognise the production support and SRE teams who reduced material incidents while release frequency increased. Reliability is not the absence of change—it is the ability to change safely.</w:t>
            </w:r>
          </w:p>
        </w:tc>
      </w:tr>
    </w:tbl>
    <w:p>
      <w:pPr>
        <w:pStyle w:val="Kicker"/>
      </w:pPr>
      <w:r>
        <w:t>AROUND NORTHBRIDGE</w:t>
      </w:r>
    </w:p>
    <w:p>
      <w:pPr>
        <w:pStyle w:val="Heading1"/>
      </w:pPr>
      <w:r>
        <w:t>Three things worth sharing</w:t>
      </w:r>
    </w:p>
    <w:tbl>
      <w:tblPr>
        <w:tblW w:type="auto" w:w="0"/>
        <w:jc w:val="center"/>
        <w:tblLook w:firstColumn="1" w:firstRow="1" w:lastColumn="0" w:lastRow="0" w:noHBand="0" w:noVBand="1" w:val="04A0"/>
      </w:tblPr>
      <w:tblGrid>
        <w:gridCol w:w="4939"/>
        <w:gridCol w:w="4939"/>
      </w:tblGrid>
      <w:tr>
        <w:tc>
          <w:tcPr>
            <w:tcW w:type="dxa" w:w="4939"/>
            <w:shd w:fill="E9F4F4"/>
          </w:tcPr>
          <w:p>
            <w:pPr>
              <w:jc w:val="center"/>
            </w:pPr>
            <w:r>
              <w:rPr>
                <w:rFonts w:ascii="Aptos" w:hAnsi="Aptos"/>
                <w:b/>
                <w:color w:val="1B7981"/>
                <w:sz w:val="40"/>
              </w:rPr>
              <w:t>01</w:t>
            </w:r>
          </w:p>
        </w:tc>
        <w:tc>
          <w:tcPr>
            <w:tcW w:type="dxa" w:w="4939"/>
          </w:tcPr>
          <w:p>
            <w:r>
              <w:rPr>
                <w:rFonts w:ascii="Aptos" w:hAnsi="Aptos"/>
                <w:b/>
                <w:color w:val="19365D"/>
                <w:sz w:val="22"/>
              </w:rPr>
              <w:t>A simpler path from idea to production</w:t>
            </w:r>
          </w:p>
          <w:p>
            <w:pPr>
              <w:spacing w:after="80"/>
            </w:pPr>
            <w:r>
              <w:t>The new Engineering Golden Path bundles service templates, security controls, observability and pipeline defaults. Teams can start compliant rather than retrofit compliance later.</w:t>
            </w:r>
          </w:p>
        </w:tc>
      </w:tr>
    </w:tbl>
    <w:p>
      <w:pPr>
        <w:spacing w:after="0"/>
      </w:pPr>
    </w:p>
    <w:tbl>
      <w:tblPr>
        <w:tblW w:type="auto" w:w="0"/>
        <w:jc w:val="center"/>
        <w:tblLook w:firstColumn="1" w:firstRow="1" w:lastColumn="0" w:lastRow="0" w:noHBand="0" w:noVBand="1" w:val="04A0"/>
      </w:tblPr>
      <w:tblGrid>
        <w:gridCol w:w="4939"/>
        <w:gridCol w:w="4939"/>
      </w:tblGrid>
      <w:tr>
        <w:tc>
          <w:tcPr>
            <w:tcW w:type="dxa" w:w="4939"/>
            <w:shd w:fill="E9F4F4"/>
          </w:tcPr>
          <w:p>
            <w:pPr>
              <w:jc w:val="center"/>
            </w:pPr>
            <w:r>
              <w:rPr>
                <w:rFonts w:ascii="Aptos" w:hAnsi="Aptos"/>
                <w:b/>
                <w:color w:val="1B7981"/>
                <w:sz w:val="40"/>
              </w:rPr>
              <w:t>02</w:t>
            </w:r>
          </w:p>
        </w:tc>
        <w:tc>
          <w:tcPr>
            <w:tcW w:type="dxa" w:w="4939"/>
          </w:tcPr>
          <w:p>
            <w:r>
              <w:rPr>
                <w:rFonts w:ascii="Aptos" w:hAnsi="Aptos"/>
                <w:b/>
                <w:color w:val="19365D"/>
                <w:sz w:val="22"/>
              </w:rPr>
              <w:t>Markets &amp; Confirmations community launches</w:t>
            </w:r>
          </w:p>
          <w:p>
            <w:pPr>
              <w:spacing w:after="80"/>
            </w:pPr>
            <w:r>
              <w:t>A new cross-functional guild will connect product, operations, engineering and architecture colleagues working on trade lifecycle and client-document workflows.</w:t>
            </w:r>
          </w:p>
        </w:tc>
      </w:tr>
    </w:tbl>
    <w:p>
      <w:pPr>
        <w:spacing w:after="0"/>
      </w:pPr>
    </w:p>
    <w:tbl>
      <w:tblPr>
        <w:tblW w:type="auto" w:w="0"/>
        <w:jc w:val="center"/>
        <w:tblLook w:firstColumn="1" w:firstRow="1" w:lastColumn="0" w:lastRow="0" w:noHBand="0" w:noVBand="1" w:val="04A0"/>
      </w:tblPr>
      <w:tblGrid>
        <w:gridCol w:w="4939"/>
        <w:gridCol w:w="4939"/>
      </w:tblGrid>
      <w:tr>
        <w:tc>
          <w:tcPr>
            <w:tcW w:type="dxa" w:w="4939"/>
            <w:shd w:fill="E9F4F4"/>
          </w:tcPr>
          <w:p>
            <w:pPr>
              <w:jc w:val="center"/>
            </w:pPr>
            <w:r>
              <w:rPr>
                <w:rFonts w:ascii="Aptos" w:hAnsi="Aptos"/>
                <w:b/>
                <w:color w:val="1B7981"/>
                <w:sz w:val="40"/>
              </w:rPr>
              <w:t>03</w:t>
            </w:r>
          </w:p>
        </w:tc>
        <w:tc>
          <w:tcPr>
            <w:tcW w:type="dxa" w:w="4939"/>
          </w:tcPr>
          <w:p>
            <w:r>
              <w:rPr>
                <w:rFonts w:ascii="Aptos" w:hAnsi="Aptos"/>
                <w:b/>
                <w:color w:val="19365D"/>
                <w:sz w:val="22"/>
              </w:rPr>
              <w:t>Learning month: November</w:t>
            </w:r>
          </w:p>
          <w:p>
            <w:pPr>
              <w:spacing w:after="80"/>
            </w:pPr>
            <w:r>
              <w:t>November will feature short practical sessions on event-driven design, AI assurance, executive writing and incident learning. Most sessions will be recorded for teams across time zones.</w:t>
            </w:r>
          </w:p>
        </w:tc>
      </w:tr>
    </w:tbl>
    <w:p>
      <w:pPr>
        <w:spacing w:after="0"/>
      </w:pPr>
    </w:p>
    <w:p>
      <w:pPr>
        <w:pStyle w:val="Heading1"/>
      </w:pPr>
      <w:r>
        <w:t>Five questions with Priya Nair</w:t>
      </w:r>
    </w:p>
    <w:p>
      <w:r>
        <w:rPr>
          <w:rFonts w:ascii="Aptos" w:hAnsi="Aptos"/>
          <w:b/>
          <w:color w:val="606B76"/>
          <w:sz w:val="18"/>
        </w:rPr>
        <w:t>Head of Operational Resilience</w:t>
      </w:r>
    </w:p>
    <w:p>
      <w:pPr>
        <w:spacing w:after="20"/>
      </w:pPr>
      <w:r>
        <w:rPr>
          <w:rFonts w:ascii="Aptos" w:hAnsi="Aptos"/>
          <w:b/>
          <w:color w:val="1B7981"/>
          <w:sz w:val="20"/>
        </w:rPr>
        <w:t>What has changed most in resilience?</w:t>
      </w:r>
    </w:p>
    <w:p>
      <w:r>
        <w:t>The shift from documenting recovery to proving recovery. Leaders increasingly expect evidence from exercises, telemetry and real production behaviour.</w:t>
      </w:r>
    </w:p>
    <w:p>
      <w:pPr>
        <w:spacing w:after="20"/>
      </w:pPr>
      <w:r>
        <w:rPr>
          <w:rFonts w:ascii="Aptos" w:hAnsi="Aptos"/>
          <w:b/>
          <w:color w:val="1B7981"/>
          <w:sz w:val="20"/>
        </w:rPr>
        <w:t>What is one habit every team can adopt?</w:t>
      </w:r>
    </w:p>
    <w:p>
      <w:r>
        <w:t>Treat dependencies as part of your service. If your critical path relies on another team, provider or dataset, monitor and rehearse that dependency.</w:t>
      </w:r>
    </w:p>
    <w:p>
      <w:pPr>
        <w:spacing w:after="20"/>
      </w:pPr>
      <w:r>
        <w:rPr>
          <w:rFonts w:ascii="Aptos" w:hAnsi="Aptos"/>
          <w:b/>
          <w:color w:val="1B7981"/>
          <w:sz w:val="20"/>
        </w:rPr>
        <w:t>What should leaders ask during incidents?</w:t>
      </w:r>
    </w:p>
    <w:p>
      <w:r>
        <w:t>What do we know, what do we not know, what decision is needed next, and who owns it? Calm decision structure is more valuable than a crowded bridge.</w:t>
      </w:r>
    </w:p>
    <w:p>
      <w:pPr>
        <w:spacing w:after="20"/>
      </w:pPr>
      <w:r>
        <w:rPr>
          <w:rFonts w:ascii="Aptos" w:hAnsi="Aptos"/>
          <w:b/>
          <w:color w:val="1B7981"/>
          <w:sz w:val="20"/>
        </w:rPr>
        <w:t>Where can AI help?</w:t>
      </w:r>
    </w:p>
    <w:p>
      <w:r>
        <w:t>Summarising timelines, clustering repeat failure signatures and making runbooks easier to navigate. Accountability stays with people.</w:t>
      </w:r>
    </w:p>
    <w:p>
      <w:pPr>
        <w:spacing w:after="20"/>
      </w:pPr>
      <w:r>
        <w:rPr>
          <w:rFonts w:ascii="Aptos" w:hAnsi="Aptos"/>
          <w:b/>
          <w:color w:val="1B7981"/>
          <w:sz w:val="20"/>
        </w:rPr>
        <w:t>Your rule for good operations?</w:t>
      </w:r>
    </w:p>
    <w:p>
      <w:r>
        <w:t>Make the safe path the easy path.</w:t>
      </w:r>
    </w:p>
    <w:tbl>
      <w:tblPr>
        <w:tblW w:type="auto" w:w="0"/>
        <w:jc w:val="center"/>
        <w:tblLook w:firstColumn="1" w:firstRow="1" w:lastColumn="0" w:lastRow="0" w:noHBand="0" w:noVBand="1" w:val="04A0"/>
      </w:tblPr>
      <w:tblGrid>
        <w:gridCol w:w="9878"/>
      </w:tblGrid>
      <w:tr>
        <w:tc>
          <w:tcPr>
            <w:tcW w:type="dxa" w:w="9878"/>
            <w:shd w:fill="EEF3F7"/>
            <w:tcBorders>
              <w:left w:val="single" w:sz="22" w:color="1B7981"/>
            </w:tcBorders>
          </w:tcPr>
          <w:p>
            <w:pPr>
              <w:spacing w:after="40"/>
            </w:pPr>
            <w:r>
              <w:rPr>
                <w:rFonts w:ascii="Aptos" w:hAnsi="Aptos"/>
                <w:b/>
                <w:color w:val="19365D"/>
                <w:sz w:val="21"/>
              </w:rPr>
              <w:t>Next issue</w:t>
            </w:r>
          </w:p>
          <w:p>
            <w:pPr>
              <w:spacing w:after="80"/>
            </w:pPr>
            <w:r>
              <w:rPr>
                <w:rFonts w:ascii="Aptos" w:hAnsi="Aptos"/>
                <w:color w:val="293038"/>
                <w:sz w:val="18"/>
              </w:rPr>
              <w:t>Q1 2027: modernising legacy estates without losing institutional knowledge. Have a story idea? Send it to Corporate Communications.</w:t>
            </w:r>
          </w:p>
        </w:tc>
      </w:tr>
    </w:tbl>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Pr>
        <w:p>
          <w:pPr>
            <w:jc w:val="left"/>
          </w:pPr>
          <w:r>
            <w:rPr>
              <w:rFonts w:ascii="Aptos" w:hAnsi="Aptos"/>
              <w:b/>
              <w:color w:val="606B76"/>
              <w:sz w:val="14"/>
            </w:rPr>
            <w:t>NORTHBRIDGE GROUP</w:t>
          </w:r>
        </w:p>
      </w:tc>
      <w:tc>
        <w:tcPr>
          <w:tcW w:type="dxa" w:w="3264"/>
        </w:tcPr>
        <w:p>
          <w:pPr>
            <w:jc w:val="center"/>
          </w:pPr>
          <w:r>
            <w:rPr>
              <w:rFonts w:ascii="Aptos" w:hAnsi="Aptos"/>
              <w:b w:val="0"/>
              <w:color w:val="606B76"/>
              <w:sz w:val="14"/>
            </w:rPr>
            <w:t>CONFIDENTIAL / ILLUSTRATIVE</w:t>
          </w:r>
        </w:p>
      </w:tc>
      <w:tc>
        <w:tcPr>
          <w:tcW w:type="dxa" w:w="3264"/>
        </w:tcPr>
        <w:p>
          <w:pPr>
            <w:jc w:val="right"/>
          </w:pPr>
          <w:r>
            <w:rPr>
              <w:rFonts w:ascii="Aptos" w:hAnsi="Aptos"/>
              <w:color w:val="606B76"/>
              <w:sz w:val="14"/>
            </w:rPr>
            <w:t xml:space="preserve">Page </w:t>
          </w:r>
          <w:r>
            <w:rPr>
              <w:rFonts w:ascii="Aptos" w:hAnsi="Aptos"/>
              <w:color w:val="606B76"/>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168"/>
      <w:gridCol w:w="6624"/>
    </w:tblGrid>
    <w:tr>
      <w:tc>
        <w:tcPr>
          <w:tcW w:type="dxa" w:w="4896"/>
          <w:tcBorders>
            <w:bottom w:val="single" w:sz="8" w:color="D8E0E7"/>
          </w:tcBorders>
        </w:tcPr>
        <w:p>
          <w:pPr>
            <w:jc w:val="left"/>
          </w:pPr>
          <w:r>
            <w:drawing>
              <wp:inline xmlns:a="http://schemas.openxmlformats.org/drawingml/2006/main" xmlns:pic="http://schemas.openxmlformats.org/drawingml/2006/picture">
                <wp:extent cx="1417320" cy="436098"/>
                <wp:docPr id="1" name="Picture 1"/>
                <wp:cNvGraphicFramePr>
                  <a:graphicFrameLocks noChangeAspect="1"/>
                </wp:cNvGraphicFramePr>
                <a:graphic>
                  <a:graphicData uri="http://schemas.openxmlformats.org/drawingml/2006/picture">
                    <pic:pic>
                      <pic:nvPicPr>
                        <pic:cNvPr id="0" name="northbridge_logo.png"/>
                        <pic:cNvPicPr/>
                      </pic:nvPicPr>
                      <pic:blipFill>
                        <a:blip r:embed="rId1"/>
                        <a:stretch>
                          <a:fillRect/>
                        </a:stretch>
                      </pic:blipFill>
                      <pic:spPr>
                        <a:xfrm>
                          <a:off x="0" y="0"/>
                          <a:ext cx="1417320" cy="436098"/>
                        </a:xfrm>
                        <a:prstGeom prst="rect"/>
                      </pic:spPr>
                    </pic:pic>
                  </a:graphicData>
                </a:graphic>
              </wp:inline>
            </w:drawing>
          </w:r>
        </w:p>
      </w:tc>
      <w:tc>
        <w:tcPr>
          <w:tcW w:type="dxa" w:w="4896"/>
          <w:tcBorders>
            <w:bottom w:val="single" w:sz="8" w:color="D8E0E7"/>
          </w:tcBorders>
        </w:tcPr>
        <w:p>
          <w:pPr>
            <w:jc w:val="right"/>
          </w:pPr>
          <w:r>
            <w:rPr>
              <w:rFonts w:ascii="Aptos" w:hAnsi="Aptos"/>
              <w:b/>
              <w:color w:val="606B76"/>
              <w:sz w:val="15"/>
            </w:rPr>
            <w:t>QUARTERLY NEWSLETTER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9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9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B798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1B798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