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2365C"/>
          <w:sz w:val="40"/>
        </w:rPr>
        <w:t>Project Charter (D1)</w:t>
      </w:r>
    </w:p>
    <w:p>
      <w:r>
        <w:rPr>
          <w:color w:val="555555"/>
          <w:sz w:val="21"/>
        </w:rPr>
        <w:t>Analytics Capstone Project (ANCP), Term 5 · Module M1: Problem Framing</w:t>
      </w:r>
    </w:p>
    <w:tbl>
      <w:tblPr>
        <w:tblStyle w:val="TableGrid"/>
        <w:tblW w:type="auto" w:w="0"/>
        <w:jc w:val="center"/>
        <w:tblLayout w:type="fixed"/>
        <w:tblLook w:firstColumn="1" w:firstRow="1" w:lastColumn="0" w:lastRow="0" w:noHBand="0" w:noVBand="1" w:val="04A0"/>
      </w:tblPr>
      <w:tblGrid>
        <w:gridCol w:w="2762"/>
        <w:gridCol w:w="7103"/>
      </w:tblGrid>
      <w:tr>
        <w:tc>
          <w:tcPr>
            <w:tcW w:type="dxa" w:w="2762"/>
            <w:shd w:val="clear" w:color="auto" w:fill="F4F7FA"/>
          </w:tcPr>
          <w:p>
            <w:pPr>
              <w:spacing w:after="0"/>
            </w:pPr>
            <w:r>
              <w:rPr>
                <w:b/>
              </w:rPr>
            </w:r>
            <w:r>
              <w:rPr>
                <w:b/>
                <w:sz w:val="18"/>
              </w:rPr>
              <w:t>Project title</w:t>
            </w:r>
          </w:p>
        </w:tc>
        <w:tc>
          <w:tcPr>
            <w:tcW w:type="dxa" w:w="7102"/>
          </w:tcPr>
          <w:p>
            <w:pPr>
              <w:spacing w:after="0"/>
            </w:pPr>
            <w:r/>
            <w:r>
              <w:rPr>
                <w:sz w:val="18"/>
              </w:rPr>
              <w:t>Next-Day Opening Price Prediction for NSE-Listed Stocks using End-of-Day Market Data and Company Fundamentals</w:t>
            </w:r>
          </w:p>
        </w:tc>
      </w:tr>
      <w:tr>
        <w:tc>
          <w:tcPr>
            <w:tcW w:type="dxa" w:w="2762"/>
            <w:shd w:val="clear" w:color="auto" w:fill="F4F7FA"/>
          </w:tcPr>
          <w:p>
            <w:pPr>
              <w:spacing w:after="0"/>
            </w:pPr>
            <w:r>
              <w:rPr>
                <w:b/>
              </w:rPr>
            </w:r>
            <w:r>
              <w:rPr>
                <w:b/>
                <w:sz w:val="18"/>
              </w:rPr>
              <w:t>Team members</w:t>
            </w:r>
          </w:p>
        </w:tc>
        <w:tc>
          <w:tcPr>
            <w:tcW w:type="dxa" w:w="7102"/>
          </w:tcPr>
          <w:p>
            <w:pPr>
              <w:spacing w:after="0"/>
            </w:pPr>
            <w:r/>
            <w:r>
              <w:rPr>
                <w:sz w:val="18"/>
              </w:rPr>
              <w:t>Jayesh Santosh Shinde · Abhishek Manuel N · Abinash Pradhan</w:t>
            </w:r>
          </w:p>
        </w:tc>
      </w:tr>
      <w:tr>
        <w:tc>
          <w:tcPr>
            <w:tcW w:type="dxa" w:w="2762"/>
            <w:shd w:val="clear" w:color="auto" w:fill="F4F7FA"/>
          </w:tcPr>
          <w:p>
            <w:pPr>
              <w:spacing w:after="0"/>
            </w:pPr>
            <w:r>
              <w:rPr>
                <w:b/>
              </w:rPr>
            </w:r>
            <w:r>
              <w:rPr>
                <w:b/>
                <w:sz w:val="18"/>
              </w:rPr>
              <w:t>Faculty</w:t>
            </w:r>
          </w:p>
        </w:tc>
        <w:tc>
          <w:tcPr>
            <w:tcW w:type="dxa" w:w="7102"/>
          </w:tcPr>
          <w:p>
            <w:pPr>
              <w:spacing w:after="0"/>
            </w:pPr>
            <w:r/>
            <w:r>
              <w:rPr>
                <w:sz w:val="18"/>
              </w:rPr>
              <w:t>Mr Nikhil D Jonathan</w:t>
            </w:r>
          </w:p>
        </w:tc>
      </w:tr>
      <w:tr>
        <w:tc>
          <w:tcPr>
            <w:tcW w:type="dxa" w:w="2762"/>
            <w:shd w:val="clear" w:color="auto" w:fill="F4F7FA"/>
          </w:tcPr>
          <w:p>
            <w:pPr>
              <w:spacing w:after="0"/>
            </w:pPr>
            <w:r>
              <w:rPr>
                <w:b/>
              </w:rPr>
            </w:r>
            <w:r>
              <w:rPr>
                <w:b/>
                <w:sz w:val="18"/>
              </w:rPr>
              <w:t>Date of submission</w:t>
            </w:r>
          </w:p>
        </w:tc>
        <w:tc>
          <w:tcPr>
            <w:tcW w:type="dxa" w:w="7102"/>
          </w:tcPr>
          <w:p>
            <w:pPr>
              <w:spacing w:after="0"/>
            </w:pPr>
            <w:r/>
            <w:r>
              <w:rPr>
                <w:sz w:val="18"/>
              </w:rPr>
              <w:t>16 October 2026</w:t>
            </w:r>
          </w:p>
        </w:tc>
      </w:tr>
      <w:tr>
        <w:tc>
          <w:tcPr>
            <w:tcW w:type="dxa" w:w="2762"/>
            <w:shd w:val="clear" w:color="auto" w:fill="F4F7FA"/>
          </w:tcPr>
          <w:p>
            <w:pPr>
              <w:spacing w:after="0"/>
            </w:pPr>
            <w:r>
              <w:rPr>
                <w:b/>
              </w:rPr>
            </w:r>
            <w:r>
              <w:rPr>
                <w:b/>
                <w:sz w:val="18"/>
              </w:rPr>
              <w:t>Process model</w:t>
            </w:r>
          </w:p>
        </w:tc>
        <w:tc>
          <w:tcPr>
            <w:tcW w:type="dxa" w:w="7102"/>
          </w:tcPr>
          <w:p>
            <w:pPr>
              <w:spacing w:after="0"/>
            </w:pPr>
            <w:r/>
            <w:r>
              <w:rPr>
                <w:sz w:val="18"/>
              </w:rPr>
              <w:t>CRISP-DM (Business Understanding → Data Understanding → Data Preparation → Modelling → Evaluation → Deployment)</w:t>
            </w:r>
          </w:p>
        </w:tc>
      </w:tr>
      <w:tr>
        <w:tc>
          <w:tcPr>
            <w:tcW w:type="dxa" w:w="2762"/>
            <w:shd w:val="clear" w:color="auto" w:fill="F4F7FA"/>
          </w:tcPr>
          <w:p>
            <w:pPr>
              <w:spacing w:after="0"/>
            </w:pPr>
            <w:r>
              <w:rPr>
                <w:b/>
              </w:rPr>
            </w:r>
            <w:r>
              <w:rPr>
                <w:b/>
                <w:sz w:val="18"/>
              </w:rPr>
              <w:t>Linked course outcomes</w:t>
            </w:r>
          </w:p>
        </w:tc>
        <w:tc>
          <w:tcPr>
            <w:tcW w:type="dxa" w:w="7102"/>
          </w:tcPr>
          <w:p>
            <w:pPr>
              <w:spacing w:after="0"/>
            </w:pPr>
            <w:r/>
            <w:r>
              <w:rPr>
                <w:sz w:val="18"/>
              </w:rPr>
              <w:t>CO1 (problem formulation, success criteria, scope, data plan); CO6 (team plan, deadlines, ownership)</w:t>
            </w:r>
          </w:p>
        </w:tc>
      </w:tr>
    </w:tbl>
    <w:p>
      <w:pPr>
        <w:spacing w:after="40"/>
      </w:pPr>
    </w:p>
    <w:p>
      <w:pPr>
        <w:keepNext/>
        <w:spacing w:before="200"/>
        <w:pBdr>
          <w:bottom w:val="single" w:sz="8" w:space="1" w:color="12365C"/>
        </w:pBdr>
      </w:pPr>
      <w:r>
        <w:rPr>
          <w:b/>
          <w:color w:val="12365C"/>
          <w:sz w:val="26"/>
        </w:rPr>
        <w:t>1. Business Context and Stakeholders</w:t>
      </w:r>
    </w:p>
    <w:p>
      <w:r>
        <w:rPr/>
        <w:t xml:space="preserve">Every trading day on the National Stock Exchange (NSE) opens with a pre-open call auction (09:00–09:15 IST) in which the opening price is discovered. The opening price frequently differs from the previous day's close: news, quarterly results, global market moves and overnight sentiment all arrive while the market is shut. Traders, portfolio managers and treasury desks must decide </w:t>
      </w:r>
      <w:r>
        <w:rPr>
          <w:i/>
        </w:rPr>
        <w:t>before</w:t>
      </w:r>
      <w:r>
        <w:rPr/>
        <w:t xml:space="preserve"> the open whether to place, hold or re-price orders, and today they mostly rely on the simple assumption that "tomorrow opens where today closed" or on informal judgement.</w:t>
      </w:r>
    </w:p>
    <w:tbl>
      <w:tblPr>
        <w:tblStyle w:val="TableGrid"/>
        <w:tblW w:type="auto" w:w="0"/>
        <w:jc w:val="center"/>
        <w:tblLayout w:type="fixed"/>
        <w:tblLook w:firstColumn="1" w:firstRow="1" w:lastColumn="0" w:lastRow="0" w:noHBand="0" w:noVBand="1" w:val="04A0"/>
      </w:tblPr>
      <w:tblGrid>
        <w:gridCol w:w="2367"/>
        <w:gridCol w:w="3749"/>
        <w:gridCol w:w="3749"/>
      </w:tblGrid>
      <w:tr>
        <w:trPr>
          <w:tblHeader w:val="true"/>
        </w:trPr>
        <w:tc>
          <w:tcPr>
            <w:tcW w:type="dxa" w:w="2367"/>
            <w:shd w:val="clear" w:color="auto" w:fill="E8EEF5"/>
          </w:tcPr>
          <w:p>
            <w:pPr>
              <w:spacing w:after="0"/>
            </w:pPr>
            <w:r/>
            <w:r>
              <w:rPr>
                <w:b/>
                <w:sz w:val="18"/>
              </w:rPr>
              <w:t>Stakeholder</w:t>
            </w:r>
          </w:p>
        </w:tc>
        <w:tc>
          <w:tcPr>
            <w:tcW w:type="dxa" w:w="3749"/>
            <w:shd w:val="clear" w:color="auto" w:fill="E8EEF5"/>
          </w:tcPr>
          <w:p>
            <w:pPr>
              <w:spacing w:after="0"/>
            </w:pPr>
            <w:r/>
            <w:r>
              <w:rPr>
                <w:b/>
                <w:sz w:val="18"/>
              </w:rPr>
              <w:t>Interest / decision</w:t>
            </w:r>
          </w:p>
        </w:tc>
        <w:tc>
          <w:tcPr>
            <w:tcW w:type="dxa" w:w="3749"/>
            <w:shd w:val="clear" w:color="auto" w:fill="E8EEF5"/>
          </w:tcPr>
          <w:p>
            <w:pPr>
              <w:spacing w:after="0"/>
            </w:pPr>
            <w:r/>
            <w:r>
              <w:rPr>
                <w:b/>
                <w:sz w:val="18"/>
              </w:rPr>
              <w:t>What they need from us</w:t>
            </w:r>
          </w:p>
        </w:tc>
      </w:tr>
      <w:tr>
        <w:tc>
          <w:tcPr>
            <w:tcW w:type="dxa" w:w="2367"/>
          </w:tcPr>
          <w:p>
            <w:pPr>
              <w:spacing w:after="0"/>
            </w:pPr>
            <w:r/>
            <w:r>
              <w:rPr>
                <w:sz w:val="18"/>
              </w:rPr>
              <w:t>Retail and proprietary traders</w:t>
            </w:r>
          </w:p>
        </w:tc>
        <w:tc>
          <w:tcPr>
            <w:tcW w:type="dxa" w:w="3749"/>
          </w:tcPr>
          <w:p>
            <w:pPr>
              <w:spacing w:after="0"/>
            </w:pPr>
            <w:r/>
            <w:r>
              <w:rPr>
                <w:sz w:val="18"/>
              </w:rPr>
              <w:t>Whether to place pre-open orders, and at what limit price</w:t>
            </w:r>
          </w:p>
        </w:tc>
        <w:tc>
          <w:tcPr>
            <w:tcW w:type="dxa" w:w="3749"/>
          </w:tcPr>
          <w:p>
            <w:pPr>
              <w:spacing w:after="0"/>
            </w:pPr>
            <w:r/>
            <w:r>
              <w:rPr>
                <w:sz w:val="18"/>
              </w:rPr>
              <w:t>A predicted opening price per stock with a realistic range</w:t>
            </w:r>
          </w:p>
        </w:tc>
      </w:tr>
      <w:tr>
        <w:tc>
          <w:tcPr>
            <w:tcW w:type="dxa" w:w="2367"/>
          </w:tcPr>
          <w:p>
            <w:pPr>
              <w:spacing w:after="0"/>
            </w:pPr>
            <w:r/>
            <w:r>
              <w:rPr>
                <w:sz w:val="18"/>
              </w:rPr>
              <w:t>Portfolio managers / fund dealers</w:t>
            </w:r>
          </w:p>
        </w:tc>
        <w:tc>
          <w:tcPr>
            <w:tcW w:type="dxa" w:w="3749"/>
          </w:tcPr>
          <w:p>
            <w:pPr>
              <w:spacing w:after="0"/>
            </w:pPr>
            <w:r/>
            <w:r>
              <w:rPr>
                <w:sz w:val="18"/>
              </w:rPr>
              <w:t>Timing of planned buys and sells; avoiding a poor opening fill</w:t>
            </w:r>
          </w:p>
        </w:tc>
        <w:tc>
          <w:tcPr>
            <w:tcW w:type="dxa" w:w="3749"/>
          </w:tcPr>
          <w:p>
            <w:pPr>
              <w:spacing w:after="0"/>
            </w:pPr>
            <w:r/>
            <w:r>
              <w:rPr>
                <w:sz w:val="18"/>
              </w:rPr>
              <w:t>Early warning of large expected gaps, ranked by stock</w:t>
            </w:r>
          </w:p>
        </w:tc>
      </w:tr>
      <w:tr>
        <w:tc>
          <w:tcPr>
            <w:tcW w:type="dxa" w:w="2367"/>
          </w:tcPr>
          <w:p>
            <w:pPr>
              <w:spacing w:after="0"/>
            </w:pPr>
            <w:r/>
            <w:r>
              <w:rPr>
                <w:sz w:val="18"/>
              </w:rPr>
              <w:t>Risk managers</w:t>
            </w:r>
          </w:p>
        </w:tc>
        <w:tc>
          <w:tcPr>
            <w:tcW w:type="dxa" w:w="3749"/>
          </w:tcPr>
          <w:p>
            <w:pPr>
              <w:spacing w:after="0"/>
            </w:pPr>
            <w:r/>
            <w:r>
              <w:rPr>
                <w:sz w:val="18"/>
              </w:rPr>
              <w:t>Overnight exposure and margin planning</w:t>
            </w:r>
          </w:p>
        </w:tc>
        <w:tc>
          <w:tcPr>
            <w:tcW w:type="dxa" w:w="3749"/>
          </w:tcPr>
          <w:p>
            <w:pPr>
              <w:spacing w:after="0"/>
            </w:pPr>
            <w:r/>
            <w:r>
              <w:rPr>
                <w:sz w:val="18"/>
              </w:rPr>
              <w:t>Expected gap size and uncertainty band</w:t>
            </w:r>
          </w:p>
        </w:tc>
      </w:tr>
      <w:tr>
        <w:tc>
          <w:tcPr>
            <w:tcW w:type="dxa" w:w="2367"/>
          </w:tcPr>
          <w:p>
            <w:pPr>
              <w:spacing w:after="0"/>
            </w:pPr>
            <w:r/>
            <w:r>
              <w:rPr>
                <w:sz w:val="18"/>
              </w:rPr>
              <w:t>Faculty / course assessors</w:t>
            </w:r>
          </w:p>
        </w:tc>
        <w:tc>
          <w:tcPr>
            <w:tcW w:type="dxa" w:w="3749"/>
          </w:tcPr>
          <w:p>
            <w:pPr>
              <w:spacing w:after="0"/>
            </w:pPr>
            <w:r/>
            <w:r>
              <w:rPr>
                <w:sz w:val="18"/>
              </w:rPr>
              <w:t>Rigour, leakage-free validation, honest baselines</w:t>
            </w:r>
          </w:p>
        </w:tc>
        <w:tc>
          <w:tcPr>
            <w:tcW w:type="dxa" w:w="3749"/>
          </w:tcPr>
          <w:p>
            <w:pPr>
              <w:spacing w:after="0"/>
            </w:pPr>
            <w:r/>
            <w:r>
              <w:rPr>
                <w:sz w:val="18"/>
              </w:rPr>
              <w:t>Documented, reproducible pipeline and evaluation</w:t>
            </w:r>
          </w:p>
        </w:tc>
      </w:tr>
    </w:tbl>
    <w:p>
      <w:pPr>
        <w:spacing w:after="40"/>
      </w:pPr>
    </w:p>
    <w:p>
      <w:pPr>
        <w:keepNext/>
        <w:spacing w:before="200"/>
        <w:pBdr>
          <w:bottom w:val="single" w:sz="8" w:space="1" w:color="12365C"/>
        </w:pBdr>
      </w:pPr>
      <w:r>
        <w:rPr>
          <w:b/>
          <w:color w:val="12365C"/>
          <w:sz w:val="26"/>
        </w:rPr>
        <w:t>2. Problem Statement</w:t>
      </w:r>
    </w:p>
    <w:p>
      <w:pPr>
        <w:shd w:val="clear" w:color="auto" w:fill="F4F7FA"/>
        <w:pBdr>
          <w:left w:val="single" w:sz="18" w:space="6" w:color="12365C"/>
        </w:pBdr>
      </w:pPr>
      <w:r>
        <w:rPr>
          <w:b/>
        </w:rPr>
        <w:t>Decision:</w:t>
      </w:r>
      <w:r>
        <w:rPr/>
        <w:t xml:space="preserve"> Before the NSE opens on day </w:t>
      </w:r>
      <w:r>
        <w:rPr>
          <w:i/>
        </w:rPr>
        <w:t>t+1</w:t>
      </w:r>
      <w:r>
        <w:rPr/>
        <w:t>, how should a trader price pre-open orders for a given stock?</w:t>
      </w:r>
      <w:r>
        <w:br/>
      </w:r>
      <w:r>
        <w:rPr/>
        <w:t xml:space="preserve"> </w:t>
      </w:r>
      <w:r>
        <w:rPr>
          <w:b/>
        </w:rPr>
        <w:t>Analytics question:</w:t>
      </w:r>
      <w:r>
        <w:rPr/>
        <w:t xml:space="preserve"> Using only information available at the close of day </w:t>
      </w:r>
      <w:r>
        <w:rPr>
          <w:i/>
        </w:rPr>
        <w:t>t</w:t>
      </w:r>
      <w:r>
        <w:rPr/>
        <w:t xml:space="preserve"> (that day's OHLCV bar, recent price history, market-wide movement and the latest published company fundamentals), can we predict the opening price of each stock on day </w:t>
      </w:r>
      <w:r>
        <w:rPr>
          <w:i/>
        </w:rPr>
        <w:t>t+1</w:t>
      </w:r>
      <w:r>
        <w:rPr/>
        <w:t xml:space="preserve"> more accurately than the naive "open = previous close" rule, and give a reliable range around that prediction?</w:t>
      </w:r>
    </w:p>
    <w:p>
      <w:r>
        <w:rPr>
          <w:b/>
        </w:rPr>
        <w:t>Problem type:</w:t>
      </w:r>
      <w:r>
        <w:rPr/>
        <w:t xml:space="preserve"> supervised regression on panel time-series data. The model predicts the </w:t>
      </w:r>
      <w:r>
        <w:rPr>
          <w:i/>
        </w:rPr>
        <w:t>overnight gap</w:t>
      </w:r>
      <w:r>
        <w:rPr/>
        <w:t>, (Open</w:t>
      </w:r>
      <w:r>
        <w:rPr>
          <w:vertAlign w:val="subscript"/>
        </w:rPr>
        <w:t>t+1</w:t>
      </w:r>
      <w:r>
        <w:rPr/>
        <w:t xml:space="preserve"> ÷ Close</w:t>
      </w:r>
      <w:r>
        <w:rPr>
          <w:vertAlign w:val="subscript"/>
        </w:rPr>
        <w:t>t</w:t>
      </w:r>
      <w:r>
        <w:rPr/>
        <w:t>) − 1, which is then converted to a rupee opening price. Predicting the gap rather than the raw price keeps the target comparable across stocks of very different price levels and avoids a model that merely copies yesterday's close.</w:t>
      </w:r>
    </w:p>
    <w:p>
      <w:pPr>
        <w:keepNext/>
        <w:spacing w:before="120"/>
      </w:pPr>
      <w:r>
        <w:rPr>
          <w:b/>
          <w:sz w:val="21"/>
        </w:rPr>
        <w:t>Scope</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4932"/>
            <w:shd w:val="clear" w:color="auto" w:fill="E8EEF5"/>
          </w:tcPr>
          <w:p>
            <w:pPr>
              <w:spacing w:after="0"/>
            </w:pPr>
            <w:r/>
            <w:r>
              <w:rPr>
                <w:b/>
                <w:sz w:val="18"/>
              </w:rPr>
              <w:t>In scope</w:t>
            </w:r>
          </w:p>
        </w:tc>
        <w:tc>
          <w:tcPr>
            <w:tcW w:type="dxa" w:w="4932"/>
            <w:shd w:val="clear" w:color="auto" w:fill="E8EEF5"/>
          </w:tcPr>
          <w:p>
            <w:pPr>
              <w:spacing w:after="0"/>
            </w:pPr>
            <w:r/>
            <w:r>
              <w:rPr>
                <w:b/>
                <w:sz w:val="18"/>
              </w:rPr>
              <w:t>Out of scope</w:t>
            </w:r>
          </w:p>
        </w:tc>
      </w:tr>
      <w:tr>
        <w:tc>
          <w:tcPr>
            <w:tcW w:type="dxa" w:w="4932"/>
          </w:tcPr>
          <w:p>
            <w:pPr>
              <w:spacing w:after="20"/>
              <w:ind w:left="198" w:hanging="170"/>
            </w:pPr>
            <w:r/>
            <w:r>
              <w:rPr>
                <w:sz w:val="18"/>
              </w:rPr>
              <w:t xml:space="preserve">• </w:t>
            </w:r>
            <w:r>
              <w:rPr>
                <w:sz w:val="18"/>
              </w:rPr>
              <w:t>A universe of 5 large, liquid NSE stocks (RELIANCE, TCS, HDFCBANK, INFY, ICICIBANK), expanding to 20–50 NIFTY 50 constituents once the pipeline is stable</w:t>
            </w:r>
          </w:p>
          <w:p>
            <w:pPr>
              <w:spacing w:after="20"/>
              <w:ind w:left="198" w:hanging="170"/>
            </w:pPr>
            <w:r>
              <w:rPr>
                <w:sz w:val="18"/>
              </w:rPr>
              <w:t xml:space="preserve">• </w:t>
            </w:r>
            <w:r>
              <w:rPr>
                <w:sz w:val="18"/>
              </w:rPr>
              <w:t>Daily data from January 2015 to the present</w:t>
            </w:r>
          </w:p>
          <w:p>
            <w:pPr>
              <w:spacing w:after="20"/>
              <w:ind w:left="198" w:hanging="170"/>
            </w:pPr>
            <w:r>
              <w:rPr>
                <w:sz w:val="18"/>
              </w:rPr>
              <w:t xml:space="preserve">• </w:t>
            </w:r>
            <w:r>
              <w:rPr>
                <w:sz w:val="18"/>
              </w:rPr>
              <w:t>Price, volume and market-wide features plus quarterly fundamentals</w:t>
            </w:r>
          </w:p>
          <w:p>
            <w:pPr>
              <w:spacing w:after="20"/>
              <w:ind w:left="198" w:hanging="170"/>
            </w:pPr>
            <w:r>
              <w:rPr>
                <w:sz w:val="18"/>
              </w:rPr>
              <w:t xml:space="preserve">• </w:t>
            </w:r>
            <w:r>
              <w:rPr>
                <w:sz w:val="18"/>
              </w:rPr>
              <w:t>One prediction per stock per trading day, with a 10–90% range</w:t>
            </w:r>
          </w:p>
          <w:p>
            <w:pPr>
              <w:spacing w:after="20"/>
              <w:ind w:left="198" w:hanging="170"/>
            </w:pPr>
            <w:r>
              <w:rPr>
                <w:sz w:val="18"/>
              </w:rPr>
              <w:t xml:space="preserve">• </w:t>
            </w:r>
            <w:r>
              <w:rPr>
                <w:sz w:val="18"/>
              </w:rPr>
              <w:t>A batch pipeline and a Streamlit dashboard as the prototype</w:t>
            </w:r>
          </w:p>
        </w:tc>
        <w:tc>
          <w:tcPr>
            <w:tcW w:type="dxa" w:w="4932"/>
          </w:tcPr>
          <w:p>
            <w:pPr>
              <w:spacing w:after="20"/>
              <w:ind w:left="198" w:hanging="170"/>
            </w:pPr>
            <w:r/>
            <w:r>
              <w:rPr>
                <w:sz w:val="18"/>
              </w:rPr>
              <w:t xml:space="preserve">• </w:t>
            </w:r>
            <w:r>
              <w:rPr>
                <w:sz w:val="18"/>
              </w:rPr>
              <w:t>Intraday or tick-level prediction, and prices after the open</w:t>
            </w:r>
          </w:p>
          <w:p>
            <w:pPr>
              <w:spacing w:after="20"/>
              <w:ind w:left="198" w:hanging="170"/>
            </w:pPr>
            <w:r>
              <w:rPr>
                <w:sz w:val="18"/>
              </w:rPr>
              <w:t xml:space="preserve">• </w:t>
            </w:r>
            <w:r>
              <w:rPr>
                <w:sz w:val="18"/>
              </w:rPr>
              <w:t>Automated order placement or live trading</w:t>
            </w:r>
          </w:p>
          <w:p>
            <w:pPr>
              <w:spacing w:after="20"/>
              <w:ind w:left="198" w:hanging="170"/>
            </w:pPr>
            <w:r>
              <w:rPr>
                <w:sz w:val="18"/>
              </w:rPr>
              <w:t xml:space="preserve">• </w:t>
            </w:r>
            <w:r>
              <w:rPr>
                <w:sz w:val="18"/>
              </w:rPr>
              <w:t>Investment advice or a profitability guarantee</w:t>
            </w:r>
          </w:p>
          <w:p>
            <w:pPr>
              <w:spacing w:after="20"/>
              <w:ind w:left="198" w:hanging="170"/>
            </w:pPr>
            <w:r>
              <w:rPr>
                <w:sz w:val="18"/>
              </w:rPr>
              <w:t xml:space="preserve">• </w:t>
            </w:r>
            <w:r>
              <w:rPr>
                <w:sz w:val="18"/>
              </w:rPr>
              <w:t>Small-cap / illiquid stocks and derivatives (F&amp;O)</w:t>
            </w:r>
          </w:p>
          <w:p>
            <w:pPr>
              <w:spacing w:after="20"/>
              <w:ind w:left="198" w:hanging="170"/>
            </w:pPr>
            <w:r>
              <w:rPr>
                <w:sz w:val="18"/>
              </w:rPr>
              <w:t xml:space="preserve">• </w:t>
            </w:r>
            <w:r>
              <w:rPr>
                <w:sz w:val="18"/>
              </w:rPr>
              <w:t>News or social-media text sentiment (a possible extension only)</w:t>
            </w:r>
          </w:p>
        </w:tc>
      </w:tr>
    </w:tbl>
    <w:p>
      <w:pPr>
        <w:spacing w:after="40"/>
      </w:pPr>
    </w:p>
    <w:p>
      <w:pPr>
        <w:keepNext/>
        <w:spacing w:before="200"/>
        <w:pBdr>
          <w:bottom w:val="single" w:sz="8" w:space="1" w:color="12365C"/>
        </w:pBdr>
      </w:pPr>
      <w:r>
        <w:rPr>
          <w:b/>
          <w:color w:val="12365C"/>
          <w:sz w:val="26"/>
        </w:rPr>
        <w:t>3. Success Metrics and Acceptance Criteria</w:t>
      </w:r>
    </w:p>
    <w:p>
      <w:r>
        <w:rPr/>
        <w:t xml:space="preserve">All metrics are measured out of sample with walk-forward (expanding-window) validation over at least 5 time-ordered folds. The benchmark is the naive baseline </w:t>
      </w:r>
      <w:r>
        <w:rPr>
          <w:i/>
        </w:rPr>
        <w:t>Open</w:t>
      </w:r>
      <w:r>
        <w:rPr>
          <w:i/>
          <w:vertAlign w:val="subscript"/>
        </w:rPr>
        <w:t>t+1</w:t>
      </w:r>
      <w:r>
        <w:rPr>
          <w:i/>
        </w:rPr>
        <w:t xml:space="preserve"> = Close</w:t>
      </w:r>
      <w:r>
        <w:rPr>
          <w:i/>
          <w:vertAlign w:val="subscript"/>
        </w:rPr>
        <w:t>t</w:t>
      </w:r>
      <w:r>
        <w:rPr/>
        <w:t>; a second baseline uses the historical mean gap from the training window.</w:t>
      </w:r>
    </w:p>
    <w:tbl>
      <w:tblPr>
        <w:tblStyle w:val="TableGrid"/>
        <w:tblW w:type="auto" w:w="0"/>
        <w:jc w:val="center"/>
        <w:tblLayout w:type="fixed"/>
        <w:tblLook w:firstColumn="1" w:firstRow="1" w:lastColumn="0" w:lastRow="0" w:noHBand="0" w:noVBand="1" w:val="04A0"/>
      </w:tblPr>
      <w:tblGrid>
        <w:gridCol w:w="2565"/>
        <w:gridCol w:w="3749"/>
        <w:gridCol w:w="3551"/>
      </w:tblGrid>
      <w:tr>
        <w:trPr>
          <w:tblHeader w:val="true"/>
        </w:trPr>
        <w:tc>
          <w:tcPr>
            <w:tcW w:type="dxa" w:w="2565"/>
            <w:shd w:val="clear" w:color="auto" w:fill="E8EEF5"/>
          </w:tcPr>
          <w:p>
            <w:pPr>
              <w:spacing w:after="0"/>
            </w:pPr>
            <w:r/>
            <w:r>
              <w:rPr>
                <w:b/>
                <w:sz w:val="18"/>
              </w:rPr>
              <w:t>Metric</w:t>
            </w:r>
          </w:p>
        </w:tc>
        <w:tc>
          <w:tcPr>
            <w:tcW w:type="dxa" w:w="3749"/>
            <w:shd w:val="clear" w:color="auto" w:fill="E8EEF5"/>
          </w:tcPr>
          <w:p>
            <w:pPr>
              <w:spacing w:after="0"/>
            </w:pPr>
            <w:r/>
            <w:r>
              <w:rPr>
                <w:b/>
                <w:sz w:val="18"/>
              </w:rPr>
              <w:t>Definition</w:t>
            </w:r>
          </w:p>
        </w:tc>
        <w:tc>
          <w:tcPr>
            <w:tcW w:type="dxa" w:w="3551"/>
            <w:shd w:val="clear" w:color="auto" w:fill="E8EEF5"/>
          </w:tcPr>
          <w:p>
            <w:pPr>
              <w:spacing w:after="0"/>
            </w:pPr>
            <w:r/>
            <w:r>
              <w:rPr>
                <w:b/>
                <w:sz w:val="18"/>
              </w:rPr>
              <w:t>Acceptance criterion</w:t>
            </w:r>
          </w:p>
        </w:tc>
      </w:tr>
      <w:tr>
        <w:tc>
          <w:tcPr>
            <w:tcW w:type="dxa" w:w="2565"/>
          </w:tcPr>
          <w:p>
            <w:pPr>
              <w:spacing w:after="0"/>
            </w:pPr>
            <w:r/>
            <w:r>
              <w:rPr>
                <w:sz w:val="18"/>
              </w:rPr>
              <w:t>Mean Absolute Error (₹)</w:t>
            </w:r>
          </w:p>
        </w:tc>
        <w:tc>
          <w:tcPr>
            <w:tcW w:type="dxa" w:w="3749"/>
          </w:tcPr>
          <w:p>
            <w:pPr>
              <w:spacing w:after="0"/>
            </w:pPr>
            <w:r/>
            <w:r>
              <w:rPr>
                <w:sz w:val="18"/>
              </w:rPr>
              <w:t>Average absolute difference between predicted and actual opening price</w:t>
            </w:r>
          </w:p>
        </w:tc>
        <w:tc>
          <w:tcPr>
            <w:tcW w:type="dxa" w:w="3551"/>
          </w:tcPr>
          <w:p>
            <w:pPr>
              <w:spacing w:after="0"/>
            </w:pPr>
            <w:r/>
            <w:r>
              <w:rPr>
                <w:sz w:val="18"/>
              </w:rPr>
              <w:t>Lower than the naive baseline on average across folds, and in at least 4 of 5 folds</w:t>
            </w:r>
          </w:p>
        </w:tc>
      </w:tr>
      <w:tr>
        <w:tc>
          <w:tcPr>
            <w:tcW w:type="dxa" w:w="2565"/>
          </w:tcPr>
          <w:p>
            <w:pPr>
              <w:spacing w:after="0"/>
            </w:pPr>
            <w:r/>
            <w:r>
              <w:rPr>
                <w:sz w:val="18"/>
              </w:rPr>
              <w:t>MAPE (%)</w:t>
            </w:r>
          </w:p>
        </w:tc>
        <w:tc>
          <w:tcPr>
            <w:tcW w:type="dxa" w:w="3749"/>
          </w:tcPr>
          <w:p>
            <w:pPr>
              <w:spacing w:after="0"/>
            </w:pPr>
            <w:r/>
            <w:r>
              <w:rPr>
                <w:sz w:val="18"/>
              </w:rPr>
              <w:t>Mean absolute error as a percentage of the actual open</w:t>
            </w:r>
          </w:p>
        </w:tc>
        <w:tc>
          <w:tcPr>
            <w:tcW w:type="dxa" w:w="3551"/>
          </w:tcPr>
          <w:p>
            <w:pPr>
              <w:spacing w:after="0"/>
            </w:pPr>
            <w:r/>
            <w:r>
              <w:rPr>
                <w:sz w:val="18"/>
              </w:rPr>
              <w:t>At least 5% relative improvement over the naive baseline (e.g. 0.60% → 0.57% or better)</w:t>
            </w:r>
          </w:p>
        </w:tc>
      </w:tr>
      <w:tr>
        <w:tc>
          <w:tcPr>
            <w:tcW w:type="dxa" w:w="2565"/>
          </w:tcPr>
          <w:p>
            <w:pPr>
              <w:spacing w:after="0"/>
            </w:pPr>
            <w:r/>
            <w:r>
              <w:rPr>
                <w:sz w:val="18"/>
              </w:rPr>
              <w:t>Direction accuracy (%)</w:t>
            </w:r>
          </w:p>
        </w:tc>
        <w:tc>
          <w:tcPr>
            <w:tcW w:type="dxa" w:w="3749"/>
          </w:tcPr>
          <w:p>
            <w:pPr>
              <w:spacing w:after="0"/>
            </w:pPr>
            <w:r/>
            <w:r>
              <w:rPr>
                <w:sz w:val="18"/>
              </w:rPr>
              <w:t>Share of days on which the sign of the predicted gap (up/down) is correct, excluding flat opens</w:t>
            </w:r>
          </w:p>
        </w:tc>
        <w:tc>
          <w:tcPr>
            <w:tcW w:type="dxa" w:w="3551"/>
          </w:tcPr>
          <w:p>
            <w:pPr>
              <w:spacing w:after="0"/>
            </w:pPr>
            <w:r/>
            <w:r>
              <w:rPr>
                <w:sz w:val="18"/>
              </w:rPr>
              <w:t>Above 55%, and significantly above 50% (binomial test, p &lt; 0.05)</w:t>
            </w:r>
          </w:p>
        </w:tc>
      </w:tr>
      <w:tr>
        <w:tc>
          <w:tcPr>
            <w:tcW w:type="dxa" w:w="2565"/>
          </w:tcPr>
          <w:p>
            <w:pPr>
              <w:spacing w:after="0"/>
            </w:pPr>
            <w:r/>
            <w:r>
              <w:rPr>
                <w:sz w:val="18"/>
              </w:rPr>
              <w:t>Range coverage</w:t>
            </w:r>
          </w:p>
        </w:tc>
        <w:tc>
          <w:tcPr>
            <w:tcW w:type="dxa" w:w="3749"/>
          </w:tcPr>
          <w:p>
            <w:pPr>
              <w:spacing w:after="0"/>
            </w:pPr>
            <w:r/>
            <w:r>
              <w:rPr>
                <w:sz w:val="18"/>
              </w:rPr>
              <w:t>Share of actual opens that fall inside the predicted 10–90% band</w:t>
            </w:r>
          </w:p>
        </w:tc>
        <w:tc>
          <w:tcPr>
            <w:tcW w:type="dxa" w:w="3551"/>
          </w:tcPr>
          <w:p>
            <w:pPr>
              <w:spacing w:after="0"/>
            </w:pPr>
            <w:r/>
            <w:r>
              <w:rPr>
                <w:sz w:val="18"/>
              </w:rPr>
              <w:t>Between 75% and 85% (target 80%)</w:t>
            </w:r>
          </w:p>
        </w:tc>
      </w:tr>
      <w:tr>
        <w:tc>
          <w:tcPr>
            <w:tcW w:type="dxa" w:w="2565"/>
          </w:tcPr>
          <w:p>
            <w:pPr>
              <w:spacing w:after="0"/>
            </w:pPr>
            <w:r/>
            <w:r>
              <w:rPr>
                <w:sz w:val="18"/>
              </w:rPr>
              <w:t>Statistical significance</w:t>
            </w:r>
          </w:p>
        </w:tc>
        <w:tc>
          <w:tcPr>
            <w:tcW w:type="dxa" w:w="3749"/>
          </w:tcPr>
          <w:p>
            <w:pPr>
              <w:spacing w:after="0"/>
            </w:pPr>
            <w:r/>
            <w:r>
              <w:rPr>
                <w:sz w:val="18"/>
              </w:rPr>
              <w:t>Diebold–Mariano test of model errors vs baseline errors</w:t>
            </w:r>
          </w:p>
        </w:tc>
        <w:tc>
          <w:tcPr>
            <w:tcW w:type="dxa" w:w="3551"/>
          </w:tcPr>
          <w:p>
            <w:pPr>
              <w:spacing w:after="0"/>
            </w:pPr>
            <w:r/>
            <w:r>
              <w:rPr>
                <w:sz w:val="18"/>
              </w:rPr>
              <w:t>Model better than baseline at the 5% level</w:t>
            </w:r>
          </w:p>
        </w:tc>
      </w:tr>
      <w:tr>
        <w:tc>
          <w:tcPr>
            <w:tcW w:type="dxa" w:w="2565"/>
          </w:tcPr>
          <w:p>
            <w:pPr>
              <w:spacing w:after="0"/>
            </w:pPr>
            <w:r/>
            <w:r>
              <w:rPr>
                <w:sz w:val="18"/>
              </w:rPr>
              <w:t>Operational</w:t>
            </w:r>
          </w:p>
        </w:tc>
        <w:tc>
          <w:tcPr>
            <w:tcW w:type="dxa" w:w="3749"/>
          </w:tcPr>
          <w:p>
            <w:pPr>
              <w:spacing w:after="0"/>
            </w:pPr>
            <w:r/>
            <w:r>
              <w:rPr>
                <w:sz w:val="18"/>
              </w:rPr>
              <w:t>End-to-end pipeline run after 16:00 IST</w:t>
            </w:r>
          </w:p>
        </w:tc>
        <w:tc>
          <w:tcPr>
            <w:tcW w:type="dxa" w:w="3551"/>
          </w:tcPr>
          <w:p>
            <w:pPr>
              <w:spacing w:after="0"/>
            </w:pPr>
            <w:r/>
            <w:r>
              <w:rPr>
                <w:sz w:val="18"/>
              </w:rPr>
              <w:t>Predictions for all stocks ready before 09:00 IST next day; fully reproducible from the repository</w:t>
            </w:r>
          </w:p>
        </w:tc>
      </w:tr>
    </w:tbl>
    <w:p>
      <w:pPr>
        <w:spacing w:after="40"/>
      </w:pPr>
    </w:p>
    <w:p>
      <w:r>
        <w:rPr>
          <w:color w:val="555555"/>
          <w:sz w:val="17"/>
        </w:rPr>
        <w:t>Note: the naive baseline is hard to beat because most overnight gaps are small and close to random. If the model does not clear these thresholds, the team will report this honestly, together with an analysis of where (which stocks, which market conditions) any predictive signal does or does not exist.</w:t>
      </w:r>
    </w:p>
    <w:p>
      <w:pPr>
        <w:keepNext/>
        <w:spacing w:before="200"/>
        <w:pBdr>
          <w:bottom w:val="single" w:sz="8" w:space="1" w:color="12365C"/>
        </w:pBdr>
      </w:pPr>
      <w:r>
        <w:rPr>
          <w:b/>
          <w:color w:val="12365C"/>
          <w:sz w:val="26"/>
        </w:rPr>
        <w:t>4. Data Plan</w:t>
      </w:r>
    </w:p>
    <w:tbl>
      <w:tblPr>
        <w:tblStyle w:val="TableGrid"/>
        <w:tblW w:type="auto" w:w="0"/>
        <w:jc w:val="center"/>
        <w:tblLayout w:type="fixed"/>
        <w:tblLook w:firstColumn="1" w:firstRow="1" w:lastColumn="0" w:lastRow="0" w:noHBand="0" w:noVBand="1" w:val="04A0"/>
      </w:tblPr>
      <w:tblGrid>
        <w:gridCol w:w="1677"/>
        <w:gridCol w:w="2071"/>
        <w:gridCol w:w="2959"/>
        <w:gridCol w:w="3157"/>
      </w:tblGrid>
      <w:tr>
        <w:trPr>
          <w:tblHeader w:val="true"/>
        </w:trPr>
        <w:tc>
          <w:tcPr>
            <w:tcW w:type="dxa" w:w="1677"/>
            <w:shd w:val="clear" w:color="auto" w:fill="E8EEF5"/>
          </w:tcPr>
          <w:p>
            <w:pPr>
              <w:spacing w:after="0"/>
            </w:pPr>
            <w:r/>
            <w:r>
              <w:rPr>
                <w:b/>
                <w:sz w:val="18"/>
              </w:rPr>
              <w:t>Data</w:t>
            </w:r>
          </w:p>
        </w:tc>
        <w:tc>
          <w:tcPr>
            <w:tcW w:type="dxa" w:w="2072"/>
            <w:shd w:val="clear" w:color="auto" w:fill="E8EEF5"/>
          </w:tcPr>
          <w:p>
            <w:pPr>
              <w:spacing w:after="0"/>
            </w:pPr>
            <w:r/>
            <w:r>
              <w:rPr>
                <w:b/>
                <w:sz w:val="18"/>
              </w:rPr>
              <w:t>Source and access</w:t>
            </w:r>
          </w:p>
        </w:tc>
        <w:tc>
          <w:tcPr>
            <w:tcW w:type="dxa" w:w="2959"/>
            <w:shd w:val="clear" w:color="auto" w:fill="E8EEF5"/>
          </w:tcPr>
          <w:p>
            <w:pPr>
              <w:spacing w:after="0"/>
            </w:pPr>
            <w:r/>
            <w:r>
              <w:rPr>
                <w:b/>
                <w:sz w:val="18"/>
              </w:rPr>
              <w:t>Fields</w:t>
            </w:r>
          </w:p>
        </w:tc>
        <w:tc>
          <w:tcPr>
            <w:tcW w:type="dxa" w:w="3157"/>
            <w:shd w:val="clear" w:color="auto" w:fill="E8EEF5"/>
          </w:tcPr>
          <w:p>
            <w:pPr>
              <w:spacing w:after="0"/>
            </w:pPr>
            <w:r/>
            <w:r>
              <w:rPr>
                <w:b/>
                <w:sz w:val="18"/>
              </w:rPr>
              <w:t>Frequency, history and notes</w:t>
            </w:r>
          </w:p>
        </w:tc>
      </w:tr>
      <w:tr>
        <w:tc>
          <w:tcPr>
            <w:tcW w:type="dxa" w:w="1677"/>
          </w:tcPr>
          <w:p>
            <w:pPr>
              <w:spacing w:after="0"/>
            </w:pPr>
            <w:r/>
            <w:r>
              <w:rPr>
                <w:sz w:val="18"/>
              </w:rPr>
              <w:t>Daily stock prices (OHLCV)</w:t>
            </w:r>
          </w:p>
        </w:tc>
        <w:tc>
          <w:tcPr>
            <w:tcW w:type="dxa" w:w="2072"/>
          </w:tcPr>
          <w:p>
            <w:pPr>
              <w:spacing w:after="0"/>
            </w:pPr>
            <w:r/>
            <w:r>
              <w:rPr>
                <w:sz w:val="18"/>
              </w:rPr>
              <w:t>TejHQ market data API (</w:t>
            </w:r>
            <w:r>
              <w:rPr>
                <w:rFonts w:ascii="Consolas" w:hAnsi="Consolas"/>
                <w:sz w:val="18"/>
              </w:rPr>
              <w:t>/v1/ohlcv/nse/{symbol}</w:t>
            </w:r>
            <w:r>
              <w:rPr>
                <w:sz w:val="18"/>
              </w:rPr>
              <w:t>); free tier, 1,000 requests/day</w:t>
            </w:r>
          </w:p>
        </w:tc>
        <w:tc>
          <w:tcPr>
            <w:tcW w:type="dxa" w:w="2959"/>
          </w:tcPr>
          <w:p>
            <w:pPr>
              <w:spacing w:after="0"/>
            </w:pPr>
            <w:r/>
            <w:r>
              <w:rPr>
                <w:sz w:val="18"/>
              </w:rPr>
              <w:t>Date, open, high, low, close, previous close, volume, turnover, number of trades</w:t>
            </w:r>
          </w:p>
        </w:tc>
        <w:tc>
          <w:tcPr>
            <w:tcW w:type="dxa" w:w="3157"/>
          </w:tcPr>
          <w:p>
            <w:pPr>
              <w:spacing w:after="0"/>
            </w:pPr>
            <w:r/>
            <w:r>
              <w:rPr>
                <w:sz w:val="18"/>
              </w:rPr>
              <w:t>Daily end of day, 2015 to present; pulled after 16:00 IST; cross-checked against NSE bhavcopy</w:t>
            </w:r>
          </w:p>
        </w:tc>
      </w:tr>
      <w:tr>
        <w:tc>
          <w:tcPr>
            <w:tcW w:type="dxa" w:w="1677"/>
          </w:tcPr>
          <w:p>
            <w:pPr>
              <w:spacing w:after="0"/>
            </w:pPr>
            <w:r/>
            <w:r>
              <w:rPr>
                <w:sz w:val="18"/>
              </w:rPr>
              <w:t>Company fundamentals</w:t>
            </w:r>
          </w:p>
        </w:tc>
        <w:tc>
          <w:tcPr>
            <w:tcW w:type="dxa" w:w="2072"/>
          </w:tcPr>
          <w:p>
            <w:pPr>
              <w:spacing w:after="0"/>
            </w:pPr>
            <w:r/>
            <w:r>
              <w:rPr>
                <w:sz w:val="18"/>
              </w:rPr>
              <w:t>CSV compiled from annual and quarterly reports / Screener.in now; Bloomberg terminal (institutional licence) when access is granted. Tracxn to be evaluated, though its coverage is mainly unlisted firms</w:t>
            </w:r>
          </w:p>
        </w:tc>
        <w:tc>
          <w:tcPr>
            <w:tcW w:type="dxa" w:w="2959"/>
          </w:tcPr>
          <w:p>
            <w:pPr>
              <w:spacing w:after="0"/>
            </w:pPr>
            <w:r/>
            <w:r>
              <w:rPr>
                <w:sz w:val="18"/>
              </w:rPr>
              <w:t>Market cap (₹ cr), P/E, P/B, EPS (TTM), ROE %, debt-to-equity, sector</w:t>
            </w:r>
          </w:p>
        </w:tc>
        <w:tc>
          <w:tcPr>
            <w:tcW w:type="dxa" w:w="3157"/>
          </w:tcPr>
          <w:p>
            <w:pPr>
              <w:spacing w:after="0"/>
            </w:pPr>
            <w:r/>
            <w:r>
              <w:rPr>
                <w:sz w:val="18"/>
              </w:rPr>
              <w:t xml:space="preserve">Quarterly; each row dated by its </w:t>
            </w:r>
            <w:r>
              <w:rPr>
                <w:i/>
                <w:sz w:val="18"/>
              </w:rPr>
              <w:t>results announcement date</w:t>
            </w:r>
            <w:r>
              <w:rPr>
                <w:sz w:val="18"/>
              </w:rPr>
              <w:t xml:space="preserve"> so it is used only after it became public</w:t>
            </w:r>
          </w:p>
        </w:tc>
      </w:tr>
      <w:tr>
        <w:tc>
          <w:tcPr>
            <w:tcW w:type="dxa" w:w="1677"/>
          </w:tcPr>
          <w:p>
            <w:pPr>
              <w:spacing w:after="0"/>
            </w:pPr>
            <w:r/>
            <w:r>
              <w:rPr>
                <w:sz w:val="18"/>
              </w:rPr>
              <w:t>Market context</w:t>
            </w:r>
          </w:p>
        </w:tc>
        <w:tc>
          <w:tcPr>
            <w:tcW w:type="dxa" w:w="2072"/>
          </w:tcPr>
          <w:p>
            <w:pPr>
              <w:spacing w:after="0"/>
            </w:pPr>
            <w:r/>
            <w:r>
              <w:rPr>
                <w:sz w:val="18"/>
              </w:rPr>
              <w:t>Derived from the stock universe; NIFTY 50 index from the same API</w:t>
            </w:r>
          </w:p>
        </w:tc>
        <w:tc>
          <w:tcPr>
            <w:tcW w:type="dxa" w:w="2959"/>
          </w:tcPr>
          <w:p>
            <w:pPr>
              <w:spacing w:after="0"/>
            </w:pPr>
            <w:r/>
            <w:r>
              <w:rPr>
                <w:sz w:val="18"/>
              </w:rPr>
              <w:t>Market-wide daily return and gap</w:t>
            </w:r>
          </w:p>
        </w:tc>
        <w:tc>
          <w:tcPr>
            <w:tcW w:type="dxa" w:w="3157"/>
          </w:tcPr>
          <w:p>
            <w:pPr>
              <w:spacing w:after="0"/>
            </w:pPr>
            <w:r/>
            <w:r>
              <w:rPr>
                <w:sz w:val="18"/>
              </w:rPr>
              <w:t>Daily. Candidate extensions: overnight US market return, GIFT Nifty, INR/USD</w:t>
            </w:r>
          </w:p>
        </w:tc>
      </w:tr>
      <w:tr>
        <w:tc>
          <w:tcPr>
            <w:tcW w:type="dxa" w:w="1677"/>
          </w:tcPr>
          <w:p>
            <w:pPr>
              <w:spacing w:after="0"/>
            </w:pPr>
            <w:r/>
            <w:r>
              <w:rPr>
                <w:sz w:val="18"/>
              </w:rPr>
              <w:t>Calendar</w:t>
            </w:r>
          </w:p>
        </w:tc>
        <w:tc>
          <w:tcPr>
            <w:tcW w:type="dxa" w:w="2072"/>
          </w:tcPr>
          <w:p>
            <w:pPr>
              <w:spacing w:after="0"/>
            </w:pPr>
            <w:r/>
            <w:r>
              <w:rPr>
                <w:sz w:val="18"/>
              </w:rPr>
              <w:t>NSE holiday list</w:t>
            </w:r>
          </w:p>
        </w:tc>
        <w:tc>
          <w:tcPr>
            <w:tcW w:type="dxa" w:w="2959"/>
          </w:tcPr>
          <w:p>
            <w:pPr>
              <w:spacing w:after="0"/>
            </w:pPr>
            <w:r/>
            <w:r>
              <w:rPr>
                <w:sz w:val="18"/>
              </w:rPr>
              <w:t>Trading days, day of week, holidays</w:t>
            </w:r>
          </w:p>
        </w:tc>
        <w:tc>
          <w:tcPr>
            <w:tcW w:type="dxa" w:w="3157"/>
          </w:tcPr>
          <w:p>
            <w:pPr>
              <w:spacing w:after="0"/>
            </w:pPr>
            <w:r/>
            <w:r>
              <w:rPr>
                <w:sz w:val="18"/>
              </w:rPr>
              <w:t>Annual</w:t>
            </w:r>
          </w:p>
        </w:tc>
      </w:tr>
    </w:tbl>
    <w:p>
      <w:pPr>
        <w:spacing w:after="40"/>
      </w:pPr>
    </w:p>
    <w:p>
      <w:pPr>
        <w:keepNext/>
        <w:spacing w:before="120"/>
      </w:pPr>
      <w:r>
        <w:rPr>
          <w:b/>
          <w:sz w:val="21"/>
        </w:rPr>
        <w:t xml:space="preserve">Features (all known at day </w:t>
      </w:r>
      <w:r>
        <w:rPr>
          <w:b/>
          <w:i/>
          <w:sz w:val="21"/>
        </w:rPr>
        <w:t>t</w:t>
      </w:r>
      <w:r>
        <w:rPr>
          <w:b/>
          <w:sz w:val="21"/>
        </w:rPr>
        <w:t>'s close)</w:t>
      </w:r>
    </w:p>
    <w:p>
      <w:r>
        <w:rPr/>
        <w:t>1-, 5- and 20-day returns; intraday return; today's gap; high–low range; position of close within the day's range; volume relative to its 20-day average; 20-day volatility; distance from 20-day moving average; day of week; market-wide return and gap; and the latest fundamentals (log market cap, P/E, P/B, EPS, ROE, debt-to-equity).</w:t>
      </w:r>
    </w:p>
    <w:p>
      <w:pPr>
        <w:keepNext/>
        <w:spacing w:before="120"/>
      </w:pPr>
      <w:r>
        <w:rPr>
          <w:b/>
          <w:sz w:val="21"/>
        </w:rPr>
        <w:t>Preparation, quality and leakage controls</w:t>
      </w:r>
    </w:p>
    <w:p>
      <w:pPr>
        <w:pStyle w:val="ListBullet"/>
        <w:spacing w:after="40"/>
      </w:pPr>
      <w:r>
        <w:rPr>
          <w:b/>
        </w:rPr>
        <w:t>Time-aware validation only:</w:t>
      </w:r>
      <w:r>
        <w:rPr/>
        <w:t xml:space="preserve"> walk-forward splits; no random shuffling; at least 250 trading days of training history before the first test fold.</w:t>
      </w:r>
    </w:p>
    <w:p>
      <w:pPr>
        <w:pStyle w:val="ListBullet"/>
        <w:spacing w:after="40"/>
      </w:pPr>
      <w:r>
        <w:rPr>
          <w:b/>
        </w:rPr>
        <w:t>Point-in-time fundamentals:</w:t>
      </w:r>
      <w:r>
        <w:rPr/>
        <w:t xml:space="preserve"> backward-only as-of join on the announcement date, so no quarter's numbers reach days before publication.</w:t>
      </w:r>
    </w:p>
    <w:p>
      <w:pPr>
        <w:pStyle w:val="ListBullet"/>
        <w:spacing w:after="40"/>
      </w:pPr>
      <w:r>
        <w:rPr>
          <w:b/>
        </w:rPr>
        <w:t>Corporate actions:</w:t>
      </w:r>
      <w:r>
        <w:rPr/>
        <w:t xml:space="preserve"> days with overnight moves above ±20% (splits, bonuses, data errors) are flagged and excluded or adjusted.</w:t>
      </w:r>
    </w:p>
    <w:p>
      <w:pPr>
        <w:pStyle w:val="ListBullet"/>
        <w:spacing w:after="40"/>
      </w:pPr>
      <w:r>
        <w:rPr>
          <w:b/>
        </w:rPr>
        <w:t>Missing data and holidays:</w:t>
      </w:r>
      <w:r>
        <w:rPr/>
        <w:t xml:space="preserve"> gaps checked against the NSE calendar; missing fundamentals handled natively by the model (gradient boosting) rather than imputed with future values.</w:t>
      </w:r>
    </w:p>
    <w:p>
      <w:pPr>
        <w:pStyle w:val="ListBullet"/>
        <w:spacing w:after="40"/>
      </w:pPr>
      <w:r>
        <w:rPr>
          <w:b/>
        </w:rPr>
        <w:t>Bias:</w:t>
      </w:r>
      <w:r>
        <w:rPr/>
        <w:t xml:space="preserve"> survivorship bias acknowledged (current large caps only); large-cap results may not generalise to small caps.</w:t>
      </w:r>
    </w:p>
    <w:p>
      <w:pPr>
        <w:pStyle w:val="ListBullet"/>
        <w:spacing w:after="40"/>
      </w:pPr>
      <w:r>
        <w:rPr>
          <w:b/>
        </w:rPr>
        <w:t>Versioning:</w:t>
      </w:r>
      <w:r>
        <w:rPr/>
        <w:t xml:space="preserve"> raw and processed data stored by date in the team repository with a datasheet (D2).</w:t>
      </w:r>
    </w:p>
    <w:p>
      <w:pPr>
        <w:keepNext/>
        <w:spacing w:before="120"/>
      </w:pPr>
      <w:r>
        <w:rPr>
          <w:b/>
          <w:sz w:val="21"/>
        </w:rPr>
        <w:t>Modelling approach (preview of D4)</w:t>
      </w:r>
    </w:p>
    <w:p>
      <w:r>
        <w:rPr/>
        <w:t>Baselines first (open = previous close; historical mean gap), then linear regression with regularisation, then gradient-boosted trees (scikit-learn HistGradientBoosting, absolute-error loss). The uncertainty band comes from out-of-sample residual quantiles. Experiments are logged with parameters and fold-wise results.</w:t>
      </w:r>
    </w:p>
    <w:p>
      <w:pPr>
        <w:keepNext/>
        <w:spacing w:before="120"/>
      </w:pPr>
      <w:r>
        <w:rPr>
          <w:b/>
          <w:sz w:val="21"/>
        </w:rPr>
        <w:t>Responsible data handling</w:t>
      </w:r>
    </w:p>
    <w:p>
      <w:r>
        <w:rPr/>
        <w:t>The project uses only public market and company-level data; no personal data is collected, so the DPDP Act, 2023 consent requirements are not triggered. Data is used within each provider's licence terms (Bloomberg data stays within the institutional licence and is not redistributed). API keys are kept in an environment variable and never stored in code, documents or the repository. Outputs are presented as an analytical exercise, not investment advice.</w:t>
      </w:r>
    </w:p>
    <w:p>
      <w:pPr>
        <w:keepNext/>
        <w:spacing w:before="120"/>
      </w:pPr>
      <w:r>
        <w:rPr>
          <w:b/>
          <w:sz w:val="21"/>
        </w:rPr>
        <w:t>Feasibility</w:t>
      </w:r>
    </w:p>
    <w:p>
      <w:r>
        <w:rPr/>
        <w:t>Feasibility is high. The data is public and affordable, and a working prototype pipeline (data fetch, feature build, walk-forward training, prediction and Streamlit dashboard) already exists. It has so far been tested end to end on synthetic data only, so performance on real market data is still to be established.</w:t>
      </w:r>
    </w:p>
    <w:p>
      <w:pPr>
        <w:keepNext/>
        <w:spacing w:before="200"/>
        <w:pBdr>
          <w:bottom w:val="single" w:sz="8" w:space="1" w:color="12365C"/>
        </w:pBdr>
      </w:pPr>
      <w:r>
        <w:rPr>
          <w:b/>
          <w:color w:val="12365C"/>
          <w:sz w:val="26"/>
        </w:rPr>
        <w:t>5. Timeline and Deliverable Ownership</w:t>
      </w:r>
    </w:p>
    <w:p>
      <w:r>
        <w:rPr/>
        <w:t>Each deliverable has one named lead owner, who is accountable for its quality and on-time submission; the other two members contribute. Every member leads three deliverables (the course requires at least two). Dates are team targets and will be aligned to the deadlines published by faculty.</w:t>
      </w:r>
    </w:p>
    <w:tbl>
      <w:tblPr>
        <w:tblStyle w:val="TableGrid"/>
        <w:tblW w:type="auto" w:w="0"/>
        <w:jc w:val="center"/>
        <w:tblLayout w:type="fixed"/>
        <w:tblLook w:firstColumn="1" w:firstRow="1" w:lastColumn="0" w:lastRow="0" w:noHBand="0" w:noVBand="1" w:val="04A0"/>
      </w:tblPr>
      <w:tblGrid>
        <w:gridCol w:w="690"/>
        <w:gridCol w:w="2367"/>
        <w:gridCol w:w="887"/>
        <w:gridCol w:w="1282"/>
        <w:gridCol w:w="1677"/>
        <w:gridCol w:w="2959"/>
      </w:tblGrid>
      <w:tr>
        <w:trPr>
          <w:tblHeader w:val="true"/>
        </w:trPr>
        <w:tc>
          <w:tcPr>
            <w:tcW w:type="dxa" w:w="691"/>
            <w:shd w:val="clear" w:color="auto" w:fill="E8EEF5"/>
          </w:tcPr>
          <w:p>
            <w:pPr>
              <w:spacing w:after="0"/>
            </w:pPr>
            <w:r/>
            <w:r>
              <w:rPr>
                <w:b/>
                <w:sz w:val="18"/>
              </w:rPr>
              <w:t>Code</w:t>
            </w:r>
          </w:p>
        </w:tc>
        <w:tc>
          <w:tcPr>
            <w:tcW w:type="dxa" w:w="2367"/>
            <w:shd w:val="clear" w:color="auto" w:fill="E8EEF5"/>
          </w:tcPr>
          <w:p>
            <w:pPr>
              <w:spacing w:after="0"/>
            </w:pPr>
            <w:r/>
            <w:r>
              <w:rPr>
                <w:b/>
                <w:sz w:val="18"/>
              </w:rPr>
              <w:t>Deliverable</w:t>
            </w:r>
          </w:p>
        </w:tc>
        <w:tc>
          <w:tcPr>
            <w:tcW w:type="dxa" w:w="888"/>
            <w:shd w:val="clear" w:color="auto" w:fill="E8EEF5"/>
          </w:tcPr>
          <w:p>
            <w:pPr>
              <w:spacing w:after="0"/>
            </w:pPr>
            <w:r/>
            <w:r>
              <w:rPr>
                <w:b/>
                <w:sz w:val="18"/>
              </w:rPr>
              <w:t>Module</w:t>
            </w:r>
          </w:p>
        </w:tc>
        <w:tc>
          <w:tcPr>
            <w:tcW w:type="dxa" w:w="1282"/>
            <w:shd w:val="clear" w:color="auto" w:fill="E8EEF5"/>
          </w:tcPr>
          <w:p>
            <w:pPr>
              <w:spacing w:after="0"/>
            </w:pPr>
            <w:r/>
            <w:r>
              <w:rPr>
                <w:b/>
                <w:sz w:val="18"/>
              </w:rPr>
              <w:t>Target date</w:t>
            </w:r>
          </w:p>
        </w:tc>
        <w:tc>
          <w:tcPr>
            <w:tcW w:type="dxa" w:w="1677"/>
            <w:shd w:val="clear" w:color="auto" w:fill="E8EEF5"/>
          </w:tcPr>
          <w:p>
            <w:pPr>
              <w:spacing w:after="0"/>
            </w:pPr>
            <w:r/>
            <w:r>
              <w:rPr>
                <w:b/>
                <w:sz w:val="18"/>
              </w:rPr>
              <w:t>Lead owner</w:t>
            </w:r>
          </w:p>
        </w:tc>
        <w:tc>
          <w:tcPr>
            <w:tcW w:type="dxa" w:w="2959"/>
            <w:shd w:val="clear" w:color="auto" w:fill="E8EEF5"/>
          </w:tcPr>
          <w:p>
            <w:pPr>
              <w:spacing w:after="0"/>
            </w:pPr>
            <w:r/>
            <w:r>
              <w:rPr>
                <w:b/>
                <w:sz w:val="18"/>
              </w:rPr>
              <w:t>Key activities</w:t>
            </w:r>
          </w:p>
        </w:tc>
      </w:tr>
      <w:tr>
        <w:tc>
          <w:tcPr>
            <w:tcW w:type="dxa" w:w="691"/>
          </w:tcPr>
          <w:p>
            <w:pPr>
              <w:spacing w:after="0"/>
            </w:pPr>
            <w:r/>
            <w:r>
              <w:rPr>
                <w:sz w:val="18"/>
              </w:rPr>
              <w:t>D1</w:t>
            </w:r>
          </w:p>
        </w:tc>
        <w:tc>
          <w:tcPr>
            <w:tcW w:type="dxa" w:w="2367"/>
          </w:tcPr>
          <w:p>
            <w:pPr>
              <w:spacing w:after="0"/>
            </w:pPr>
            <w:r/>
            <w:r>
              <w:rPr>
                <w:sz w:val="18"/>
              </w:rPr>
              <w:t>Project charter</w:t>
            </w:r>
          </w:p>
        </w:tc>
        <w:tc>
          <w:tcPr>
            <w:tcW w:type="dxa" w:w="888"/>
          </w:tcPr>
          <w:p>
            <w:pPr>
              <w:spacing w:after="0"/>
            </w:pPr>
            <w:r/>
            <w:r>
              <w:rPr>
                <w:sz w:val="18"/>
              </w:rPr>
              <w:t>M1</w:t>
            </w:r>
          </w:p>
        </w:tc>
        <w:tc>
          <w:tcPr>
            <w:tcW w:type="dxa" w:w="1282"/>
          </w:tcPr>
          <w:p>
            <w:pPr>
              <w:spacing w:after="0"/>
            </w:pPr>
            <w:r/>
            <w:r>
              <w:rPr>
                <w:sz w:val="18"/>
              </w:rPr>
              <w:t>16 Oct 2026</w:t>
            </w:r>
          </w:p>
        </w:tc>
        <w:tc>
          <w:tcPr>
            <w:tcW w:type="dxa" w:w="1677"/>
          </w:tcPr>
          <w:p>
            <w:pPr>
              <w:spacing w:after="0"/>
            </w:pPr>
            <w:r/>
            <w:r>
              <w:rPr>
                <w:sz w:val="18"/>
              </w:rPr>
              <w:t>Jayesh Santosh Shinde</w:t>
            </w:r>
          </w:p>
        </w:tc>
        <w:tc>
          <w:tcPr>
            <w:tcW w:type="dxa" w:w="2959"/>
          </w:tcPr>
          <w:p>
            <w:pPr>
              <w:spacing w:after="0"/>
            </w:pPr>
            <w:r/>
            <w:r>
              <w:rPr>
                <w:sz w:val="18"/>
              </w:rPr>
              <w:t>Problem framing, metrics, data plan, plan and roles</w:t>
            </w:r>
          </w:p>
        </w:tc>
      </w:tr>
      <w:tr>
        <w:tc>
          <w:tcPr>
            <w:tcW w:type="dxa" w:w="691"/>
          </w:tcPr>
          <w:p>
            <w:pPr>
              <w:spacing w:after="0"/>
            </w:pPr>
            <w:r/>
            <w:r>
              <w:rPr>
                <w:sz w:val="18"/>
              </w:rPr>
              <w:t>D2</w:t>
            </w:r>
          </w:p>
        </w:tc>
        <w:tc>
          <w:tcPr>
            <w:tcW w:type="dxa" w:w="2367"/>
          </w:tcPr>
          <w:p>
            <w:pPr>
              <w:spacing w:after="0"/>
            </w:pPr>
            <w:r/>
            <w:r>
              <w:rPr>
                <w:sz w:val="18"/>
              </w:rPr>
              <w:t>Data audit report, datasheet, cleaned versioned dataset</w:t>
            </w:r>
          </w:p>
        </w:tc>
        <w:tc>
          <w:tcPr>
            <w:tcW w:type="dxa" w:w="888"/>
          </w:tcPr>
          <w:p>
            <w:pPr>
              <w:spacing w:after="0"/>
            </w:pPr>
            <w:r/>
            <w:r>
              <w:rPr>
                <w:sz w:val="18"/>
              </w:rPr>
              <w:t>M2</w:t>
            </w:r>
          </w:p>
        </w:tc>
        <w:tc>
          <w:tcPr>
            <w:tcW w:type="dxa" w:w="1282"/>
          </w:tcPr>
          <w:p>
            <w:pPr>
              <w:spacing w:after="0"/>
            </w:pPr>
            <w:r/>
            <w:r>
              <w:rPr>
                <w:sz w:val="18"/>
              </w:rPr>
              <w:t>30 Oct 2026</w:t>
            </w:r>
          </w:p>
        </w:tc>
        <w:tc>
          <w:tcPr>
            <w:tcW w:type="dxa" w:w="1677"/>
          </w:tcPr>
          <w:p>
            <w:pPr>
              <w:spacing w:after="0"/>
            </w:pPr>
            <w:r/>
            <w:r>
              <w:rPr>
                <w:sz w:val="18"/>
              </w:rPr>
              <w:t>Abhishek Manuel N</w:t>
            </w:r>
          </w:p>
        </w:tc>
        <w:tc>
          <w:tcPr>
            <w:tcW w:type="dxa" w:w="2959"/>
          </w:tcPr>
          <w:p>
            <w:pPr>
              <w:spacing w:after="0"/>
            </w:pPr>
            <w:r/>
            <w:r>
              <w:rPr>
                <w:sz w:val="18"/>
              </w:rPr>
              <w:t>Pull 2015–present OHLCV, build fundamentals CSV, quality checks, corporate actions, datasheet</w:t>
            </w:r>
          </w:p>
        </w:tc>
      </w:tr>
      <w:tr>
        <w:tc>
          <w:tcPr>
            <w:tcW w:type="dxa" w:w="691"/>
          </w:tcPr>
          <w:p>
            <w:pPr>
              <w:spacing w:after="0"/>
            </w:pPr>
            <w:r/>
            <w:r>
              <w:rPr>
                <w:sz w:val="18"/>
              </w:rPr>
              <w:t>D3</w:t>
            </w:r>
          </w:p>
        </w:tc>
        <w:tc>
          <w:tcPr>
            <w:tcW w:type="dxa" w:w="2367"/>
          </w:tcPr>
          <w:p>
            <w:pPr>
              <w:spacing w:after="0"/>
            </w:pPr>
            <w:r/>
            <w:r>
              <w:rPr>
                <w:sz w:val="18"/>
              </w:rPr>
              <w:t>EDA notebook and two-page insight summary</w:t>
            </w:r>
          </w:p>
        </w:tc>
        <w:tc>
          <w:tcPr>
            <w:tcW w:type="dxa" w:w="888"/>
          </w:tcPr>
          <w:p>
            <w:pPr>
              <w:spacing w:after="0"/>
            </w:pPr>
            <w:r/>
            <w:r>
              <w:rPr>
                <w:sz w:val="18"/>
              </w:rPr>
              <w:t>M3</w:t>
            </w:r>
          </w:p>
        </w:tc>
        <w:tc>
          <w:tcPr>
            <w:tcW w:type="dxa" w:w="1282"/>
          </w:tcPr>
          <w:p>
            <w:pPr>
              <w:spacing w:after="0"/>
            </w:pPr>
            <w:r/>
            <w:r>
              <w:rPr>
                <w:sz w:val="18"/>
              </w:rPr>
              <w:t>9 Nov 2026</w:t>
            </w:r>
          </w:p>
        </w:tc>
        <w:tc>
          <w:tcPr>
            <w:tcW w:type="dxa" w:w="1677"/>
          </w:tcPr>
          <w:p>
            <w:pPr>
              <w:spacing w:after="0"/>
            </w:pPr>
            <w:r/>
            <w:r>
              <w:rPr>
                <w:sz w:val="18"/>
              </w:rPr>
              <w:t>Abinash Pradhan</w:t>
            </w:r>
          </w:p>
        </w:tc>
        <w:tc>
          <w:tcPr>
            <w:tcW w:type="dxa" w:w="2959"/>
          </w:tcPr>
          <w:p>
            <w:pPr>
              <w:spacing w:after="0"/>
            </w:pPr>
            <w:r/>
            <w:r>
              <w:rPr>
                <w:sz w:val="18"/>
              </w:rPr>
              <w:t>Gap distributions, volatility regimes, results-day effects, stock and sector segments, bias checks</w:t>
            </w:r>
          </w:p>
        </w:tc>
      </w:tr>
      <w:tr>
        <w:tc>
          <w:tcPr>
            <w:tcW w:type="dxa" w:w="691"/>
          </w:tcPr>
          <w:p>
            <w:pPr>
              <w:spacing w:after="0"/>
            </w:pPr>
            <w:r/>
            <w:r>
              <w:rPr>
                <w:sz w:val="18"/>
              </w:rPr>
              <w:t>D4</w:t>
            </w:r>
          </w:p>
        </w:tc>
        <w:tc>
          <w:tcPr>
            <w:tcW w:type="dxa" w:w="2367"/>
          </w:tcPr>
          <w:p>
            <w:pPr>
              <w:spacing w:after="0"/>
            </w:pPr>
            <w:r/>
            <w:r>
              <w:rPr>
                <w:sz w:val="18"/>
              </w:rPr>
              <w:t>Modelling checkpoint with experiment log</w:t>
            </w:r>
          </w:p>
        </w:tc>
        <w:tc>
          <w:tcPr>
            <w:tcW w:type="dxa" w:w="888"/>
          </w:tcPr>
          <w:p>
            <w:pPr>
              <w:spacing w:after="0"/>
            </w:pPr>
            <w:r/>
            <w:r>
              <w:rPr>
                <w:sz w:val="18"/>
              </w:rPr>
              <w:t>M4</w:t>
            </w:r>
          </w:p>
        </w:tc>
        <w:tc>
          <w:tcPr>
            <w:tcW w:type="dxa" w:w="1282"/>
          </w:tcPr>
          <w:p>
            <w:pPr>
              <w:spacing w:after="0"/>
            </w:pPr>
            <w:r/>
            <w:r>
              <w:rPr>
                <w:sz w:val="18"/>
              </w:rPr>
              <w:t>23 Nov 2026</w:t>
            </w:r>
          </w:p>
        </w:tc>
        <w:tc>
          <w:tcPr>
            <w:tcW w:type="dxa" w:w="1677"/>
          </w:tcPr>
          <w:p>
            <w:pPr>
              <w:spacing w:after="0"/>
            </w:pPr>
            <w:r/>
            <w:r>
              <w:rPr>
                <w:sz w:val="18"/>
              </w:rPr>
              <w:t>Jayesh Santosh Shinde</w:t>
            </w:r>
          </w:p>
        </w:tc>
        <w:tc>
          <w:tcPr>
            <w:tcW w:type="dxa" w:w="2959"/>
          </w:tcPr>
          <w:p>
            <w:pPr>
              <w:spacing w:after="0"/>
            </w:pPr>
            <w:r/>
            <w:r>
              <w:rPr>
                <w:sz w:val="18"/>
              </w:rPr>
              <w:t>Baselines, linear and boosted models, tuning, experiment tracking</w:t>
            </w:r>
          </w:p>
        </w:tc>
      </w:tr>
      <w:tr>
        <w:tc>
          <w:tcPr>
            <w:tcW w:type="dxa" w:w="691"/>
          </w:tcPr>
          <w:p>
            <w:pPr>
              <w:spacing w:after="0"/>
            </w:pPr>
            <w:r/>
            <w:r>
              <w:rPr>
                <w:sz w:val="18"/>
              </w:rPr>
              <w:t>D5</w:t>
            </w:r>
          </w:p>
        </w:tc>
        <w:tc>
          <w:tcPr>
            <w:tcW w:type="dxa" w:w="2367"/>
          </w:tcPr>
          <w:p>
            <w:pPr>
              <w:spacing w:after="0"/>
            </w:pPr>
            <w:r/>
            <w:r>
              <w:rPr>
                <w:sz w:val="18"/>
              </w:rPr>
              <w:t>Evaluation memo</w:t>
            </w:r>
          </w:p>
        </w:tc>
        <w:tc>
          <w:tcPr>
            <w:tcW w:type="dxa" w:w="888"/>
          </w:tcPr>
          <w:p>
            <w:pPr>
              <w:spacing w:after="0"/>
            </w:pPr>
            <w:r/>
            <w:r>
              <w:rPr>
                <w:sz w:val="18"/>
              </w:rPr>
              <w:t>M5</w:t>
            </w:r>
          </w:p>
        </w:tc>
        <w:tc>
          <w:tcPr>
            <w:tcW w:type="dxa" w:w="1282"/>
          </w:tcPr>
          <w:p>
            <w:pPr>
              <w:spacing w:after="0"/>
            </w:pPr>
            <w:r/>
            <w:r>
              <w:rPr>
                <w:sz w:val="18"/>
              </w:rPr>
              <w:t>2 Dec 2026</w:t>
            </w:r>
          </w:p>
        </w:tc>
        <w:tc>
          <w:tcPr>
            <w:tcW w:type="dxa" w:w="1677"/>
          </w:tcPr>
          <w:p>
            <w:pPr>
              <w:spacing w:after="0"/>
            </w:pPr>
            <w:r/>
            <w:r>
              <w:rPr>
                <w:sz w:val="18"/>
              </w:rPr>
              <w:t>Abhishek Manuel N</w:t>
            </w:r>
          </w:p>
        </w:tc>
        <w:tc>
          <w:tcPr>
            <w:tcW w:type="dxa" w:w="2959"/>
          </w:tcPr>
          <w:p>
            <w:pPr>
              <w:spacing w:after="0"/>
            </w:pPr>
            <w:r/>
            <w:r>
              <w:rPr>
                <w:sz w:val="18"/>
              </w:rPr>
              <w:t>Walk-forward design, leakage checklist, metrics vs baseline, significance tests, error analysis</w:t>
            </w:r>
          </w:p>
        </w:tc>
      </w:tr>
      <w:tr>
        <w:tc>
          <w:tcPr>
            <w:tcW w:type="dxa" w:w="691"/>
          </w:tcPr>
          <w:p>
            <w:pPr>
              <w:spacing w:after="0"/>
            </w:pPr>
            <w:r/>
            <w:r>
              <w:rPr>
                <w:sz w:val="18"/>
              </w:rPr>
              <w:t>D6</w:t>
            </w:r>
          </w:p>
        </w:tc>
        <w:tc>
          <w:tcPr>
            <w:tcW w:type="dxa" w:w="2367"/>
          </w:tcPr>
          <w:p>
            <w:pPr>
              <w:spacing w:after="0"/>
            </w:pPr>
            <w:r/>
            <w:r>
              <w:rPr>
                <w:sz w:val="18"/>
              </w:rPr>
              <w:t>Deployment and monitoring plan (prototype)</w:t>
            </w:r>
          </w:p>
        </w:tc>
        <w:tc>
          <w:tcPr>
            <w:tcW w:type="dxa" w:w="888"/>
          </w:tcPr>
          <w:p>
            <w:pPr>
              <w:spacing w:after="0"/>
            </w:pPr>
            <w:r/>
            <w:r>
              <w:rPr>
                <w:sz w:val="18"/>
              </w:rPr>
              <w:t>M6</w:t>
            </w:r>
          </w:p>
        </w:tc>
        <w:tc>
          <w:tcPr>
            <w:tcW w:type="dxa" w:w="1282"/>
          </w:tcPr>
          <w:p>
            <w:pPr>
              <w:spacing w:after="0"/>
            </w:pPr>
            <w:r/>
            <w:r>
              <w:rPr>
                <w:sz w:val="18"/>
              </w:rPr>
              <w:t>9 Dec 2026</w:t>
            </w:r>
          </w:p>
        </w:tc>
        <w:tc>
          <w:tcPr>
            <w:tcW w:type="dxa" w:w="1677"/>
          </w:tcPr>
          <w:p>
            <w:pPr>
              <w:spacing w:after="0"/>
            </w:pPr>
            <w:r/>
            <w:r>
              <w:rPr>
                <w:sz w:val="18"/>
              </w:rPr>
              <w:t>Abinash Pradhan</w:t>
            </w:r>
          </w:p>
        </w:tc>
        <w:tc>
          <w:tcPr>
            <w:tcW w:type="dxa" w:w="2959"/>
          </w:tcPr>
          <w:p>
            <w:pPr>
              <w:spacing w:after="0"/>
            </w:pPr>
            <w:r/>
            <w:r>
              <w:rPr>
                <w:sz w:val="18"/>
              </w:rPr>
              <w:t>Daily batch pipeline, Streamlit dashboard, drift monitoring, retraining schedule</w:t>
            </w:r>
          </w:p>
        </w:tc>
      </w:tr>
      <w:tr>
        <w:tc>
          <w:tcPr>
            <w:tcW w:type="dxa" w:w="691"/>
          </w:tcPr>
          <w:p>
            <w:pPr>
              <w:spacing w:after="0"/>
            </w:pPr>
            <w:r/>
            <w:r>
              <w:rPr>
                <w:sz w:val="18"/>
              </w:rPr>
              <w:t>D7</w:t>
            </w:r>
          </w:p>
        </w:tc>
        <w:tc>
          <w:tcPr>
            <w:tcW w:type="dxa" w:w="2367"/>
          </w:tcPr>
          <w:p>
            <w:pPr>
              <w:spacing w:after="0"/>
            </w:pPr>
            <w:r/>
            <w:r>
              <w:rPr>
                <w:sz w:val="18"/>
              </w:rPr>
              <w:t>Draft report, model card, dry-run presentation</w:t>
            </w:r>
          </w:p>
        </w:tc>
        <w:tc>
          <w:tcPr>
            <w:tcW w:type="dxa" w:w="888"/>
          </w:tcPr>
          <w:p>
            <w:pPr>
              <w:spacing w:after="0"/>
            </w:pPr>
            <w:r/>
            <w:r>
              <w:rPr>
                <w:sz w:val="18"/>
              </w:rPr>
              <w:t>M7</w:t>
            </w:r>
          </w:p>
        </w:tc>
        <w:tc>
          <w:tcPr>
            <w:tcW w:type="dxa" w:w="1282"/>
          </w:tcPr>
          <w:p>
            <w:pPr>
              <w:spacing w:after="0"/>
            </w:pPr>
            <w:r/>
            <w:r>
              <w:rPr>
                <w:sz w:val="18"/>
              </w:rPr>
              <w:t>18 Dec 2026</w:t>
            </w:r>
          </w:p>
        </w:tc>
        <w:tc>
          <w:tcPr>
            <w:tcW w:type="dxa" w:w="1677"/>
          </w:tcPr>
          <w:p>
            <w:pPr>
              <w:spacing w:after="0"/>
            </w:pPr>
            <w:r/>
            <w:r>
              <w:rPr>
                <w:sz w:val="18"/>
              </w:rPr>
              <w:t>Jayesh Santosh Shinde</w:t>
            </w:r>
          </w:p>
        </w:tc>
        <w:tc>
          <w:tcPr>
            <w:tcW w:type="dxa" w:w="2959"/>
          </w:tcPr>
          <w:p>
            <w:pPr>
              <w:spacing w:after="0"/>
            </w:pPr>
            <w:r/>
            <w:r>
              <w:rPr>
                <w:sz w:val="18"/>
              </w:rPr>
              <w:t>Report draft, model card and limitations, rehearsal and peer critique</w:t>
            </w:r>
          </w:p>
        </w:tc>
      </w:tr>
      <w:tr>
        <w:tc>
          <w:tcPr>
            <w:tcW w:type="dxa" w:w="691"/>
          </w:tcPr>
          <w:p>
            <w:pPr>
              <w:spacing w:after="0"/>
            </w:pPr>
            <w:r/>
            <w:r>
              <w:rPr>
                <w:sz w:val="18"/>
              </w:rPr>
              <w:t>E1</w:t>
            </w:r>
          </w:p>
        </w:tc>
        <w:tc>
          <w:tcPr>
            <w:tcW w:type="dxa" w:w="2367"/>
          </w:tcPr>
          <w:p>
            <w:pPr>
              <w:spacing w:after="0"/>
            </w:pPr>
            <w:r/>
            <w:r>
              <w:rPr>
                <w:sz w:val="18"/>
              </w:rPr>
              <w:t>Final project report</w:t>
            </w:r>
          </w:p>
        </w:tc>
        <w:tc>
          <w:tcPr>
            <w:tcW w:type="dxa" w:w="888"/>
          </w:tcPr>
          <w:p>
            <w:pPr>
              <w:spacing w:after="0"/>
            </w:pPr>
            <w:r/>
            <w:r>
              <w:rPr>
                <w:sz w:val="18"/>
              </w:rPr>
              <w:t>End of term</w:t>
            </w:r>
          </w:p>
        </w:tc>
        <w:tc>
          <w:tcPr>
            <w:tcW w:type="dxa" w:w="1282"/>
          </w:tcPr>
          <w:p>
            <w:pPr>
              <w:spacing w:after="0"/>
            </w:pPr>
            <w:r/>
            <w:r>
              <w:rPr>
                <w:sz w:val="18"/>
              </w:rPr>
              <w:t>As published</w:t>
            </w:r>
          </w:p>
        </w:tc>
        <w:tc>
          <w:tcPr>
            <w:tcW w:type="dxa" w:w="1677"/>
          </w:tcPr>
          <w:p>
            <w:pPr>
              <w:spacing w:after="0"/>
            </w:pPr>
            <w:r/>
            <w:r>
              <w:rPr>
                <w:sz w:val="18"/>
              </w:rPr>
              <w:t>Abhishek Manuel N</w:t>
            </w:r>
          </w:p>
        </w:tc>
        <w:tc>
          <w:tcPr>
            <w:tcW w:type="dxa" w:w="2959"/>
          </w:tcPr>
          <w:p>
            <w:pPr>
              <w:spacing w:after="0"/>
            </w:pPr>
            <w:r/>
            <w:r>
              <w:rPr>
                <w:sz w:val="18"/>
              </w:rPr>
              <w:t>Final report for a decision-maker audience</w:t>
            </w:r>
          </w:p>
        </w:tc>
      </w:tr>
      <w:tr>
        <w:tc>
          <w:tcPr>
            <w:tcW w:type="dxa" w:w="691"/>
          </w:tcPr>
          <w:p>
            <w:pPr>
              <w:spacing w:after="0"/>
            </w:pPr>
            <w:r/>
            <w:r>
              <w:rPr>
                <w:sz w:val="18"/>
              </w:rPr>
              <w:t>E2</w:t>
            </w:r>
          </w:p>
        </w:tc>
        <w:tc>
          <w:tcPr>
            <w:tcW w:type="dxa" w:w="2367"/>
          </w:tcPr>
          <w:p>
            <w:pPr>
              <w:spacing w:after="0"/>
            </w:pPr>
            <w:r/>
            <w:r>
              <w:rPr>
                <w:sz w:val="18"/>
              </w:rPr>
              <w:t>Final presentation with individual Q&amp;A</w:t>
            </w:r>
          </w:p>
        </w:tc>
        <w:tc>
          <w:tcPr>
            <w:tcW w:type="dxa" w:w="888"/>
          </w:tcPr>
          <w:p>
            <w:pPr>
              <w:spacing w:after="0"/>
            </w:pPr>
            <w:r/>
            <w:r>
              <w:rPr>
                <w:sz w:val="18"/>
              </w:rPr>
              <w:t>End of term</w:t>
            </w:r>
          </w:p>
        </w:tc>
        <w:tc>
          <w:tcPr>
            <w:tcW w:type="dxa" w:w="1282"/>
          </w:tcPr>
          <w:p>
            <w:pPr>
              <w:spacing w:after="0"/>
            </w:pPr>
            <w:r/>
            <w:r>
              <w:rPr>
                <w:sz w:val="18"/>
              </w:rPr>
              <w:t>As published</w:t>
            </w:r>
          </w:p>
        </w:tc>
        <w:tc>
          <w:tcPr>
            <w:tcW w:type="dxa" w:w="1677"/>
          </w:tcPr>
          <w:p>
            <w:pPr>
              <w:spacing w:after="0"/>
            </w:pPr>
            <w:r/>
            <w:r>
              <w:rPr>
                <w:sz w:val="18"/>
              </w:rPr>
              <w:t>Abinash Pradhan</w:t>
            </w:r>
          </w:p>
        </w:tc>
        <w:tc>
          <w:tcPr>
            <w:tcW w:type="dxa" w:w="2959"/>
          </w:tcPr>
          <w:p>
            <w:pPr>
              <w:spacing w:after="0"/>
            </w:pPr>
            <w:r/>
            <w:r>
              <w:rPr>
                <w:sz w:val="18"/>
              </w:rPr>
              <w:t>Storyline, visuals; every member presents a section</w:t>
            </w:r>
          </w:p>
        </w:tc>
      </w:tr>
    </w:tbl>
    <w:p>
      <w:pPr>
        <w:spacing w:after="40"/>
      </w:pPr>
    </w:p>
    <w:p>
      <w:pPr>
        <w:keepNext/>
        <w:spacing w:before="120"/>
      </w:pPr>
      <w:r>
        <w:rPr>
          <w:b/>
          <w:sz w:val="21"/>
        </w:rPr>
        <w:t>Team roles and ways of working</w:t>
      </w:r>
    </w:p>
    <w:tbl>
      <w:tblPr>
        <w:tblStyle w:val="TableGrid"/>
        <w:tblW w:type="auto" w:w="0"/>
        <w:jc w:val="center"/>
        <w:tblLayout w:type="fixed"/>
        <w:tblLook w:firstColumn="1" w:firstRow="1" w:lastColumn="0" w:lastRow="0" w:noHBand="0" w:noVBand="1" w:val="04A0"/>
      </w:tblPr>
      <w:tblGrid>
        <w:gridCol w:w="2565"/>
        <w:gridCol w:w="3354"/>
        <w:gridCol w:w="3946"/>
      </w:tblGrid>
      <w:tr>
        <w:trPr>
          <w:tblHeader w:val="true"/>
        </w:trPr>
        <w:tc>
          <w:tcPr>
            <w:tcW w:type="dxa" w:w="2565"/>
            <w:shd w:val="clear" w:color="auto" w:fill="E8EEF5"/>
          </w:tcPr>
          <w:p>
            <w:pPr>
              <w:spacing w:after="0"/>
            </w:pPr>
            <w:r/>
            <w:r>
              <w:rPr>
                <w:b/>
                <w:sz w:val="18"/>
              </w:rPr>
              <w:t>Member</w:t>
            </w:r>
          </w:p>
        </w:tc>
        <w:tc>
          <w:tcPr>
            <w:tcW w:type="dxa" w:w="3354"/>
            <w:shd w:val="clear" w:color="auto" w:fill="E8EEF5"/>
          </w:tcPr>
          <w:p>
            <w:pPr>
              <w:spacing w:after="0"/>
            </w:pPr>
            <w:r/>
            <w:r>
              <w:rPr>
                <w:b/>
                <w:sz w:val="18"/>
              </w:rPr>
              <w:t>Primary role</w:t>
            </w:r>
          </w:p>
        </w:tc>
        <w:tc>
          <w:tcPr>
            <w:tcW w:type="dxa" w:w="3946"/>
            <w:shd w:val="clear" w:color="auto" w:fill="E8EEF5"/>
          </w:tcPr>
          <w:p>
            <w:pPr>
              <w:spacing w:after="0"/>
            </w:pPr>
            <w:r/>
            <w:r>
              <w:rPr>
                <w:b/>
                <w:sz w:val="18"/>
              </w:rPr>
              <w:t>Leads</w:t>
            </w:r>
          </w:p>
        </w:tc>
      </w:tr>
      <w:tr>
        <w:tc>
          <w:tcPr>
            <w:tcW w:type="dxa" w:w="2565"/>
          </w:tcPr>
          <w:p>
            <w:pPr>
              <w:spacing w:after="0"/>
            </w:pPr>
            <w:r/>
            <w:r>
              <w:rPr>
                <w:sz w:val="18"/>
              </w:rPr>
              <w:t>Jayesh Santosh Shinde</w:t>
            </w:r>
          </w:p>
        </w:tc>
        <w:tc>
          <w:tcPr>
            <w:tcW w:type="dxa" w:w="3354"/>
          </w:tcPr>
          <w:p>
            <w:pPr>
              <w:spacing w:after="0"/>
            </w:pPr>
            <w:r/>
            <w:r>
              <w:rPr>
                <w:sz w:val="18"/>
              </w:rPr>
              <w:t>Project coordination and modelling</w:t>
            </w:r>
          </w:p>
        </w:tc>
        <w:tc>
          <w:tcPr>
            <w:tcW w:type="dxa" w:w="3946"/>
          </w:tcPr>
          <w:p>
            <w:pPr>
              <w:spacing w:after="0"/>
            </w:pPr>
            <w:r/>
            <w:r>
              <w:rPr>
                <w:sz w:val="18"/>
              </w:rPr>
              <w:t>D1, D4, D7</w:t>
            </w:r>
          </w:p>
        </w:tc>
      </w:tr>
      <w:tr>
        <w:tc>
          <w:tcPr>
            <w:tcW w:type="dxa" w:w="2565"/>
          </w:tcPr>
          <w:p>
            <w:pPr>
              <w:spacing w:after="0"/>
            </w:pPr>
            <w:r/>
            <w:r>
              <w:rPr>
                <w:sz w:val="18"/>
              </w:rPr>
              <w:t>Abhishek Manuel N</w:t>
            </w:r>
          </w:p>
        </w:tc>
        <w:tc>
          <w:tcPr>
            <w:tcW w:type="dxa" w:w="3354"/>
          </w:tcPr>
          <w:p>
            <w:pPr>
              <w:spacing w:after="0"/>
            </w:pPr>
            <w:r/>
            <w:r>
              <w:rPr>
                <w:sz w:val="18"/>
              </w:rPr>
              <w:t>Data engineering and evaluation</w:t>
            </w:r>
          </w:p>
        </w:tc>
        <w:tc>
          <w:tcPr>
            <w:tcW w:type="dxa" w:w="3946"/>
          </w:tcPr>
          <w:p>
            <w:pPr>
              <w:spacing w:after="0"/>
            </w:pPr>
            <w:r/>
            <w:r>
              <w:rPr>
                <w:sz w:val="18"/>
              </w:rPr>
              <w:t>D2, D5, E1</w:t>
            </w:r>
          </w:p>
        </w:tc>
      </w:tr>
      <w:tr>
        <w:tc>
          <w:tcPr>
            <w:tcW w:type="dxa" w:w="2565"/>
          </w:tcPr>
          <w:p>
            <w:pPr>
              <w:spacing w:after="0"/>
            </w:pPr>
            <w:r/>
            <w:r>
              <w:rPr>
                <w:sz w:val="18"/>
              </w:rPr>
              <w:t>Abinash Pradhan</w:t>
            </w:r>
          </w:p>
        </w:tc>
        <w:tc>
          <w:tcPr>
            <w:tcW w:type="dxa" w:w="3354"/>
          </w:tcPr>
          <w:p>
            <w:pPr>
              <w:spacing w:after="0"/>
            </w:pPr>
            <w:r/>
            <w:r>
              <w:rPr>
                <w:sz w:val="18"/>
              </w:rPr>
              <w:t>Analysis, visualisation and deployment</w:t>
            </w:r>
          </w:p>
        </w:tc>
        <w:tc>
          <w:tcPr>
            <w:tcW w:type="dxa" w:w="3946"/>
          </w:tcPr>
          <w:p>
            <w:pPr>
              <w:spacing w:after="0"/>
            </w:pPr>
            <w:r/>
            <w:r>
              <w:rPr>
                <w:sz w:val="18"/>
              </w:rPr>
              <w:t>D3, D6, E2</w:t>
            </w:r>
          </w:p>
        </w:tc>
      </w:tr>
    </w:tbl>
    <w:p>
      <w:pPr>
        <w:spacing w:after="40"/>
      </w:pPr>
    </w:p>
    <w:p>
      <w:pPr>
        <w:pStyle w:val="ListBullet"/>
        <w:spacing w:after="40"/>
      </w:pPr>
      <w:r>
        <w:rPr/>
        <w:t>Weekly team meeting with a written meeting log (attendance, decisions, actions, owners).</w:t>
      </w:r>
    </w:p>
    <w:p>
      <w:pPr>
        <w:pStyle w:val="ListBullet"/>
        <w:spacing w:after="40"/>
      </w:pPr>
      <w:r>
        <w:rPr/>
        <w:t>All code and data versions in a shared team repository; contribution evidenced through commit history.</w:t>
      </w:r>
    </w:p>
    <w:p>
      <w:pPr>
        <w:pStyle w:val="ListBullet"/>
        <w:spacing w:after="40"/>
      </w:pPr>
      <w:r>
        <w:rPr/>
        <w:t>A written agenda of blockers brought to each scheduled faculty consultation.</w:t>
      </w:r>
    </w:p>
    <w:p>
      <w:pPr>
        <w:pStyle w:val="ListBullet"/>
        <w:spacing w:after="40"/>
      </w:pPr>
      <w:r>
        <w:rPr/>
        <w:t>Internal deadline two days before each published deadline for peer review by the non-lead members.</w:t>
      </w:r>
    </w:p>
    <w:p>
      <w:pPr>
        <w:keepNext/>
        <w:spacing w:before="200"/>
        <w:pBdr>
          <w:bottom w:val="single" w:sz="8" w:space="1" w:color="12365C"/>
        </w:pBdr>
      </w:pPr>
      <w:r>
        <w:rPr>
          <w:b/>
          <w:color w:val="12365C"/>
          <w:sz w:val="26"/>
        </w:rPr>
        <w:t>6. Key Risks and Mitigations</w:t>
      </w:r>
    </w:p>
    <w:tbl>
      <w:tblPr>
        <w:tblStyle w:val="TableGrid"/>
        <w:tblW w:type="auto" w:w="0"/>
        <w:jc w:val="center"/>
        <w:tblLayout w:type="fixed"/>
        <w:tblLook w:firstColumn="1" w:firstRow="1" w:lastColumn="0" w:lastRow="0" w:noHBand="0" w:noVBand="1" w:val="04A0"/>
      </w:tblPr>
      <w:tblGrid>
        <w:gridCol w:w="3157"/>
        <w:gridCol w:w="1183"/>
        <w:gridCol w:w="5524"/>
      </w:tblGrid>
      <w:tr>
        <w:trPr>
          <w:tblHeader w:val="true"/>
        </w:trPr>
        <w:tc>
          <w:tcPr>
            <w:tcW w:type="dxa" w:w="3157"/>
            <w:shd w:val="clear" w:color="auto" w:fill="E8EEF5"/>
          </w:tcPr>
          <w:p>
            <w:pPr>
              <w:spacing w:after="0"/>
            </w:pPr>
            <w:r/>
            <w:r>
              <w:rPr>
                <w:b/>
                <w:sz w:val="18"/>
              </w:rPr>
              <w:t>Risk</w:t>
            </w:r>
          </w:p>
        </w:tc>
        <w:tc>
          <w:tcPr>
            <w:tcW w:type="dxa" w:w="1184"/>
            <w:shd w:val="clear" w:color="auto" w:fill="E8EEF5"/>
          </w:tcPr>
          <w:p>
            <w:pPr>
              <w:spacing w:after="0"/>
            </w:pPr>
            <w:r/>
            <w:r>
              <w:rPr>
                <w:b/>
                <w:sz w:val="18"/>
              </w:rPr>
              <w:t>Impact</w:t>
            </w:r>
          </w:p>
        </w:tc>
        <w:tc>
          <w:tcPr>
            <w:tcW w:type="dxa" w:w="5524"/>
            <w:shd w:val="clear" w:color="auto" w:fill="E8EEF5"/>
          </w:tcPr>
          <w:p>
            <w:pPr>
              <w:spacing w:after="0"/>
            </w:pPr>
            <w:r/>
            <w:r>
              <w:rPr>
                <w:b/>
                <w:sz w:val="18"/>
              </w:rPr>
              <w:t>Mitigation</w:t>
            </w:r>
          </w:p>
        </w:tc>
      </w:tr>
      <w:tr>
        <w:tc>
          <w:tcPr>
            <w:tcW w:type="dxa" w:w="3157"/>
          </w:tcPr>
          <w:p>
            <w:pPr>
              <w:spacing w:after="0"/>
            </w:pPr>
            <w:r/>
            <w:r>
              <w:rPr>
                <w:sz w:val="18"/>
              </w:rPr>
              <w:t>Model fails to beat the naive baseline (gaps are largely random)</w:t>
            </w:r>
          </w:p>
        </w:tc>
        <w:tc>
          <w:tcPr>
            <w:tcW w:type="dxa" w:w="1184"/>
          </w:tcPr>
          <w:p>
            <w:pPr>
              <w:spacing w:after="0"/>
            </w:pPr>
            <w:r/>
            <w:r>
              <w:rPr>
                <w:sz w:val="18"/>
              </w:rPr>
              <w:t>High</w:t>
            </w:r>
          </w:p>
        </w:tc>
        <w:tc>
          <w:tcPr>
            <w:tcW w:type="dxa" w:w="5524"/>
          </w:tcPr>
          <w:p>
            <w:pPr>
              <w:spacing w:after="0"/>
            </w:pPr>
            <w:r/>
            <w:r>
              <w:rPr>
                <w:sz w:val="18"/>
              </w:rPr>
              <w:t>Report honestly; analyse segments (results days, high-volatility periods) where signal exists; test exogenous global cues</w:t>
            </w:r>
          </w:p>
        </w:tc>
      </w:tr>
      <w:tr>
        <w:tc>
          <w:tcPr>
            <w:tcW w:type="dxa" w:w="3157"/>
          </w:tcPr>
          <w:p>
            <w:pPr>
              <w:spacing w:after="0"/>
            </w:pPr>
            <w:r/>
            <w:r>
              <w:rPr>
                <w:sz w:val="18"/>
              </w:rPr>
              <w:t>API outage, rate limits or network restrictions</w:t>
            </w:r>
          </w:p>
        </w:tc>
        <w:tc>
          <w:tcPr>
            <w:tcW w:type="dxa" w:w="1184"/>
          </w:tcPr>
          <w:p>
            <w:pPr>
              <w:spacing w:after="0"/>
            </w:pPr>
            <w:r/>
            <w:r>
              <w:rPr>
                <w:sz w:val="18"/>
              </w:rPr>
              <w:t>Medium</w:t>
            </w:r>
          </w:p>
        </w:tc>
        <w:tc>
          <w:tcPr>
            <w:tcW w:type="dxa" w:w="5524"/>
          </w:tcPr>
          <w:p>
            <w:pPr>
              <w:spacing w:after="0"/>
            </w:pPr>
            <w:r/>
            <w:r>
              <w:rPr>
                <w:sz w:val="18"/>
              </w:rPr>
              <w:t>Cache all downloaded data locally; incremental top-ups; NSE bhavcopy as fallback source</w:t>
            </w:r>
          </w:p>
        </w:tc>
      </w:tr>
      <w:tr>
        <w:tc>
          <w:tcPr>
            <w:tcW w:type="dxa" w:w="3157"/>
          </w:tcPr>
          <w:p>
            <w:pPr>
              <w:spacing w:after="0"/>
            </w:pPr>
            <w:r/>
            <w:r>
              <w:rPr>
                <w:sz w:val="18"/>
              </w:rPr>
              <w:t>Bloomberg / Tracxn access delayed</w:t>
            </w:r>
          </w:p>
        </w:tc>
        <w:tc>
          <w:tcPr>
            <w:tcW w:type="dxa" w:w="1184"/>
          </w:tcPr>
          <w:p>
            <w:pPr>
              <w:spacing w:after="0"/>
            </w:pPr>
            <w:r/>
            <w:r>
              <w:rPr>
                <w:sz w:val="18"/>
              </w:rPr>
              <w:t>Medium</w:t>
            </w:r>
          </w:p>
        </w:tc>
        <w:tc>
          <w:tcPr>
            <w:tcW w:type="dxa" w:w="5524"/>
          </w:tcPr>
          <w:p>
            <w:pPr>
              <w:spacing w:after="0"/>
            </w:pPr>
            <w:r/>
            <w:r>
              <w:rPr>
                <w:sz w:val="18"/>
              </w:rPr>
              <w:t>Fundamentals already handled through a CSV interface built from public reports; swap source later without code changes</w:t>
            </w:r>
          </w:p>
        </w:tc>
      </w:tr>
      <w:tr>
        <w:tc>
          <w:tcPr>
            <w:tcW w:type="dxa" w:w="3157"/>
          </w:tcPr>
          <w:p>
            <w:pPr>
              <w:spacing w:after="0"/>
            </w:pPr>
            <w:r/>
            <w:r>
              <w:rPr>
                <w:sz w:val="18"/>
              </w:rPr>
              <w:t>Data leakage (look-ahead in features or fundamentals)</w:t>
            </w:r>
          </w:p>
        </w:tc>
        <w:tc>
          <w:tcPr>
            <w:tcW w:type="dxa" w:w="1184"/>
          </w:tcPr>
          <w:p>
            <w:pPr>
              <w:spacing w:after="0"/>
            </w:pPr>
            <w:r/>
            <w:r>
              <w:rPr>
                <w:sz w:val="18"/>
              </w:rPr>
              <w:t>High</w:t>
            </w:r>
          </w:p>
        </w:tc>
        <w:tc>
          <w:tcPr>
            <w:tcW w:type="dxa" w:w="5524"/>
          </w:tcPr>
          <w:p>
            <w:pPr>
              <w:spacing w:after="0"/>
            </w:pPr>
            <w:r/>
            <w:r>
              <w:rPr>
                <w:sz w:val="18"/>
              </w:rPr>
              <w:t>Point-in-time joins, walk-forward splits, leakage checklist reviewed in D5</w:t>
            </w:r>
          </w:p>
        </w:tc>
      </w:tr>
      <w:tr>
        <w:tc>
          <w:tcPr>
            <w:tcW w:type="dxa" w:w="3157"/>
          </w:tcPr>
          <w:p>
            <w:pPr>
              <w:spacing w:after="0"/>
            </w:pPr>
            <w:r/>
            <w:r>
              <w:rPr>
                <w:sz w:val="18"/>
              </w:rPr>
              <w:t>Corporate actions distort prices</w:t>
            </w:r>
          </w:p>
        </w:tc>
        <w:tc>
          <w:tcPr>
            <w:tcW w:type="dxa" w:w="1184"/>
          </w:tcPr>
          <w:p>
            <w:pPr>
              <w:spacing w:after="0"/>
            </w:pPr>
            <w:r/>
            <w:r>
              <w:rPr>
                <w:sz w:val="18"/>
              </w:rPr>
              <w:t>Medium</w:t>
            </w:r>
          </w:p>
        </w:tc>
        <w:tc>
          <w:tcPr>
            <w:tcW w:type="dxa" w:w="5524"/>
          </w:tcPr>
          <w:p>
            <w:pPr>
              <w:spacing w:after="0"/>
            </w:pPr>
            <w:r/>
            <w:r>
              <w:rPr>
                <w:sz w:val="18"/>
              </w:rPr>
              <w:t>Flag and exclude extreme gaps; use adjusted prices where available</w:t>
            </w:r>
          </w:p>
        </w:tc>
      </w:tr>
      <w:tr>
        <w:tc>
          <w:tcPr>
            <w:tcW w:type="dxa" w:w="3157"/>
          </w:tcPr>
          <w:p>
            <w:pPr>
              <w:spacing w:after="0"/>
            </w:pPr>
            <w:r/>
            <w:r>
              <w:rPr>
                <w:sz w:val="18"/>
              </w:rPr>
              <w:t>Uneven workload or missed deadlines</w:t>
            </w:r>
          </w:p>
        </w:tc>
        <w:tc>
          <w:tcPr>
            <w:tcW w:type="dxa" w:w="1184"/>
          </w:tcPr>
          <w:p>
            <w:pPr>
              <w:spacing w:after="0"/>
            </w:pPr>
            <w:r/>
            <w:r>
              <w:rPr>
                <w:sz w:val="18"/>
              </w:rPr>
              <w:t>Medium</w:t>
            </w:r>
          </w:p>
        </w:tc>
        <w:tc>
          <w:tcPr>
            <w:tcW w:type="dxa" w:w="5524"/>
          </w:tcPr>
          <w:p>
            <w:pPr>
              <w:spacing w:after="0"/>
            </w:pPr>
            <w:r/>
            <w:r>
              <w:rPr>
                <w:sz w:val="18"/>
              </w:rPr>
              <w:t>Named owners, internal deadlines, weekly log reviewed by the team</w:t>
            </w:r>
          </w:p>
        </w:tc>
      </w:tr>
    </w:tbl>
    <w:p>
      <w:pPr>
        <w:spacing w:after="40"/>
      </w:pPr>
    </w:p>
    <w:p>
      <w:pPr>
        <w:keepNext/>
        <w:spacing w:before="200"/>
        <w:pBdr>
          <w:bottom w:val="single" w:sz="8" w:space="1" w:color="12365C"/>
        </w:pBdr>
      </w:pPr>
      <w:r>
        <w:rPr>
          <w:b/>
          <w:color w:val="12365C"/>
          <w:sz w:val="26"/>
        </w:rPr>
        <w:t>7. Sign-off</w:t>
      </w:r>
    </w:p>
    <w:tbl>
      <w:tblPr>
        <w:tblStyle w:val="TableGrid"/>
        <w:tblW w:type="auto" w:w="0"/>
        <w:jc w:val="center"/>
        <w:tblLayout w:type="fixed"/>
        <w:tblLook w:firstColumn="1" w:firstRow="1" w:lastColumn="0" w:lastRow="0" w:noHBand="0" w:noVBand="1" w:val="04A0"/>
      </w:tblPr>
      <w:tblGrid>
        <w:gridCol w:w="3354"/>
        <w:gridCol w:w="2959"/>
        <w:gridCol w:w="3551"/>
      </w:tblGrid>
      <w:tr>
        <w:trPr>
          <w:tblHeader w:val="true"/>
        </w:trPr>
        <w:tc>
          <w:tcPr>
            <w:tcW w:type="dxa" w:w="3354"/>
            <w:shd w:val="clear" w:color="auto" w:fill="E8EEF5"/>
          </w:tcPr>
          <w:p>
            <w:pPr>
              <w:spacing w:after="0"/>
            </w:pPr>
            <w:r/>
            <w:r>
              <w:rPr>
                <w:b/>
                <w:sz w:val="18"/>
              </w:rPr>
              <w:t>Name</w:t>
            </w:r>
          </w:p>
        </w:tc>
        <w:tc>
          <w:tcPr>
            <w:tcW w:type="dxa" w:w="2959"/>
            <w:shd w:val="clear" w:color="auto" w:fill="E8EEF5"/>
          </w:tcPr>
          <w:p>
            <w:pPr>
              <w:spacing w:after="0"/>
            </w:pPr>
            <w:r/>
            <w:r>
              <w:rPr>
                <w:b/>
                <w:sz w:val="18"/>
              </w:rPr>
              <w:t>Role</w:t>
            </w:r>
          </w:p>
        </w:tc>
        <w:tc>
          <w:tcPr>
            <w:tcW w:type="dxa" w:w="3551"/>
            <w:shd w:val="clear" w:color="auto" w:fill="E8EEF5"/>
          </w:tcPr>
          <w:p>
            <w:pPr>
              <w:spacing w:after="0"/>
            </w:pPr>
            <w:r/>
            <w:r>
              <w:rPr>
                <w:b/>
                <w:sz w:val="18"/>
              </w:rPr>
              <w:t>Signature / Date</w:t>
            </w:r>
          </w:p>
        </w:tc>
      </w:tr>
      <w:tr>
        <w:tc>
          <w:tcPr>
            <w:tcW w:type="dxa" w:w="3354"/>
          </w:tcPr>
          <w:p>
            <w:pPr>
              <w:spacing w:after="0"/>
            </w:pPr>
            <w:r/>
            <w:r>
              <w:rPr>
                <w:sz w:val="18"/>
              </w:rPr>
              <w:t>Jayesh Santosh Shinde</w:t>
            </w:r>
          </w:p>
        </w:tc>
        <w:tc>
          <w:tcPr>
            <w:tcW w:type="dxa" w:w="2959"/>
          </w:tcPr>
          <w:p>
            <w:pPr>
              <w:spacing w:after="0"/>
            </w:pPr>
            <w:r/>
            <w:r>
              <w:rPr>
                <w:sz w:val="18"/>
              </w:rPr>
              <w:t>Team member</w:t>
            </w:r>
          </w:p>
        </w:tc>
        <w:tc>
          <w:tcPr>
            <w:tcW w:type="dxa" w:w="3551"/>
          </w:tcPr>
          <w:p>
            <w:pPr>
              <w:spacing w:after="0"/>
            </w:pPr>
            <w:r/>
          </w:p>
        </w:tc>
      </w:tr>
      <w:tr>
        <w:tc>
          <w:tcPr>
            <w:tcW w:type="dxa" w:w="3354"/>
          </w:tcPr>
          <w:p>
            <w:pPr>
              <w:spacing w:after="0"/>
            </w:pPr>
            <w:r/>
            <w:r>
              <w:rPr>
                <w:sz w:val="18"/>
              </w:rPr>
              <w:t>Abhishek Manuel N</w:t>
            </w:r>
          </w:p>
        </w:tc>
        <w:tc>
          <w:tcPr>
            <w:tcW w:type="dxa" w:w="2959"/>
          </w:tcPr>
          <w:p>
            <w:pPr>
              <w:spacing w:after="0"/>
            </w:pPr>
            <w:r/>
            <w:r>
              <w:rPr>
                <w:sz w:val="18"/>
              </w:rPr>
              <w:t>Team member</w:t>
            </w:r>
          </w:p>
        </w:tc>
        <w:tc>
          <w:tcPr>
            <w:tcW w:type="dxa" w:w="3551"/>
          </w:tcPr>
          <w:p>
            <w:pPr>
              <w:spacing w:after="0"/>
            </w:pPr>
            <w:r/>
          </w:p>
        </w:tc>
      </w:tr>
      <w:tr>
        <w:tc>
          <w:tcPr>
            <w:tcW w:type="dxa" w:w="3354"/>
          </w:tcPr>
          <w:p>
            <w:pPr>
              <w:spacing w:after="0"/>
            </w:pPr>
            <w:r/>
            <w:r>
              <w:rPr>
                <w:sz w:val="18"/>
              </w:rPr>
              <w:t>Abinash Pradhan</w:t>
            </w:r>
          </w:p>
        </w:tc>
        <w:tc>
          <w:tcPr>
            <w:tcW w:type="dxa" w:w="2959"/>
          </w:tcPr>
          <w:p>
            <w:pPr>
              <w:spacing w:after="0"/>
            </w:pPr>
            <w:r/>
            <w:r>
              <w:rPr>
                <w:sz w:val="18"/>
              </w:rPr>
              <w:t>Team member</w:t>
            </w:r>
          </w:p>
        </w:tc>
        <w:tc>
          <w:tcPr>
            <w:tcW w:type="dxa" w:w="3551"/>
          </w:tcPr>
          <w:p>
            <w:pPr>
              <w:spacing w:after="0"/>
            </w:pPr>
            <w:r/>
          </w:p>
        </w:tc>
      </w:tr>
      <w:tr>
        <w:tc>
          <w:tcPr>
            <w:tcW w:type="dxa" w:w="3354"/>
          </w:tcPr>
          <w:p>
            <w:pPr>
              <w:spacing w:after="0"/>
            </w:pPr>
            <w:r/>
            <w:r>
              <w:rPr>
                <w:sz w:val="18"/>
              </w:rPr>
              <w:t>Mr Nikhil D Jonathan</w:t>
            </w:r>
          </w:p>
        </w:tc>
        <w:tc>
          <w:tcPr>
            <w:tcW w:type="dxa" w:w="2959"/>
          </w:tcPr>
          <w:p>
            <w:pPr>
              <w:spacing w:after="0"/>
            </w:pPr>
            <w:r/>
            <w:r>
              <w:rPr>
                <w:sz w:val="18"/>
              </w:rPr>
              <w:t>Faculty</w:t>
            </w:r>
          </w:p>
        </w:tc>
        <w:tc>
          <w:tcPr>
            <w:tcW w:type="dxa" w:w="3551"/>
          </w:tcPr>
          <w:p>
            <w:pPr>
              <w:spacing w:after="0"/>
            </w:pPr>
            <w:r/>
          </w:p>
        </w:tc>
      </w:tr>
    </w:tbl>
    <w:p>
      <w:pPr>
        <w:spacing w:after="40"/>
      </w:pP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 Project Charter</dc:title>
  <dc:subject/>
  <dc:creator>Jayesh Santosh Shinde, Abhishek Manuel N, Abinash Pradhan</dc:creator>
  <cp:keywords/>
  <dc:description>generated by python-docx</dc:description>
  <cp:lastModifiedBy/>
  <cp:revision>1</cp:revision>
  <dcterms:created xsi:type="dcterms:W3CDTF">2013-12-23T23:15:00Z</dcterms:created>
  <dcterms:modified xsi:type="dcterms:W3CDTF">2013-12-23T23:15:00Z</dcterms:modified>
  <cp:category/>
</cp:coreProperties>
</file>