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Page Latex-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\documentclass[16pt]{article}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\usepackage[utf8]{inputenc}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\usepackage{amsfonts}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\usepackage{amssymb}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\usepackage{listings}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\usepackage{underscore}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\usepackage[bookmarks=true]{hyperref}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\usepackage[utf8]{inputenc}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\usepackage[english]{babel}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\usepackage{etoolbox}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\usepackage{verbatim}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\usepackage{hyperref}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\usepackage{geometry}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\usepackage{geometry}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\usepackage{hhline}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\usepackage{float}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\usepackage{multirow}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\usepackage{amssymb}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\usepackage{graphics}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\usepackage{amsmath}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\usepackage{array}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\usepackage[pdftex]{hyperref}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\usepackage{epstopdf}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\usepackage{graphicx}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\usepackage{tabularx}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\pagenumbering{gooble}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\usepackage{lmodern}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\usepackage{mathptmx}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\usepackage{anyfontsize}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\begin{document}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\fontsize{16}{19} \selectfont Project Synopsis entitled \\ \\ \\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Submitted By: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\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\fontsize{16}{19} \selectfont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\begin{center}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Saurabh Baj \\ Niyati Daftary \\ Jayesh Gaur \\ Aditya Jawalikar\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\end{center}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\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\fontsize{16}{19} \selectfont in Partial fulfillment of the degree of B.Tech in Information Technology is approved.\\ \\ \\ \\ \\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\begin{flushleft}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Prof. Kiran Kumari\\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Guide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\hfill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Examiners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\end{flushleft}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\newline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\begin{flushleft}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\newline Head of Department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\hfill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\end{flushleft}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\end{document}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