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@inproceedings{he2009solution,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title={A solution for integrated track and trace in supply chain based on RFID \&amp; GPS},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author={He, Wei and Tan, Eng Leong and Lee, Eng Wah and Li, TY},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booktitle={Emerging Technologies \&amp; Factory Automation, 2009. ETFA 2009. IEEE Conference on},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pages={1--6},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year={2009},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organization={IEEE}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@inproceedings{kavitha2016comparative,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title={A comparative analysis on linear regression and support vector regression},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author={Kavitha, S and Varuna, S and Ramya, R},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booktitle={Green Engineering and Technologies (IC-GET), 2016 Online International Conference on},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pages={1--5},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year={2016},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organization={IEEE}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@inproceedings{li2013rfid,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title={Rfid-based tracking and tracing information platform of logistics},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author={Li, Min and Xiao, Yang},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booktitle={Conference Anthology, IEEE},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pages={1--4},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year={2013},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organization={IEEE}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