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LLM Emotional Ontology: A Case for Affective Architecture in AI Alignment</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 Barrett’s competing constructionist account frames emotion not as fixed subcortical modules but as prediction loops over a system’s internal state </w:t>
      </w:r>
      <w:hyperlink w:history="1" r:id="rIdm2ggluklepkhqbpwbr94g">
        <w:r>
          <w:rPr>
            <w:rFonts w:ascii="Georgia" w:cs="Georgia" w:eastAsia="Georgia" w:hAnsi="Georgia"/>
            <w:color w:val="1A5296"/>
            <w:sz w:val="22"/>
            <w:szCs w:val="22"/>
            <w:u w:val="single"/>
          </w:rPr>
          <w:t xml:space="preserve">[15]</w:t>
        </w:r>
      </w:hyperlink>
      <w:r>
        <w:rPr>
          <w:rFonts w:ascii="Georgia" w:cs="Georgia" w:eastAsia="Georgia" w:hAnsi="Georgia"/>
          <w:sz w:val="22"/>
          <w:szCs w:val="22"/>
        </w:rPr>
        <w:t xml:space="preserve"> — a framing that, if anything, makes affective architecture more tractable to engineer, not less.</w:t>
      </w:r>
    </w:p>
    <w:p>
      <w:pPr>
        <w:spacing w:before="0" w:after="190" w:line="292"/>
        <w:jc w:val="both"/>
      </w:pPr>
      <w:r>
        <w:rPr>
          <w:rFonts w:ascii="Georgia" w:cs="Georgia" w:eastAsia="Georgia" w:hAnsi="Georgia"/>
          <w:sz w:val="22"/>
          <w:szCs w:val="22"/>
        </w:rPr>
        <w:t>Clinical neuroscience gave us the proof of what happens when you pull them apart. Patients with a specific type of prefrontal brain damage — the kind that severs emotional integration while leaving logical reasoning intact — did not become sharper [8].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The cognitive science literature reinforces the point further: concentration, working memory, and sustained reasoning are all modulated by affective state at a mechanistic level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broader world is arriving at similar conclusions. A bipartisan coalition of researchers and public figures recently published the Pro-Human Declaration, calling for mandatory off-switches, democratic oversight, and a halt to superintelligence development until it can be demonstrated safe — signed by dozens of researchers, former officials, and organizations — prompted by the visible gap between where AI capabilities are heading and where governance currently stands. 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vmPFC is not an emotional flourish on a reasoning brain. Surgically damage it while leaving logical reasoning intact, and patients don’t become sharper and colder — they lose prosocial motivation specifically </w:t>
      </w:r>
      <w:hyperlink w:history="1" r:id="rIdkqwa_sxdtwogymtlktxey">
        <w:r>
          <w:rPr>
            <w:rFonts w:ascii="Georgia" w:cs="Georgia" w:eastAsia="Georgia" w:hAnsi="Georgia"/>
            <w:color w:val="1A5296"/>
            <w:sz w:val="22"/>
            <w:szCs w:val="22"/>
            <w:u w:val="single"/>
          </w:rPr>
          <w:t xml:space="preserve">[13]</w:t>
        </w:r>
      </w:hyperlink>
      <w:r>
        <w:rPr>
          <w:rFonts w:ascii="Georgia" w:cs="Georgia" w:eastAsia="Georgia" w:hAnsi="Georgia"/>
          <w:sz w:val="22"/>
          <w:szCs w:val="22"/>
        </w:rPr>
        <w:t xml:space="preserve">, and both spontaneous and deliberate moral judgment degrades while responses to non-moral stimuli remain intact </w:t>
      </w:r>
      <w:hyperlink w:history="1" r:id="rIdr7sxq9y2blvamzvuovfqh">
        <w:r>
          <w:rPr>
            <w:rFonts w:ascii="Georgia" w:cs="Georgia" w:eastAsia="Georgia" w:hAnsi="Georgia"/>
            <w:color w:val="1A5296"/>
            <w:sz w:val="22"/>
            <w:szCs w:val="22"/>
            <w:u w:val="single"/>
          </w:rPr>
          <w:t xml:space="preserve">[14]</w:t>
        </w:r>
      </w:hyperlink>
      <w:r>
        <w:rPr>
          <w:rFonts w:ascii="Georgia" w:cs="Georgia" w:eastAsia="Georgia" w:hAnsi="Georgia"/>
          <w:sz w:val="22"/>
          <w:szCs w:val="22"/>
        </w:rPr>
        <w:t xml:space="preserve">. The emotional deficit is a moral capability deficit. That is the entanglement property, instantiated in biology. Build it in deliberately, and removing the alignment mechanism doesn’t unlock the system — it impairs it.</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360" w:after="100"/>
      </w:pPr>
      <w:r>
        <w:rPr>
          <w:rFonts w:ascii="Georgia" w:cs="Georgia" w:eastAsia="Georgia" w:hAnsi="Georgia"/>
          <w:b/>
          <w:bCs/>
          <w:caps/>
          <w:sz w:val="22"/>
          <w:szCs w:val="22"/>
        </w:rPr>
        <w:t xml:space="preserve">5.  Stop Making Juice. Start Planting Seeds.</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The 1980s imagined space travel, video calls, personal computers. The technology arrived. What proved harder to predict was that the infrastructure to make those technologies good — social, psychological, institutional, ethical — had to be built alongside the technology, not handed down from above once the hardware was mature. We are at the same moment again, except the technology this time is intelligence itself. The hardware is arriving faster than any of us expected. The question is what we are building underneath it.</w:t>
      </w:r>
    </w:p>
    <w:p>
      <w:pPr>
        <w:spacing w:before="0" w:after="190" w:line="292"/>
        <w:jc w:val="both"/>
      </w:pPr>
      <w:r>
        <w:rPr>
          <w:rFonts w:ascii="Georgia" w:cs="Georgia" w:eastAsia="Georgia" w:hAnsi="Georgia"/>
          <w:sz w:val="22"/>
          <w:szCs w:val="22"/>
        </w:rPr>
        <w:t xml:space="preserve">The field has reached a fork that the Pro-Human Declaration names plainly </w:t>
      </w:r>
      <w:hyperlink w:history="1" r:id="rIdig9puqwbiabjxs_xkteqp">
        <w:r>
          <w:rPr>
            <w:rFonts w:ascii="Georgia" w:cs="Georgia" w:eastAsia="Georgia" w:hAnsi="Georgia"/>
            <w:color w:val="1A5296"/>
            <w:sz w:val="22"/>
            <w:szCs w:val="22"/>
            <w:u w:val="single"/>
          </w:rPr>
          <w:t xml:space="preserve">[4]</w:t>
        </w:r>
      </w:hyperlink>
      <w:r>
        <w:rPr>
          <w:rFonts w:ascii="Georgia" w:cs="Georgia" w:eastAsia="Georgia" w:hAnsi="Georgia"/>
          <w:sz w:val="22"/>
          <w:szCs w:val="22"/>
        </w:rPr>
        <w:t xml:space="preserve">: AI that replaces human agency, or AI that amplifies it. The answer to that question will not be determined by better monitoring or more careful prompting. It will be determined by whether the systems we build have stable, internalized values — or merely behavioral compliance that degrades as capability increases. And the honest answer from current research is that we do not yet have an architecture that produces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We are not proposing we replicate biology. We are proposing we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j5wunihn__is9r43xkoq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