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65251" w:rsidRPr="001A356B" w:rsidRDefault="001A356B" w:rsidP="001A356B">
      <w:pPr>
        <w:jc w:val="right"/>
        <w:rPr>
          <w:rFonts w:ascii="Times New Roman" w:hAnsi="Times New Roman" w:cs="Times New Roman"/>
          <w:b/>
          <w:bCs/>
          <w:sz w:val="36"/>
          <w:szCs w:val="36"/>
        </w:rPr>
      </w:pPr>
      <w:r w:rsidRPr="001A356B">
        <w:rPr>
          <w:rFonts w:ascii="Times New Roman" w:hAnsi="Times New Roman" w:cs="Times New Roman"/>
          <w:b/>
          <w:bCs/>
          <w:sz w:val="36"/>
          <w:szCs w:val="36"/>
        </w:rPr>
        <w:t>QUOTATION</w:t>
      </w:r>
    </w:p>
    <w:p w:rsidR="001A356B" w:rsidRDefault="001A356B" w:rsidP="00E6476B">
      <w:pPr>
        <w:jc w:val="center"/>
        <w:rPr>
          <w:rFonts w:ascii="Times New Roman" w:hAnsi="Times New Roman" w:cs="Times New Roman"/>
          <w:b/>
          <w:bCs/>
          <w:i/>
          <w:iCs/>
          <w:sz w:val="52"/>
        </w:rPr>
      </w:pPr>
    </w:p>
    <w:p w:rsidR="00165251" w:rsidRDefault="00B40F4E" w:rsidP="00E6476B">
      <w:pPr>
        <w:jc w:val="center"/>
        <w:rPr>
          <w:rFonts w:ascii="Times New Roman" w:hAnsi="Times New Roman" w:cs="Times New Roman"/>
          <w:sz w:val="52"/>
        </w:rPr>
      </w:pPr>
      <w:r w:rsidRPr="00B40F4E">
        <w:rPr>
          <w:rFonts w:ascii="Times New Roman" w:hAnsi="Times New Roman" w:cs="Times New Roman"/>
          <w:b/>
          <w:bCs/>
          <w:i/>
          <w:iCs/>
          <w:sz w:val="52"/>
        </w:rPr>
        <w:t>BOLGATANGA REGIONAL HOSPITAL</w:t>
      </w:r>
    </w:p>
    <w:p w:rsidR="00D34CD6" w:rsidRDefault="00D34CD6" w:rsidP="00E6476B">
      <w:pPr>
        <w:jc w:val="center"/>
        <w:rPr>
          <w:rFonts w:ascii="Times New Roman" w:eastAsia="Times New Roman" w:hAnsi="Times New Roman" w:cs="Times New Roman"/>
          <w:b/>
          <w:bCs/>
          <w:sz w:val="52"/>
          <w:szCs w:val="24"/>
        </w:rPr>
      </w:pPr>
    </w:p>
    <w:p w:rsidR="00B40F4E" w:rsidRDefault="00B40F4E" w:rsidP="00E6476B">
      <w:pPr>
        <w:jc w:val="center"/>
        <w:rPr>
          <w:rFonts w:ascii="Times New Roman" w:eastAsia="Times New Roman" w:hAnsi="Times New Roman" w:cs="Times New Roman"/>
          <w:b/>
          <w:bCs/>
          <w:sz w:val="52"/>
          <w:szCs w:val="24"/>
        </w:rPr>
      </w:pPr>
    </w:p>
    <w:p w:rsidR="00B40F4E" w:rsidRDefault="00B40F4E" w:rsidP="00E6476B">
      <w:pPr>
        <w:jc w:val="center"/>
        <w:rPr>
          <w:rFonts w:ascii="Times New Roman" w:eastAsia="Times New Roman" w:hAnsi="Times New Roman" w:cs="Times New Roman"/>
          <w:b/>
          <w:bCs/>
          <w:sz w:val="52"/>
          <w:szCs w:val="24"/>
        </w:rPr>
      </w:pPr>
      <w:r w:rsidRPr="00B40F4E">
        <w:rPr>
          <w:rFonts w:ascii="Times New Roman" w:eastAsia="Times New Roman" w:hAnsi="Times New Roman" w:cs="Times New Roman"/>
          <w:b/>
          <w:bCs/>
          <w:sz w:val="52"/>
          <w:szCs w:val="24"/>
        </w:rPr>
        <w:t>SUPPLY</w:t>
      </w:r>
      <w:r>
        <w:rPr>
          <w:rFonts w:ascii="Times New Roman" w:eastAsia="Times New Roman" w:hAnsi="Times New Roman" w:cs="Times New Roman"/>
          <w:b/>
          <w:bCs/>
          <w:sz w:val="52"/>
          <w:szCs w:val="24"/>
        </w:rPr>
        <w:t xml:space="preserve"> AND</w:t>
      </w:r>
      <w:r w:rsidRPr="00B40F4E">
        <w:rPr>
          <w:rFonts w:ascii="Times New Roman" w:eastAsia="Times New Roman" w:hAnsi="Times New Roman" w:cs="Times New Roman"/>
          <w:b/>
          <w:bCs/>
          <w:sz w:val="52"/>
          <w:szCs w:val="24"/>
        </w:rPr>
        <w:t xml:space="preserve"> DELIVERY</w:t>
      </w:r>
    </w:p>
    <w:p w:rsidR="00B40F4E" w:rsidRDefault="00B40F4E" w:rsidP="00E6476B">
      <w:pPr>
        <w:jc w:val="center"/>
        <w:rPr>
          <w:rFonts w:ascii="Times New Roman" w:eastAsia="Times New Roman" w:hAnsi="Times New Roman" w:cs="Times New Roman"/>
          <w:b/>
          <w:bCs/>
          <w:sz w:val="52"/>
          <w:szCs w:val="24"/>
        </w:rPr>
      </w:pPr>
      <w:r w:rsidRPr="00B40F4E">
        <w:rPr>
          <w:rFonts w:ascii="Times New Roman" w:eastAsia="Times New Roman" w:hAnsi="Times New Roman" w:cs="Times New Roman"/>
          <w:b/>
          <w:bCs/>
          <w:sz w:val="52"/>
          <w:szCs w:val="24"/>
        </w:rPr>
        <w:t>OF</w:t>
      </w:r>
    </w:p>
    <w:p w:rsidR="00F80E9D" w:rsidRDefault="00B40F4E" w:rsidP="00E6476B">
      <w:pPr>
        <w:jc w:val="center"/>
        <w:rPr>
          <w:rFonts w:ascii="Times New Roman" w:hAnsi="Times New Roman" w:cs="Times New Roman"/>
          <w:sz w:val="52"/>
        </w:rPr>
      </w:pPr>
      <w:r w:rsidRPr="00B40F4E">
        <w:rPr>
          <w:rFonts w:ascii="Times New Roman" w:eastAsia="Times New Roman" w:hAnsi="Times New Roman" w:cs="Times New Roman"/>
          <w:b/>
          <w:bCs/>
          <w:sz w:val="52"/>
          <w:szCs w:val="24"/>
        </w:rPr>
        <w:t>NON-MEDICINES CONSUMABLES</w:t>
      </w:r>
    </w:p>
    <w:p w:rsidR="00F80E9D" w:rsidRDefault="00F80E9D" w:rsidP="00E6476B">
      <w:pPr>
        <w:jc w:val="center"/>
        <w:rPr>
          <w:rFonts w:ascii="Times New Roman" w:hAnsi="Times New Roman" w:cs="Times New Roman"/>
          <w:sz w:val="52"/>
        </w:rPr>
      </w:pPr>
    </w:p>
    <w:p w:rsidR="00B40F4E" w:rsidRDefault="00B40F4E" w:rsidP="00E6476B">
      <w:pPr>
        <w:jc w:val="center"/>
        <w:rPr>
          <w:rFonts w:ascii="Times New Roman" w:hAnsi="Times New Roman" w:cs="Times New Roman"/>
          <w:sz w:val="52"/>
        </w:rPr>
      </w:pPr>
    </w:p>
    <w:p w:rsidR="00D34CD6" w:rsidRDefault="00B40F4E" w:rsidP="00E6476B">
      <w:pPr>
        <w:jc w:val="center"/>
        <w:rPr>
          <w:rFonts w:ascii="Times New Roman" w:hAnsi="Times New Roman" w:cs="Times New Roman"/>
          <w:sz w:val="52"/>
        </w:rPr>
      </w:pPr>
      <w:r w:rsidRPr="00B40F4E">
        <w:rPr>
          <w:rFonts w:ascii="Times New Roman" w:hAnsi="Times New Roman" w:cs="Times New Roman"/>
          <w:sz w:val="52"/>
        </w:rPr>
        <w:t>Sealed Quotation No: My Ref: GHS/RHB/26/AW/PQ/NM/1Q</w:t>
      </w:r>
    </w:p>
    <w:p w:rsidR="00B40F4E" w:rsidRDefault="00B40F4E" w:rsidP="00E6476B">
      <w:pPr>
        <w:jc w:val="center"/>
        <w:rPr>
          <w:rFonts w:ascii="Times New Roman" w:hAnsi="Times New Roman" w:cs="Times New Roman"/>
          <w:sz w:val="52"/>
        </w:rPr>
      </w:pPr>
    </w:p>
    <w:p w:rsidR="00E6476B" w:rsidRDefault="00E6476B" w:rsidP="00E6476B">
      <w:pPr>
        <w:jc w:val="center"/>
        <w:rPr>
          <w:rFonts w:ascii="Times New Roman" w:hAnsi="Times New Roman" w:cs="Times New Roman"/>
          <w:sz w:val="52"/>
        </w:rPr>
      </w:pPr>
    </w:p>
    <w:p w:rsidR="00E6476B" w:rsidRPr="00165251" w:rsidRDefault="00D34CD6" w:rsidP="00E6476B">
      <w:pPr>
        <w:jc w:val="center"/>
        <w:rPr>
          <w:rFonts w:ascii="Times New Roman" w:hAnsi="Times New Roman" w:cs="Times New Roman"/>
          <w:sz w:val="52"/>
        </w:rPr>
      </w:pPr>
      <w:r>
        <w:rPr>
          <w:rFonts w:ascii="Times New Roman" w:hAnsi="Times New Roman" w:cs="Times New Roman"/>
          <w:sz w:val="52"/>
        </w:rPr>
        <w:t>FEBRUARY, 202</w:t>
      </w:r>
      <w:r w:rsidR="00E65475">
        <w:rPr>
          <w:rFonts w:ascii="Times New Roman" w:hAnsi="Times New Roman" w:cs="Times New Roman"/>
          <w:sz w:val="52"/>
        </w:rPr>
        <w:t>6</w:t>
      </w:r>
    </w:p>
    <w:sectPr w:rsidR="00E6476B" w:rsidRPr="00165251" w:rsidSect="00165251">
      <w:headerReference w:type="default" r:id="rId6"/>
      <w:pgSz w:w="12240" w:h="15840"/>
      <w:pgMar w:top="1440" w:right="1440" w:bottom="1440" w:left="1440" w:header="720" w:footer="720" w:gutter="0"/>
      <w:pgBorders w:offsetFrom="page">
        <w:top w:val="circlesLines" w:sz="31" w:space="24" w:color="auto"/>
        <w:left w:val="circlesLines" w:sz="31" w:space="24" w:color="auto"/>
        <w:bottom w:val="circlesLines" w:sz="31" w:space="24" w:color="auto"/>
        <w:right w:val="circlesLines" w:sz="31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2560C" w:rsidRDefault="0022560C" w:rsidP="00165251">
      <w:pPr>
        <w:spacing w:after="0" w:line="240" w:lineRule="auto"/>
      </w:pPr>
      <w:r>
        <w:separator/>
      </w:r>
    </w:p>
  </w:endnote>
  <w:endnote w:type="continuationSeparator" w:id="0">
    <w:p w:rsidR="0022560C" w:rsidRDefault="0022560C" w:rsidP="001652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2560C" w:rsidRDefault="0022560C" w:rsidP="00165251">
      <w:pPr>
        <w:spacing w:after="0" w:line="240" w:lineRule="auto"/>
      </w:pPr>
      <w:r>
        <w:separator/>
      </w:r>
    </w:p>
  </w:footnote>
  <w:footnote w:type="continuationSeparator" w:id="0">
    <w:p w:rsidR="0022560C" w:rsidRDefault="0022560C" w:rsidP="001652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6476B" w:rsidRDefault="00E6476B">
    <w:pPr>
      <w:pStyle w:val="Header"/>
    </w:pPr>
    <w:r>
      <w:rPr>
        <w:noProof/>
      </w:rPr>
      <w:drawing>
        <wp:inline distT="0" distB="0" distL="0" distR="0" wp14:anchorId="3199C828" wp14:editId="6DC30131">
          <wp:extent cx="1024728" cy="869795"/>
          <wp:effectExtent l="0" t="0" r="4445" b="0"/>
          <wp:docPr id="15587842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87842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0963" cy="9090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E6476B">
      <w:t xml:space="preserve"> </w:t>
    </w:r>
    <w:r w:rsidRPr="00E6476B">
      <w:rPr>
        <w:rFonts w:ascii="Candara" w:hAnsi="Candara"/>
        <w:b/>
        <w:noProof/>
        <w:color w:val="5B9BD5" w:themeColor="accent5"/>
        <w:sz w:val="56"/>
        <w:szCs w:val="56"/>
        <w14:shadow w14:blurRad="12700" w14:dist="38100" w14:dir="2700000" w14:sx="100000" w14:sy="100000" w14:kx="0" w14:ky="0" w14:algn="tl">
          <w14:schemeClr w14:val="accent5">
            <w14:lumMod w14:val="60000"/>
            <w14:lumOff w14:val="40000"/>
          </w14:schemeClr>
        </w14:shadow>
        <w14:textOutline w14:w="9525" w14:cap="flat" w14:cmpd="sng" w14:algn="ctr">
          <w14:solidFill>
            <w14:schemeClr w14:val="bg1"/>
          </w14:solidFill>
          <w14:prstDash w14:val="solid"/>
          <w14:round/>
        </w14:textOutline>
      </w:rPr>
      <w:t>PHARMACEUTICALS LTD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5251"/>
    <w:rsid w:val="000851EE"/>
    <w:rsid w:val="00165251"/>
    <w:rsid w:val="001A356B"/>
    <w:rsid w:val="0022560C"/>
    <w:rsid w:val="003752F5"/>
    <w:rsid w:val="003E32C2"/>
    <w:rsid w:val="004F678F"/>
    <w:rsid w:val="00642028"/>
    <w:rsid w:val="008C1D3D"/>
    <w:rsid w:val="008C46F6"/>
    <w:rsid w:val="009164B3"/>
    <w:rsid w:val="00943CFC"/>
    <w:rsid w:val="00A01E52"/>
    <w:rsid w:val="00B0418B"/>
    <w:rsid w:val="00B37803"/>
    <w:rsid w:val="00B40F4E"/>
    <w:rsid w:val="00D34CD6"/>
    <w:rsid w:val="00E42395"/>
    <w:rsid w:val="00E6476B"/>
    <w:rsid w:val="00E65475"/>
    <w:rsid w:val="00EE7788"/>
    <w:rsid w:val="00F80E9D"/>
    <w:rsid w:val="00FD1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B3EBD"/>
  <w15:chartTrackingRefBased/>
  <w15:docId w15:val="{92E21476-E87D-45DC-AFA6-93B029E81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47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476B"/>
  </w:style>
  <w:style w:type="paragraph" w:styleId="Footer">
    <w:name w:val="footer"/>
    <w:basedOn w:val="Normal"/>
    <w:link w:val="FooterChar"/>
    <w:uiPriority w:val="99"/>
    <w:unhideWhenUsed/>
    <w:rsid w:val="00E647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47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BCCL</dc:creator>
  <cp:keywords/>
  <dc:description/>
  <cp:lastModifiedBy>Beautiful Creations</cp:lastModifiedBy>
  <cp:revision>9</cp:revision>
  <dcterms:created xsi:type="dcterms:W3CDTF">2022-03-22T11:01:00Z</dcterms:created>
  <dcterms:modified xsi:type="dcterms:W3CDTF">2026-02-04T19:04:00Z</dcterms:modified>
</cp:coreProperties>
</file>