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8175E" w14:textId="2AD3D22D" w:rsidR="00BE3C45" w:rsidRDefault="003D30C6" w:rsidP="00BE3C45">
      <w:pPr>
        <w:pStyle w:val="BATitle"/>
        <w:jc w:val="both"/>
      </w:pPr>
      <w:r>
        <w:t>Calculating Field Enhancement of an SPP with the Transfer Matrix Method</w:t>
      </w:r>
      <w:r w:rsidR="00BE3C45">
        <w:t xml:space="preserve"> </w:t>
      </w:r>
    </w:p>
    <w:p w14:paraId="365D4C91" w14:textId="77777777" w:rsidR="005669EA" w:rsidRDefault="005669EA" w:rsidP="005669EA">
      <w:pPr>
        <w:pStyle w:val="SNSynopsisTOC"/>
        <w:spacing w:after="240" w:line="240" w:lineRule="auto"/>
        <w:jc w:val="left"/>
        <w:rPr>
          <w:b/>
        </w:rPr>
      </w:pPr>
    </w:p>
    <w:p w14:paraId="344F390F" w14:textId="77777777" w:rsidR="005669EA" w:rsidRPr="00F35690" w:rsidRDefault="005669EA" w:rsidP="005669EA">
      <w:pPr>
        <w:pStyle w:val="SNSynopsisTOC"/>
        <w:spacing w:after="240" w:line="240" w:lineRule="auto"/>
        <w:jc w:val="left"/>
        <w:rPr>
          <w:b/>
        </w:rPr>
      </w:pPr>
      <w:r w:rsidRPr="00F35690">
        <w:rPr>
          <w:b/>
        </w:rPr>
        <w:t>Transfer Matrix Equations</w:t>
      </w:r>
    </w:p>
    <w:p w14:paraId="1B32C50B" w14:textId="05BDEF6C" w:rsidR="003D30C6" w:rsidRDefault="003D30C6" w:rsidP="005669EA">
      <w:pPr>
        <w:pStyle w:val="SNSynopsisTOC"/>
        <w:spacing w:after="240" w:line="240" w:lineRule="auto"/>
        <w:jc w:val="left"/>
      </w:pPr>
      <w:r>
        <w:t>SPPs can be excited on multi-layered planar structures, for example, thin metal films sandwiched between thick slabs of glass and air.</w:t>
      </w:r>
    </w:p>
    <w:p w14:paraId="41C6896C" w14:textId="77777777" w:rsidR="00175A88" w:rsidRDefault="00CE67F9" w:rsidP="00175A88">
      <w:pPr>
        <w:pStyle w:val="SNSynopsisTOC"/>
        <w:keepNext/>
        <w:spacing w:after="240" w:line="240" w:lineRule="auto"/>
        <w:jc w:val="center"/>
      </w:pPr>
      <w:r w:rsidRPr="00CE67F9">
        <w:drawing>
          <wp:inline distT="0" distB="0" distL="0" distR="0" wp14:anchorId="68AFFAD2" wp14:editId="73B412B3">
            <wp:extent cx="4153535" cy="32587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7638" cy="3269823"/>
                    </a:xfrm>
                    <a:prstGeom prst="rect">
                      <a:avLst/>
                    </a:prstGeom>
                  </pic:spPr>
                </pic:pic>
              </a:graphicData>
            </a:graphic>
          </wp:inline>
        </w:drawing>
      </w:r>
    </w:p>
    <w:p w14:paraId="0217C843" w14:textId="6C451F2A" w:rsidR="00CE67F9" w:rsidRPr="00175A88" w:rsidRDefault="00175A88" w:rsidP="00175A88">
      <w:pPr>
        <w:pStyle w:val="Caption"/>
        <w:jc w:val="center"/>
        <w:rPr>
          <w:i w:val="0"/>
          <w:color w:val="000000" w:themeColor="text1"/>
          <w:sz w:val="20"/>
        </w:rPr>
      </w:pPr>
      <w:bookmarkStart w:id="0" w:name="_GoBack"/>
      <w:r w:rsidRPr="00175A88">
        <w:rPr>
          <w:i w:val="0"/>
          <w:color w:val="000000" w:themeColor="text1"/>
          <w:sz w:val="20"/>
        </w:rPr>
        <w:t xml:space="preserve">Figure </w:t>
      </w:r>
      <w:r w:rsidRPr="00175A88">
        <w:rPr>
          <w:i w:val="0"/>
          <w:color w:val="000000" w:themeColor="text1"/>
          <w:sz w:val="20"/>
        </w:rPr>
        <w:fldChar w:fldCharType="begin"/>
      </w:r>
      <w:r w:rsidRPr="00175A88">
        <w:rPr>
          <w:i w:val="0"/>
          <w:color w:val="000000" w:themeColor="text1"/>
          <w:sz w:val="20"/>
        </w:rPr>
        <w:instrText xml:space="preserve"> SEQ Figure \* ARABIC </w:instrText>
      </w:r>
      <w:r w:rsidRPr="00175A88">
        <w:rPr>
          <w:i w:val="0"/>
          <w:color w:val="000000" w:themeColor="text1"/>
          <w:sz w:val="20"/>
        </w:rPr>
        <w:fldChar w:fldCharType="separate"/>
      </w:r>
      <w:r w:rsidRPr="00175A88">
        <w:rPr>
          <w:i w:val="0"/>
          <w:noProof/>
          <w:color w:val="000000" w:themeColor="text1"/>
          <w:sz w:val="20"/>
        </w:rPr>
        <w:t>1</w:t>
      </w:r>
      <w:r w:rsidRPr="00175A88">
        <w:rPr>
          <w:i w:val="0"/>
          <w:color w:val="000000" w:themeColor="text1"/>
          <w:sz w:val="20"/>
        </w:rPr>
        <w:fldChar w:fldCharType="end"/>
      </w:r>
      <w:r w:rsidRPr="00175A88">
        <w:rPr>
          <w:i w:val="0"/>
          <w:color w:val="000000" w:themeColor="text1"/>
          <w:sz w:val="20"/>
        </w:rPr>
        <w:t xml:space="preserve"> Illustration of Kretschmann-Raether excitation of SPPs on a silver film of thickness </w:t>
      </w:r>
      <m:oMath>
        <m:r>
          <m:rPr>
            <m:sty m:val="p"/>
          </m:rPr>
          <w:rPr>
            <w:rFonts w:ascii="Cambria Math" w:hAnsi="Cambria Math"/>
            <w:color w:val="000000" w:themeColor="text1"/>
            <w:sz w:val="20"/>
          </w:rPr>
          <m:t>d</m:t>
        </m:r>
      </m:oMath>
      <w:r w:rsidRPr="00175A88">
        <w:rPr>
          <w:i w:val="0"/>
          <w:color w:val="000000" w:themeColor="text1"/>
          <w:sz w:val="20"/>
        </w:rPr>
        <w:t xml:space="preserve">.  </w:t>
      </w:r>
    </w:p>
    <w:bookmarkEnd w:id="0"/>
    <w:p w14:paraId="5E4CBAE1" w14:textId="7D33533B" w:rsidR="005669EA" w:rsidRPr="00F35690" w:rsidRDefault="005669EA" w:rsidP="005669EA">
      <w:pPr>
        <w:pStyle w:val="SNSynopsisTOC"/>
        <w:spacing w:after="240" w:line="240" w:lineRule="auto"/>
        <w:jc w:val="left"/>
      </w:pPr>
      <w:r w:rsidRPr="00F35690">
        <w:t>The Transfer Matrix Equations</w:t>
      </w:r>
      <w:r w:rsidR="008E7D42">
        <w:rPr>
          <w:vertAlign w:val="superscript"/>
        </w:rPr>
        <w:t>5</w:t>
      </w:r>
      <w:r w:rsidRPr="00F35690">
        <w:t xml:space="preserve"> for an </w:t>
      </w:r>
      <w:r w:rsidRPr="00F35690">
        <w:rPr>
          <w:i/>
        </w:rPr>
        <w:t>L-</w:t>
      </w:r>
      <w:r w:rsidRPr="00F35690">
        <w:t xml:space="preserve">layer structure with variations only along the </w:t>
      </w:r>
      <w:r w:rsidRPr="00F35690">
        <w:rPr>
          <w:i/>
        </w:rPr>
        <w:t>z</w:t>
      </w:r>
      <w:r w:rsidRPr="00F35690">
        <w:t>-axis can be written as</w:t>
      </w:r>
    </w:p>
    <w:p w14:paraId="40AA400D" w14:textId="4C3654AA" w:rsidR="005669EA" w:rsidRPr="00F35690" w:rsidRDefault="00DB69CE" w:rsidP="005669EA">
      <w:pPr>
        <w:pStyle w:val="SNSynopsisTOC"/>
        <w:spacing w:after="240" w:line="240" w:lineRule="auto"/>
        <w:jc w:val="left"/>
      </w:pPr>
      <m:oMathPara>
        <m:oMath>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E</m:t>
                        </m:r>
                      </m:e>
                      <m:sub>
                        <m:r>
                          <w:rPr>
                            <w:rFonts w:ascii="Cambria Math" w:hAnsi="Cambria Math"/>
                          </w:rPr>
                          <m:t>L</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E</m:t>
                        </m:r>
                      </m:e>
                      <m:sub>
                        <m:r>
                          <w:rPr>
                            <w:rFonts w:ascii="Cambria Math" w:hAnsi="Cambria Math"/>
                          </w:rPr>
                          <m:t>L</m:t>
                        </m:r>
                      </m:sub>
                      <m:sup>
                        <m:r>
                          <w:rPr>
                            <w:rFonts w:ascii="Cambria Math" w:hAnsi="Cambria Math"/>
                          </w:rPr>
                          <m:t>-</m:t>
                        </m:r>
                      </m:sup>
                    </m:sSubSup>
                  </m:e>
                </m:mr>
              </m:m>
            </m:e>
          </m:d>
          <m:r>
            <w:rPr>
              <w:rFonts w:ascii="Cambria Math" w:hAnsi="Cambria Math"/>
            </w:rPr>
            <m:t>,          (S10)</m:t>
          </m:r>
        </m:oMath>
      </m:oMathPara>
    </w:p>
    <w:p w14:paraId="5E68054B" w14:textId="77777777" w:rsidR="005669EA" w:rsidRPr="00F35690" w:rsidRDefault="005669EA" w:rsidP="005669EA">
      <w:pPr>
        <w:pStyle w:val="SNSynopsisTOC"/>
        <w:spacing w:after="240" w:line="240" w:lineRule="auto"/>
        <w:jc w:val="left"/>
      </w:pPr>
      <w:r w:rsidRPr="00F35690">
        <w:t xml:space="preserve">where the elements </w:t>
      </w:r>
      <m:oMath>
        <m:sSub>
          <m:sSubPr>
            <m:ctrlPr>
              <w:rPr>
                <w:rFonts w:ascii="Cambria Math" w:hAnsi="Cambria Math"/>
                <w:i/>
              </w:rPr>
            </m:ctrlPr>
          </m:sSubPr>
          <m:e>
            <m:r>
              <w:rPr>
                <w:rFonts w:ascii="Cambria Math" w:hAnsi="Cambria Math"/>
              </w:rPr>
              <m:t>M</m:t>
            </m:r>
          </m:e>
          <m:sub>
            <m:r>
              <w:rPr>
                <w:rFonts w:ascii="Cambria Math" w:hAnsi="Cambria Math"/>
              </w:rPr>
              <m:t>1,1</m:t>
            </m:r>
          </m:sub>
        </m:sSub>
      </m:oMath>
      <w:r w:rsidRPr="00F35690">
        <w:t>depend on the material p</w:t>
      </w:r>
      <w:proofErr w:type="spellStart"/>
      <w:r w:rsidRPr="00F35690">
        <w:t>roperties</w:t>
      </w:r>
      <w:proofErr w:type="spellEnd"/>
      <w:r w:rsidRPr="00F35690">
        <w:t xml:space="preserve"> (i.e. the refractive index </w:t>
      </w:r>
      <w:r w:rsidRPr="00F35690">
        <w:rPr>
          <w:i/>
        </w:rPr>
        <w:t>n</w:t>
      </w:r>
      <w:r w:rsidRPr="00F35690">
        <w:t xml:space="preserve">) and the geometry of each layer, as well as on the frequency and polarization of incident light.  </w:t>
      </w:r>
      <w:r w:rsidRPr="00F35690">
        <w:lastRenderedPageBreak/>
        <w:t xml:space="preserve">This formalism assumes that layer 1 and </w:t>
      </w:r>
      <w:r w:rsidRPr="00F35690">
        <w:rPr>
          <w:i/>
        </w:rPr>
        <w:t>L</w:t>
      </w:r>
      <w:r w:rsidRPr="00F35690">
        <w:t xml:space="preserve"> are semi-</w:t>
      </w:r>
      <w:proofErr w:type="spellStart"/>
      <w:r w:rsidRPr="00F35690">
        <w:t>infinte</w:t>
      </w:r>
      <w:proofErr w:type="spellEnd"/>
      <w:r w:rsidRPr="00F35690">
        <w:t xml:space="preserve"> materials with real refractive indices; however, all intermediate layers have finite thickness and may consist of materials with complex refractive indices.  The 2x2 </w:t>
      </w:r>
      <m:oMath>
        <m:r>
          <m:rPr>
            <m:sty m:val="b"/>
          </m:rPr>
          <w:rPr>
            <w:rFonts w:ascii="Cambria Math" w:hAnsi="Cambria Math"/>
          </w:rPr>
          <m:t>M</m:t>
        </m:r>
      </m:oMath>
      <w:r w:rsidRPr="00F35690">
        <w:rPr>
          <w:b/>
        </w:rPr>
        <w:t xml:space="preserve"> </w:t>
      </w:r>
      <w:r w:rsidRPr="00F35690">
        <w:t>matrix can be computed from the following product of matrices:</w:t>
      </w:r>
    </w:p>
    <w:p w14:paraId="579FEE87" w14:textId="48D125F3" w:rsidR="005669EA" w:rsidRPr="00F35690" w:rsidRDefault="00DB69CE" w:rsidP="005669EA">
      <w:pPr>
        <w:pStyle w:val="SNSynopsisTOC"/>
        <w:spacing w:after="240" w:line="240" w:lineRule="auto"/>
        <w:jc w:val="left"/>
        <w:rPr>
          <w:b/>
        </w:rPr>
      </w:pPr>
      <m:oMathPara>
        <m:oMath>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
                      <m:sSubPr>
                        <m:ctrlPr>
                          <w:rPr>
                            <w:rFonts w:ascii="Cambria Math" w:hAnsi="Cambria Math"/>
                            <w:i/>
                          </w:rPr>
                        </m:ctrlPr>
                      </m:sSubPr>
                      <m:e>
                        <m:r>
                          <w:rPr>
                            <w:rFonts w:ascii="Cambria Math" w:hAnsi="Cambria Math"/>
                          </w:rPr>
                          <m:t>M</m:t>
                        </m:r>
                      </m:e>
                      <m:sub>
                        <m:r>
                          <w:rPr>
                            <w:rFonts w:ascii="Cambria Math" w:hAnsi="Cambria Math"/>
                          </w:rPr>
                          <m:t>1,2</m:t>
                        </m:r>
                      </m:sub>
                    </m:sSub>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mr>
              </m:m>
            </m:e>
          </m:d>
          <m:r>
            <w:rPr>
              <w:rFonts w:ascii="Cambria Math" w:hAnsi="Cambria Math"/>
            </w:rPr>
            <m:t>=</m:t>
          </m:r>
          <m:sSubSup>
            <m:sSubSupPr>
              <m:ctrlPr>
                <w:rPr>
                  <w:rFonts w:ascii="Cambria Math" w:hAnsi="Cambria Math"/>
                  <w:b/>
                </w:rPr>
              </m:ctrlPr>
            </m:sSubSupPr>
            <m:e>
              <m:r>
                <m:rPr>
                  <m:sty m:val="b"/>
                </m:rPr>
                <w:rPr>
                  <w:rFonts w:ascii="Cambria Math" w:hAnsi="Cambria Math"/>
                </w:rPr>
                <m:t>D</m:t>
              </m:r>
            </m:e>
            <m:sub>
              <m:r>
                <m:rPr>
                  <m:sty m:val="p"/>
                </m:rPr>
                <w:rPr>
                  <w:rFonts w:ascii="Cambria Math" w:hAnsi="Cambria Math"/>
                </w:rPr>
                <m:t>1</m:t>
              </m:r>
              <m:ctrlPr>
                <w:rPr>
                  <w:rFonts w:ascii="Cambria Math" w:hAnsi="Cambria Math"/>
                </w:rPr>
              </m:ctrlPr>
            </m:sub>
            <m:sup>
              <m:r>
                <m:rPr>
                  <m:sty m:val="p"/>
                </m:rPr>
                <w:rPr>
                  <w:rFonts w:ascii="Cambria Math" w:hAnsi="Cambria Math"/>
                </w:rPr>
                <m:t>-1</m:t>
              </m:r>
              <m:ctrlPr>
                <w:rPr>
                  <w:rFonts w:ascii="Cambria Math" w:hAnsi="Cambria Math"/>
                </w:rPr>
              </m:ctrlPr>
            </m:sup>
          </m:sSubSup>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l=2</m:t>
                  </m:r>
                </m:sub>
                <m:sup>
                  <m:r>
                    <w:rPr>
                      <w:rFonts w:ascii="Cambria Math" w:hAnsi="Cambria Math"/>
                    </w:rPr>
                    <m:t>L-1</m:t>
                  </m:r>
                </m:sup>
                <m:e>
                  <m:sSub>
                    <m:sSubPr>
                      <m:ctrlPr>
                        <w:rPr>
                          <w:rFonts w:ascii="Cambria Math" w:hAnsi="Cambria Math"/>
                          <w:i/>
                        </w:rPr>
                      </m:ctrlPr>
                    </m:sSubPr>
                    <m:e>
                      <m:r>
                        <m:rPr>
                          <m:sty m:val="b"/>
                        </m:rPr>
                        <w:rPr>
                          <w:rFonts w:ascii="Cambria Math" w:hAnsi="Cambria Math"/>
                        </w:rPr>
                        <m:t>D</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P</m:t>
                      </m:r>
                    </m:e>
                    <m:sub>
                      <m:r>
                        <w:rPr>
                          <w:rFonts w:ascii="Cambria Math" w:hAnsi="Cambria Math"/>
                        </w:rPr>
                        <m:t>l</m:t>
                      </m:r>
                    </m:sub>
                  </m:sSub>
                  <m:r>
                    <w:rPr>
                      <w:rFonts w:ascii="Cambria Math" w:hAnsi="Cambria Math"/>
                    </w:rPr>
                    <m:t xml:space="preserve"> </m:t>
                  </m:r>
                  <m:sSubSup>
                    <m:sSubSupPr>
                      <m:ctrlPr>
                        <w:rPr>
                          <w:rFonts w:ascii="Cambria Math" w:hAnsi="Cambria Math"/>
                          <w:b/>
                        </w:rPr>
                      </m:ctrlPr>
                    </m:sSubSupPr>
                    <m:e>
                      <m:r>
                        <m:rPr>
                          <m:sty m:val="b"/>
                        </m:rPr>
                        <w:rPr>
                          <w:rFonts w:ascii="Cambria Math" w:hAnsi="Cambria Math"/>
                        </w:rPr>
                        <m:t>D</m:t>
                      </m:r>
                    </m:e>
                    <m:sub>
                      <m:r>
                        <w:rPr>
                          <w:rFonts w:ascii="Cambria Math" w:hAnsi="Cambria Math"/>
                        </w:rPr>
                        <m:t>l</m:t>
                      </m:r>
                    </m:sub>
                    <m:sup>
                      <m:r>
                        <m:rPr>
                          <m:sty m:val="b"/>
                        </m:rPr>
                        <w:rPr>
                          <w:rFonts w:ascii="Cambria Math" w:hAnsi="Cambria Math"/>
                        </w:rPr>
                        <m:t>-</m:t>
                      </m:r>
                      <m:r>
                        <m:rPr>
                          <m:sty m:val="p"/>
                        </m:rPr>
                        <w:rPr>
                          <w:rFonts w:ascii="Cambria Math" w:hAnsi="Cambria Math"/>
                        </w:rPr>
                        <m:t>1</m:t>
                      </m:r>
                    </m:sup>
                  </m:sSubSup>
                </m:e>
              </m:nary>
            </m:e>
          </m:d>
          <m:sSub>
            <m:sSubPr>
              <m:ctrlPr>
                <w:rPr>
                  <w:rFonts w:ascii="Cambria Math" w:hAnsi="Cambria Math"/>
                  <w:b/>
                </w:rPr>
              </m:ctrlPr>
            </m:sSubPr>
            <m:e>
              <m:r>
                <m:rPr>
                  <m:sty m:val="b"/>
                </m:rPr>
                <w:rPr>
                  <w:rFonts w:ascii="Cambria Math" w:hAnsi="Cambria Math"/>
                </w:rPr>
                <m:t>D</m:t>
              </m:r>
            </m:e>
            <m:sub>
              <m:r>
                <m:rPr>
                  <m:sty m:val="p"/>
                </m:rPr>
                <w:rPr>
                  <w:rFonts w:ascii="Cambria Math" w:hAnsi="Cambria Math"/>
                </w:rPr>
                <m:t>L</m:t>
              </m:r>
            </m:sub>
          </m:sSub>
          <m:r>
            <m:rPr>
              <m:sty m:val="bi"/>
            </m:rPr>
            <w:rPr>
              <w:rFonts w:ascii="Cambria Math" w:hAnsi="Cambria Math"/>
            </w:rPr>
            <m:t xml:space="preserve">.        </m:t>
          </m:r>
          <m:r>
            <w:rPr>
              <w:rFonts w:ascii="Cambria Math" w:hAnsi="Cambria Math"/>
            </w:rPr>
            <m:t>(S11)</m:t>
          </m:r>
        </m:oMath>
      </m:oMathPara>
    </w:p>
    <w:p w14:paraId="2D8E9A8B" w14:textId="77777777" w:rsidR="005669EA" w:rsidRPr="00F35690" w:rsidRDefault="005669EA" w:rsidP="005669EA">
      <w:pPr>
        <w:pStyle w:val="SNSynopsisTOC"/>
        <w:spacing w:after="240" w:line="240" w:lineRule="auto"/>
        <w:jc w:val="left"/>
      </w:pPr>
      <w:r w:rsidRPr="00F35690">
        <w:t xml:space="preserve">The </w:t>
      </w:r>
      <m:oMath>
        <m:r>
          <m:rPr>
            <m:sty m:val="b"/>
          </m:rPr>
          <w:rPr>
            <w:rFonts w:ascii="Cambria Math" w:hAnsi="Cambria Math"/>
          </w:rPr>
          <m:t>P</m:t>
        </m:r>
      </m:oMath>
      <w:r w:rsidRPr="00F35690">
        <w:rPr>
          <w:b/>
        </w:rPr>
        <w:t xml:space="preserve"> </w:t>
      </w:r>
      <w:r w:rsidRPr="00F35690">
        <w:t>matrix is defined for each finite-thickness layer as</w:t>
      </w:r>
    </w:p>
    <w:p w14:paraId="52CB96BE" w14:textId="7C4B296B" w:rsidR="005669EA" w:rsidRPr="00F35690" w:rsidRDefault="00DB69CE" w:rsidP="005669EA">
      <w:pPr>
        <w:pStyle w:val="SNSynopsisTOC"/>
        <w:spacing w:after="240" w:line="240" w:lineRule="auto"/>
        <w:jc w:val="left"/>
      </w:pPr>
      <m:oMathPara>
        <m:oMath>
          <m:sSub>
            <m:sSubPr>
              <m:ctrlPr>
                <w:rPr>
                  <w:rFonts w:ascii="Cambria Math" w:hAnsi="Cambria Math"/>
                  <w:i/>
                </w:rPr>
              </m:ctrlPr>
            </m:sSubPr>
            <m:e>
              <m:r>
                <m:rPr>
                  <m:sty m:val="b"/>
                </m:rPr>
                <w:rPr>
                  <w:rFonts w:ascii="Cambria Math" w:hAnsi="Cambria Math"/>
                </w:rPr>
                <m:t>P</m:t>
              </m:r>
            </m:e>
            <m:sub>
              <m:r>
                <w:rPr>
                  <w:rFonts w:ascii="Cambria Math" w:hAnsi="Cambria Math"/>
                </w:rPr>
                <m:t>l</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ϕ</m:t>
                                </m:r>
                              </m:e>
                              <m:sub>
                                <m:r>
                                  <w:rPr>
                                    <w:rFonts w:ascii="Cambria Math" w:hAnsi="Cambria Math"/>
                                  </w:rPr>
                                  <m:t>l</m:t>
                                </m:r>
                              </m:sub>
                            </m:sSub>
                          </m:e>
                        </m:d>
                        <m:r>
                          <w:rPr>
                            <w:rFonts w:ascii="Cambria Math" w:hAnsi="Cambria Math"/>
                          </w:rPr>
                          <m:t xml:space="preserve"> </m:t>
                        </m:r>
                      </m:e>
                    </m:func>
                  </m:e>
                  <m:e>
                    <m:r>
                      <w:rPr>
                        <w:rFonts w:ascii="Cambria Math" w:hAnsi="Cambria Math"/>
                      </w:rPr>
                      <m:t>0</m:t>
                    </m:r>
                  </m:e>
                </m:mr>
                <m:mr>
                  <m:e>
                    <m:r>
                      <w:rPr>
                        <w:rFonts w:ascii="Cambria Math" w:hAnsi="Cambria Math"/>
                      </w:rPr>
                      <m:t>0</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 xml:space="preserve">-i </m:t>
                            </m:r>
                            <m:sSub>
                              <m:sSubPr>
                                <m:ctrlPr>
                                  <w:rPr>
                                    <w:rFonts w:ascii="Cambria Math" w:hAnsi="Cambria Math"/>
                                    <w:i/>
                                  </w:rPr>
                                </m:ctrlPr>
                              </m:sSubPr>
                              <m:e>
                                <m:r>
                                  <w:rPr>
                                    <w:rFonts w:ascii="Cambria Math" w:hAnsi="Cambria Math"/>
                                  </w:rPr>
                                  <m:t>ϕ</m:t>
                                </m:r>
                              </m:e>
                              <m:sub>
                                <m:r>
                                  <w:rPr>
                                    <w:rFonts w:ascii="Cambria Math" w:hAnsi="Cambria Math"/>
                                  </w:rPr>
                                  <m:t>l</m:t>
                                </m:r>
                              </m:sub>
                            </m:sSub>
                          </m:e>
                        </m:d>
                        <m:r>
                          <w:rPr>
                            <w:rFonts w:ascii="Cambria Math" w:hAnsi="Cambria Math"/>
                          </w:rPr>
                          <m:t xml:space="preserve"> </m:t>
                        </m:r>
                      </m:e>
                    </m:func>
                  </m:e>
                </m:mr>
              </m:m>
            </m:e>
          </m:d>
          <m:r>
            <w:rPr>
              <w:rFonts w:ascii="Cambria Math" w:hAnsi="Cambria Math"/>
            </w:rPr>
            <m:t>,     (S12)</m:t>
          </m:r>
        </m:oMath>
      </m:oMathPara>
    </w:p>
    <w:p w14:paraId="6762E577" w14:textId="77777777" w:rsidR="005669EA" w:rsidRPr="00F35690" w:rsidRDefault="005669EA" w:rsidP="005669EA">
      <w:pPr>
        <w:pStyle w:val="SNSynopsisTOC"/>
        <w:spacing w:after="240" w:line="240" w:lineRule="auto"/>
        <w:jc w:val="left"/>
      </w:pPr>
      <w:r w:rsidRPr="00F35690">
        <w:t xml:space="preserve">where </w:t>
      </w:r>
      <m:oMath>
        <m:sSub>
          <m:sSubPr>
            <m:ctrlPr>
              <w:rPr>
                <w:rFonts w:ascii="Cambria Math" w:hAnsi="Cambria Math"/>
                <w:i/>
              </w:rPr>
            </m:ctrlPr>
          </m:sSubPr>
          <m:e>
            <m:r>
              <w:rPr>
                <w:rFonts w:ascii="Cambria Math" w:hAnsi="Cambria Math"/>
              </w:rPr>
              <m:t>ϕ</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k</m:t>
            </m:r>
          </m:e>
          <m:sub>
            <w:proofErr w:type="gramStart"/>
            <m:r>
              <w:rPr>
                <w:rFonts w:ascii="Cambria Math" w:hAnsi="Cambria Math"/>
              </w:rPr>
              <m:t>z,l</m:t>
            </m:r>
            <w:proofErr w:type="gramEnd"/>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m:t>
            </m:r>
          </m:sub>
        </m:sSub>
      </m:oMath>
      <w:r w:rsidRPr="00F35690">
        <w:t xml:space="preserve"> where </w:t>
      </w:r>
      <m:oMath>
        <m:sSub>
          <m:sSubPr>
            <m:ctrlPr>
              <w:rPr>
                <w:rFonts w:ascii="Cambria Math" w:hAnsi="Cambria Math"/>
                <w:i/>
              </w:rPr>
            </m:ctrlPr>
          </m:sSubPr>
          <m:e>
            <m:r>
              <w:rPr>
                <w:rFonts w:ascii="Cambria Math" w:hAnsi="Cambria Math"/>
              </w:rPr>
              <m:t>d</m:t>
            </m:r>
          </m:e>
          <m:sub>
            <m:r>
              <w:rPr>
                <w:rFonts w:ascii="Cambria Math" w:hAnsi="Cambria Math"/>
              </w:rPr>
              <m:t>l</m:t>
            </m:r>
          </m:sub>
        </m:sSub>
      </m:oMath>
      <w:r w:rsidRPr="00F35690">
        <w:t xml:space="preserve"> is the thickness of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sidRPr="00F35690">
        <w:t xml:space="preserve"> layer of the structure, </w:t>
      </w:r>
    </w:p>
    <w:p w14:paraId="5809FC64" w14:textId="707EF1F5" w:rsidR="005669EA" w:rsidRPr="00F35690" w:rsidRDefault="00DB69CE" w:rsidP="005669EA">
      <w:pPr>
        <w:pStyle w:val="SNSynopsisTOC"/>
        <w:spacing w:after="240" w:line="240" w:lineRule="auto"/>
        <w:jc w:val="left"/>
      </w:pPr>
      <m:oMathPara>
        <m:oMath>
          <m:sSub>
            <m:sSubPr>
              <m:ctrlPr>
                <w:rPr>
                  <w:rFonts w:ascii="Cambria Math" w:hAnsi="Cambria Math"/>
                  <w:i/>
                </w:rPr>
              </m:ctrlPr>
            </m:sSubPr>
            <m:e>
              <m:r>
                <w:rPr>
                  <w:rFonts w:ascii="Cambria Math" w:hAnsi="Cambria Math"/>
                </w:rPr>
                <m:t>k</m:t>
              </m:r>
            </m:e>
            <m:sub>
              <m:r>
                <w:rPr>
                  <w:rFonts w:ascii="Cambria Math" w:hAnsi="Cambria Math"/>
                </w:rPr>
                <m:t>z,l</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f>
                        <m:fPr>
                          <m:ctrlPr>
                            <w:rPr>
                              <w:rFonts w:ascii="Cambria Math" w:hAnsi="Cambria Math"/>
                              <w:i/>
                            </w:rPr>
                          </m:ctrlPr>
                        </m:fPr>
                        <m:num>
                          <m:r>
                            <w:rPr>
                              <w:rFonts w:ascii="Cambria Math" w:hAnsi="Cambria Math"/>
                            </w:rPr>
                            <m:t>ω</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e>
                      </m:func>
                      <m:f>
                        <m:fPr>
                          <m:ctrlPr>
                            <w:rPr>
                              <w:rFonts w:ascii="Cambria Math" w:hAnsi="Cambria Math"/>
                              <w:i/>
                            </w:rPr>
                          </m:ctrlPr>
                        </m:fPr>
                        <m:num>
                          <m:r>
                            <w:rPr>
                              <w:rFonts w:ascii="Cambria Math" w:hAnsi="Cambria Math"/>
                            </w:rPr>
                            <m:t>ω</m:t>
                          </m:r>
                        </m:num>
                        <m:den>
                          <m:r>
                            <w:rPr>
                              <w:rFonts w:ascii="Cambria Math" w:hAnsi="Cambria Math"/>
                            </w:rPr>
                            <m:t>c</m:t>
                          </m:r>
                        </m:den>
                      </m:f>
                    </m:e>
                  </m:d>
                </m:e>
                <m:sup>
                  <m:r>
                    <w:rPr>
                      <w:rFonts w:ascii="Cambria Math" w:hAnsi="Cambria Math"/>
                    </w:rPr>
                    <m:t>2</m:t>
                  </m:r>
                </m:sup>
              </m:sSup>
            </m:e>
          </m:rad>
          <m:r>
            <w:rPr>
              <w:rFonts w:ascii="Cambria Math" w:hAnsi="Cambria Math"/>
            </w:rPr>
            <m:t>,        (S13)</m:t>
          </m:r>
        </m:oMath>
      </m:oMathPara>
    </w:p>
    <w:p w14:paraId="12247354" w14:textId="77777777" w:rsidR="005669EA" w:rsidRPr="00F35690" w:rsidRDefault="00DB69CE" w:rsidP="005669EA">
      <w:pPr>
        <w:pStyle w:val="SNSynopsisTOC"/>
        <w:spacing w:after="240" w:line="240" w:lineRule="auto"/>
        <w:jc w:val="left"/>
      </w:pP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oMath>
      <w:r w:rsidR="005669EA" w:rsidRPr="00F35690">
        <w:t>is the angle of inciden</w:t>
      </w:r>
      <w:proofErr w:type="spellStart"/>
      <w:r w:rsidR="005669EA" w:rsidRPr="00F35690">
        <w:t>ce</w:t>
      </w:r>
      <w:proofErr w:type="spellEnd"/>
      <w:r w:rsidR="005669EA" w:rsidRPr="00F35690">
        <w:t xml:space="preserve"> of light at frequency </w:t>
      </w:r>
      <m:oMath>
        <m:r>
          <w:rPr>
            <w:rFonts w:ascii="Cambria Math" w:hAnsi="Cambria Math"/>
          </w:rPr>
          <m:t>ω</m:t>
        </m:r>
      </m:oMath>
      <w:r w:rsidR="005669EA" w:rsidRPr="00F35690">
        <w:t xml:space="preserve"> upon the structure and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rsidR="005669EA" w:rsidRPr="00F35690">
        <w:t xml:space="preserve"> is the refractive index of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sidR="005669EA" w:rsidRPr="00F35690">
        <w:t xml:space="preserve"> layer at frequency </w:t>
      </w:r>
      <w:proofErr w:type="gramStart"/>
      <m:oMath>
        <m:r>
          <w:rPr>
            <w:rFonts w:ascii="Cambria Math" w:hAnsi="Cambria Math"/>
          </w:rPr>
          <m:t>ω.</m:t>
        </m:r>
      </m:oMath>
      <w:proofErr w:type="gramEnd"/>
      <w:r w:rsidR="005669EA" w:rsidRPr="00F35690">
        <w:t xml:space="preserve">  If the incident light is s-polarized, then the </w:t>
      </w:r>
      <m:oMath>
        <m:r>
          <m:rPr>
            <m:sty m:val="b"/>
          </m:rPr>
          <w:rPr>
            <w:rFonts w:ascii="Cambria Math" w:hAnsi="Cambria Math"/>
          </w:rPr>
          <m:t>D</m:t>
        </m:r>
      </m:oMath>
      <w:r w:rsidR="005669EA" w:rsidRPr="00F35690">
        <w:rPr>
          <w:b/>
        </w:rPr>
        <w:t xml:space="preserve"> </w:t>
      </w:r>
      <w:r w:rsidR="005669EA" w:rsidRPr="00F35690">
        <w:t xml:space="preserve">matrix for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sidR="005669EA" w:rsidRPr="00F35690">
        <w:t xml:space="preserve"> layer has the form </w:t>
      </w:r>
    </w:p>
    <w:p w14:paraId="1B691FAE" w14:textId="37092109" w:rsidR="005669EA" w:rsidRPr="00F35690" w:rsidRDefault="00DB69CE" w:rsidP="005669EA">
      <w:pPr>
        <w:pStyle w:val="SNSynopsisTOC"/>
        <w:spacing w:after="240" w:line="240" w:lineRule="auto"/>
        <w:jc w:val="left"/>
      </w:pPr>
      <m:oMathPara>
        <m:oMath>
          <m:sSub>
            <m:sSubPr>
              <m:ctrlPr>
                <w:rPr>
                  <w:rFonts w:ascii="Cambria Math" w:hAnsi="Cambria Math"/>
                </w:rPr>
              </m:ctrlPr>
            </m:sSubPr>
            <m:e>
              <m:r>
                <m:rPr>
                  <m:sty m:val="b"/>
                </m:rPr>
                <w:rPr>
                  <w:rFonts w:ascii="Cambria Math" w:hAnsi="Cambria Math"/>
                </w:rPr>
                <m:t>D</m:t>
              </m:r>
              <m:ctrlPr>
                <w:rPr>
                  <w:rFonts w:ascii="Cambria Math" w:hAnsi="Cambria Math"/>
                  <w:b/>
                </w:rPr>
              </m:ctrlPr>
            </m:e>
            <m:sub>
              <m:r>
                <w:rPr>
                  <w:rFonts w:ascii="Cambria Math" w:hAnsi="Cambria Math"/>
                </w:rPr>
                <m:t>l</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sSub>
                      <m:sSubPr>
                        <m:ctrlPr>
                          <w:rPr>
                            <w:rFonts w:ascii="Cambria Math" w:hAnsi="Cambria Math"/>
                            <w:i/>
                          </w:rPr>
                        </m:ctrlPr>
                      </m:sSubPr>
                      <m:e>
                        <m:r>
                          <w:rPr>
                            <w:rFonts w:ascii="Cambria Math" w:hAnsi="Cambria Math"/>
                          </w:rPr>
                          <m:t>n</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e>
                    </m:func>
                  </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e>
                    </m:func>
                  </m:e>
                </m:mr>
              </m:m>
            </m:e>
          </m:d>
          <m:r>
            <w:rPr>
              <w:rFonts w:ascii="Cambria Math" w:hAnsi="Cambria Math"/>
            </w:rPr>
            <m:t>,      (S14)</m:t>
          </m:r>
        </m:oMath>
      </m:oMathPara>
    </w:p>
    <w:p w14:paraId="2AF11899" w14:textId="77777777" w:rsidR="005669EA" w:rsidRPr="00F35690" w:rsidRDefault="005669EA" w:rsidP="005669EA">
      <w:pPr>
        <w:pStyle w:val="SNSynopsisTOC"/>
        <w:spacing w:after="240" w:line="240" w:lineRule="auto"/>
        <w:jc w:val="left"/>
      </w:pPr>
      <w:r w:rsidRPr="00F35690">
        <w:t xml:space="preserve">while if the light is p-polarized, the </w:t>
      </w:r>
      <m:oMath>
        <m:r>
          <m:rPr>
            <m:sty m:val="b"/>
          </m:rPr>
          <w:rPr>
            <w:rFonts w:ascii="Cambria Math" w:hAnsi="Cambria Math"/>
          </w:rPr>
          <m:t>D</m:t>
        </m:r>
      </m:oMath>
      <w:r w:rsidRPr="00F35690">
        <w:rPr>
          <w:b/>
        </w:rPr>
        <w:t xml:space="preserve"> </w:t>
      </w:r>
      <w:r w:rsidRPr="00F35690">
        <w:t xml:space="preserve">matrix for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sidRPr="00F35690">
        <w:t xml:space="preserve"> layer has the form </w:t>
      </w:r>
    </w:p>
    <w:p w14:paraId="7E497CDF" w14:textId="1B28ACCE" w:rsidR="005669EA" w:rsidRPr="00F35690" w:rsidRDefault="00DB69CE" w:rsidP="005669EA">
      <w:pPr>
        <w:pStyle w:val="SNSynopsisTOC"/>
        <w:spacing w:after="240" w:line="240" w:lineRule="auto"/>
        <w:jc w:val="left"/>
      </w:pPr>
      <m:oMathPara>
        <m:oMath>
          <m:sSub>
            <m:sSubPr>
              <m:ctrlPr>
                <w:rPr>
                  <w:rFonts w:ascii="Cambria Math" w:hAnsi="Cambria Math"/>
                </w:rPr>
              </m:ctrlPr>
            </m:sSubPr>
            <m:e>
              <m:r>
                <m:rPr>
                  <m:sty m:val="b"/>
                </m:rPr>
                <w:rPr>
                  <w:rFonts w:ascii="Cambria Math" w:hAnsi="Cambria Math"/>
                </w:rPr>
                <m:t>D</m:t>
              </m:r>
              <m:ctrlPr>
                <w:rPr>
                  <w:rFonts w:ascii="Cambria Math" w:hAnsi="Cambria Math"/>
                  <w:b/>
                </w:rPr>
              </m:ctrlPr>
            </m:e>
            <m:sub>
              <m:r>
                <w:rPr>
                  <w:rFonts w:ascii="Cambria Math" w:hAnsi="Cambria Math"/>
                </w:rPr>
                <m:t>l</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e>
                  <m:e>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l</m:t>
                        </m:r>
                      </m:sub>
                    </m:sSub>
                  </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m:t>
                        </m:r>
                      </m:sub>
                    </m:sSub>
                  </m:e>
                </m:mr>
              </m:m>
            </m:e>
          </m:d>
          <m:r>
            <w:rPr>
              <w:rFonts w:ascii="Cambria Math" w:hAnsi="Cambria Math"/>
            </w:rPr>
            <m:t>,       (S15)</m:t>
          </m:r>
        </m:oMath>
      </m:oMathPara>
    </w:p>
    <w:p w14:paraId="6448684D" w14:textId="77777777" w:rsidR="005669EA" w:rsidRPr="00F35690" w:rsidRDefault="005669EA" w:rsidP="005669EA">
      <w:pPr>
        <w:pStyle w:val="SNSynopsisTOC"/>
        <w:spacing w:after="240" w:line="240" w:lineRule="auto"/>
        <w:jc w:val="left"/>
      </w:pPr>
      <w:r w:rsidRPr="00F35690">
        <w:t xml:space="preserve">where </w:t>
      </w:r>
      <m:oMath>
        <m:sSub>
          <m:sSubPr>
            <m:ctrlPr>
              <w:rPr>
                <w:rFonts w:ascii="Cambria Math" w:hAnsi="Cambria Math"/>
                <w:i/>
              </w:rPr>
            </m:ctrlPr>
          </m:sSubPr>
          <m:e>
            <m:r>
              <w:rPr>
                <w:rFonts w:ascii="Cambria Math" w:hAnsi="Cambria Math"/>
              </w:rPr>
              <m:t>θ</m:t>
            </m:r>
          </m:e>
          <m:sub>
            <m:r>
              <w:rPr>
                <w:rFonts w:ascii="Cambria Math" w:hAnsi="Cambria Math"/>
              </w:rPr>
              <m:t>l</m:t>
            </m:r>
          </m:sub>
        </m:sSub>
      </m:oMath>
      <w:r w:rsidRPr="00F35690">
        <w:t xml:space="preserve"> is the refraction angle in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sidRPr="00F35690">
        <w:t xml:space="preserve"> layer determined by Snell’s law.</w:t>
      </w:r>
    </w:p>
    <w:p w14:paraId="48D64463" w14:textId="77777777" w:rsidR="005669EA" w:rsidRPr="00F35690" w:rsidRDefault="005669EA" w:rsidP="005669EA">
      <w:pPr>
        <w:pStyle w:val="SNSynopsisTOC"/>
        <w:spacing w:after="240" w:line="240" w:lineRule="auto"/>
        <w:jc w:val="left"/>
      </w:pPr>
      <w:r w:rsidRPr="00F35690">
        <w:t xml:space="preserve">The amplitudes </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oMath>
      <w:r w:rsidRPr="00F35690">
        <w:t xml:space="preserve">and </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oMath>
      <w:r w:rsidRPr="00F35690">
        <w:t xml:space="preserve">  are interpreted as the incoming and outgoing wave amplitudes on the incident side, respectively; similarly, </w:t>
      </w:r>
      <m:oMath>
        <m:sSubSup>
          <m:sSubSupPr>
            <m:ctrlPr>
              <w:rPr>
                <w:rFonts w:ascii="Cambria Math" w:hAnsi="Cambria Math"/>
                <w:i/>
              </w:rPr>
            </m:ctrlPr>
          </m:sSubSupPr>
          <m:e>
            <m:r>
              <w:rPr>
                <w:rFonts w:ascii="Cambria Math" w:hAnsi="Cambria Math"/>
              </w:rPr>
              <m:t>E</m:t>
            </m:r>
          </m:e>
          <m:sub>
            <m:r>
              <w:rPr>
                <w:rFonts w:ascii="Cambria Math" w:hAnsi="Cambria Math"/>
              </w:rPr>
              <m:t>L</m:t>
            </m:r>
          </m:sub>
          <m:sup>
            <m:r>
              <w:rPr>
                <w:rFonts w:ascii="Cambria Math" w:hAnsi="Cambria Math"/>
              </w:rPr>
              <m:t>-</m:t>
            </m:r>
          </m:sup>
        </m:sSubSup>
      </m:oMath>
      <w:r w:rsidRPr="00F35690">
        <w:t xml:space="preserve">and </w:t>
      </w:r>
      <m:oMath>
        <m:sSubSup>
          <m:sSubSupPr>
            <m:ctrlPr>
              <w:rPr>
                <w:rFonts w:ascii="Cambria Math" w:hAnsi="Cambria Math"/>
                <w:i/>
              </w:rPr>
            </m:ctrlPr>
          </m:sSubSupPr>
          <m:e>
            <m:r>
              <w:rPr>
                <w:rFonts w:ascii="Cambria Math" w:hAnsi="Cambria Math"/>
              </w:rPr>
              <m:t>E</m:t>
            </m:r>
          </m:e>
          <m:sub>
            <m:r>
              <w:rPr>
                <w:rFonts w:ascii="Cambria Math" w:hAnsi="Cambria Math"/>
              </w:rPr>
              <m:t>L</m:t>
            </m:r>
          </m:sub>
          <m:sup>
            <m:r>
              <w:rPr>
                <w:rFonts w:ascii="Cambria Math" w:hAnsi="Cambria Math"/>
              </w:rPr>
              <m:t>+</m:t>
            </m:r>
          </m:sup>
        </m:sSubSup>
      </m:oMath>
      <w:r w:rsidRPr="00F35690">
        <w:t xml:space="preserve">  are interpreted is the incoming and outgoing wave amplitudes on the terminal side, respectively.  With access to the field amplitudes and wavevectors, a number of useful quantities may be computed.  For example, the Fresnel reflection and transmission amplitudes may be computed as </w:t>
      </w:r>
      <m:oMath>
        <m:r>
          <w:rPr>
            <w:rFonts w:ascii="Cambria Math" w:hAnsi="Cambria Math"/>
          </w:rPr>
          <m:t>r=</m:t>
        </m:r>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num>
          <m:den>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den>
        </m:f>
      </m:oMath>
      <w:r w:rsidRPr="00F35690">
        <w:t xml:space="preserve"> and </w:t>
      </w:r>
      <m:oMath>
        <m:r>
          <w:rPr>
            <w:rFonts w:ascii="Cambria Math" w:hAnsi="Cambria Math"/>
          </w:rPr>
          <m:t>t=</m:t>
        </m:r>
        <m:sSubSup>
          <m:sSubSupPr>
            <m:ctrlPr>
              <w:rPr>
                <w:rFonts w:ascii="Cambria Math" w:hAnsi="Cambria Math"/>
                <w:i/>
              </w:rPr>
            </m:ctrlPr>
          </m:sSubSupPr>
          <m:e>
            <m:r>
              <w:rPr>
                <w:rFonts w:ascii="Cambria Math" w:hAnsi="Cambria Math"/>
              </w:rPr>
              <m:t>E</m:t>
            </m:r>
          </m:e>
          <m:sub>
            <m:r>
              <w:rPr>
                <w:rFonts w:ascii="Cambria Math" w:hAnsi="Cambria Math"/>
              </w:rPr>
              <m:t>L</m:t>
            </m:r>
          </m:sub>
          <m:sup>
            <m:r>
              <w:rPr>
                <w:rFonts w:ascii="Cambria Math" w:hAnsi="Cambria Math"/>
              </w:rPr>
              <m:t>+</m:t>
            </m:r>
          </m:sup>
        </m:sSubSup>
      </m:oMath>
      <w:r w:rsidRPr="00F35690">
        <w:t xml:space="preserve">.  For the analysis of reflection experiments, </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r>
          <w:rPr>
            <w:rFonts w:ascii="Cambria Math" w:hAnsi="Cambria Math"/>
          </w:rPr>
          <m:t>= 1</m:t>
        </m:r>
      </m:oMath>
      <w:r w:rsidRPr="00F35690">
        <w:t xml:space="preserve"> and </w:t>
      </w:r>
      <m:oMath>
        <m:sSubSup>
          <m:sSubSupPr>
            <m:ctrlPr>
              <w:rPr>
                <w:rFonts w:ascii="Cambria Math" w:hAnsi="Cambria Math"/>
                <w:i/>
              </w:rPr>
            </m:ctrlPr>
          </m:sSubSupPr>
          <m:e>
            <m:r>
              <w:rPr>
                <w:rFonts w:ascii="Cambria Math" w:hAnsi="Cambria Math"/>
              </w:rPr>
              <m:t>E</m:t>
            </m:r>
          </m:e>
          <m:sub>
            <m:r>
              <w:rPr>
                <w:rFonts w:ascii="Cambria Math" w:hAnsi="Cambria Math"/>
              </w:rPr>
              <m:t>L</m:t>
            </m:r>
          </m:sub>
          <m:sup>
            <m:r>
              <w:rPr>
                <w:rFonts w:ascii="Cambria Math" w:hAnsi="Cambria Math"/>
              </w:rPr>
              <m:t>-</m:t>
            </m:r>
          </m:sup>
        </m:sSubSup>
        <m:r>
          <w:rPr>
            <w:rFonts w:ascii="Cambria Math" w:hAnsi="Cambria Math"/>
          </w:rPr>
          <m:t>= 0</m:t>
        </m:r>
      </m:oMath>
      <w:r w:rsidRPr="00F35690">
        <w:t xml:space="preserve"> by convention.  Consideration of Eq. (S1) under these conditions leads to expressions for the reflection and transmission amplitudes in terms of the elements of the </w:t>
      </w:r>
      <m:oMath>
        <m:r>
          <m:rPr>
            <m:sty m:val="b"/>
          </m:rPr>
          <w:rPr>
            <w:rFonts w:ascii="Cambria Math" w:hAnsi="Cambria Math"/>
          </w:rPr>
          <m:t>M</m:t>
        </m:r>
      </m:oMath>
      <w:r w:rsidRPr="00F35690">
        <w:rPr>
          <w:b/>
        </w:rPr>
        <w:t xml:space="preserve"> </w:t>
      </w:r>
      <w:r w:rsidRPr="00F35690">
        <w:t>matrix,</w:t>
      </w:r>
    </w:p>
    <w:p w14:paraId="5F0A71D0" w14:textId="23AB74E3" w:rsidR="005669EA" w:rsidRPr="00F35690" w:rsidRDefault="005669EA" w:rsidP="005669EA">
      <w:pPr>
        <w:pStyle w:val="SNSynopsisTOC"/>
        <w:spacing w:after="240" w:line="240" w:lineRule="auto"/>
        <w:jc w:val="left"/>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2,1</m:t>
                  </m:r>
                </m:sub>
              </m:sSub>
            </m:num>
            <m:den>
              <m:sSub>
                <m:sSubPr>
                  <m:ctrlPr>
                    <w:rPr>
                      <w:rFonts w:ascii="Cambria Math" w:hAnsi="Cambria Math"/>
                      <w:i/>
                    </w:rPr>
                  </m:ctrlPr>
                </m:sSubPr>
                <m:e>
                  <m:r>
                    <w:rPr>
                      <w:rFonts w:ascii="Cambria Math" w:hAnsi="Cambria Math"/>
                    </w:rPr>
                    <m:t>M</m:t>
                  </m:r>
                </m:e>
                <m:sub>
                  <m:r>
                    <w:rPr>
                      <w:rFonts w:ascii="Cambria Math" w:hAnsi="Cambria Math"/>
                    </w:rPr>
                    <m:t>1,1</m:t>
                  </m:r>
                </m:sub>
              </m:sSub>
            </m:den>
          </m:f>
          <m:r>
            <w:rPr>
              <w:rFonts w:ascii="Cambria Math" w:hAnsi="Cambria Math"/>
            </w:rPr>
            <m:t xml:space="preserve">        (S16)</m:t>
          </m:r>
        </m:oMath>
      </m:oMathPara>
    </w:p>
    <w:p w14:paraId="2EBD2F53" w14:textId="0DFA0531" w:rsidR="005669EA" w:rsidRPr="00F35690" w:rsidRDefault="005669EA" w:rsidP="005669EA">
      <w:pPr>
        <w:pStyle w:val="SNSynopsisTOC"/>
        <w:spacing w:after="240" w:line="240" w:lineRule="auto"/>
        <w:jc w:val="left"/>
      </w:pPr>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1,1</m:t>
                  </m:r>
                </m:sub>
              </m:sSub>
            </m:den>
          </m:f>
          <m:r>
            <w:rPr>
              <w:rFonts w:ascii="Cambria Math" w:hAnsi="Cambria Math"/>
            </w:rPr>
            <m:t>.      (S17)</m:t>
          </m:r>
        </m:oMath>
      </m:oMathPara>
    </w:p>
    <w:p w14:paraId="2ACD592C" w14:textId="6155353F" w:rsidR="005669EA" w:rsidRPr="00F35690" w:rsidRDefault="005669EA" w:rsidP="005669EA">
      <w:pPr>
        <w:pStyle w:val="SNSynopsisTOC"/>
        <w:spacing w:after="240" w:line="240" w:lineRule="auto"/>
        <w:jc w:val="left"/>
      </w:pPr>
      <w:r w:rsidRPr="00F35690">
        <w:t xml:space="preserve">    The reflection can then be calculated as </w:t>
      </w:r>
      <m:oMath>
        <m:r>
          <w:rPr>
            <w:rFonts w:ascii="Cambria Math" w:hAnsi="Cambria Math"/>
          </w:rPr>
          <m:t xml:space="preserve">R </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r</m:t>
                </m:r>
              </m:e>
            </m:d>
          </m:e>
          <m:sup>
            <m:r>
              <w:rPr>
                <w:rFonts w:ascii="Cambria Math" w:hAnsi="Cambria Math"/>
              </w:rPr>
              <m:t>2</m:t>
            </m:r>
          </m:sup>
        </m:sSup>
        <m:r>
          <w:rPr>
            <w:rFonts w:ascii="Cambria Math" w:hAnsi="Cambria Math"/>
          </w:rPr>
          <m:t xml:space="preserve">, </m:t>
        </m:r>
      </m:oMath>
      <w:r w:rsidRPr="00F35690">
        <w:t xml:space="preserve"> the transmission as </w:t>
      </w:r>
      <m:oMath>
        <m:r>
          <w:rPr>
            <w:rFonts w:ascii="Cambria Math" w:hAnsi="Cambria Math"/>
          </w:rPr>
          <m:t>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e>
            </m:d>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L</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e>
            </m:func>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den>
        </m:f>
        <m:r>
          <w:rPr>
            <w:rFonts w:ascii="Cambria Math" w:hAnsi="Cambria Math"/>
          </w:rPr>
          <m:t>.</m:t>
        </m:r>
      </m:oMath>
      <w:r w:rsidRPr="00F35690">
        <w:t xml:space="preserve">  The absorption at a given frequency, which can be taken to be equal to the emissivity by Kirchoff’s law, can simply be computed as </w:t>
      </w:r>
      <m:oMath>
        <m:r>
          <w:rPr>
            <w:rFonts w:ascii="Cambria Math" w:hAnsi="Cambria Math"/>
          </w:rPr>
          <m:t>ϵ</m:t>
        </m:r>
        <m:d>
          <m:dPr>
            <m:ctrlPr>
              <w:rPr>
                <w:rFonts w:ascii="Cambria Math" w:hAnsi="Cambria Math"/>
                <w:i/>
              </w:rPr>
            </m:ctrlPr>
          </m:dPr>
          <m:e>
            <m:r>
              <w:rPr>
                <w:rFonts w:ascii="Cambria Math" w:hAnsi="Cambria Math"/>
              </w:rPr>
              <m:t>ω</m:t>
            </m:r>
          </m:e>
        </m:d>
        <m:r>
          <w:rPr>
            <w:rFonts w:ascii="Cambria Math" w:hAnsi="Cambria Math"/>
          </w:rPr>
          <m:t>= A</m:t>
        </m:r>
        <m:d>
          <m:dPr>
            <m:ctrlPr>
              <w:rPr>
                <w:rFonts w:ascii="Cambria Math" w:hAnsi="Cambria Math"/>
                <w:i/>
              </w:rPr>
            </m:ctrlPr>
          </m:dPr>
          <m:e>
            <m:r>
              <w:rPr>
                <w:rFonts w:ascii="Cambria Math" w:hAnsi="Cambria Math"/>
              </w:rPr>
              <m:t>ω</m:t>
            </m:r>
          </m:e>
        </m:d>
        <m:r>
          <w:rPr>
            <w:rFonts w:ascii="Cambria Math" w:hAnsi="Cambria Math"/>
          </w:rPr>
          <m:t>= 1-T</m:t>
        </m:r>
        <m:d>
          <m:dPr>
            <m:ctrlPr>
              <w:rPr>
                <w:rFonts w:ascii="Cambria Math" w:hAnsi="Cambria Math"/>
                <w:i/>
              </w:rPr>
            </m:ctrlPr>
          </m:dPr>
          <m:e>
            <m:r>
              <w:rPr>
                <w:rFonts w:ascii="Cambria Math" w:hAnsi="Cambria Math"/>
              </w:rPr>
              <m:t>ω</m:t>
            </m:r>
          </m:e>
        </m:d>
        <m:r>
          <w:rPr>
            <w:rFonts w:ascii="Cambria Math" w:hAnsi="Cambria Math"/>
          </w:rPr>
          <m:t>- R</m:t>
        </m:r>
        <m:d>
          <m:dPr>
            <m:ctrlPr>
              <w:rPr>
                <w:rFonts w:ascii="Cambria Math" w:hAnsi="Cambria Math"/>
                <w:i/>
              </w:rPr>
            </m:ctrlPr>
          </m:dPr>
          <m:e>
            <m:r>
              <w:rPr>
                <w:rFonts w:ascii="Cambria Math" w:hAnsi="Cambria Math"/>
              </w:rPr>
              <m:t>ω</m:t>
            </m:r>
          </m:e>
        </m:d>
        <m:r>
          <w:rPr>
            <w:rFonts w:ascii="Cambria Math" w:hAnsi="Cambria Math"/>
          </w:rPr>
          <m:t xml:space="preserve">.  </m:t>
        </m:r>
      </m:oMath>
      <w:r w:rsidRPr="00F35690">
        <w:t xml:space="preserve">The transfer matrix equations can be used to compute the stored energy of the Bragg </w:t>
      </w:r>
      <w:proofErr w:type="spellStart"/>
      <w:r w:rsidRPr="00F35690">
        <w:t>Relector</w:t>
      </w:r>
      <w:proofErr w:type="spellEnd"/>
      <w:r w:rsidRPr="00F35690">
        <w:t xml:space="preserve"> (</w:t>
      </w:r>
      <m:oMath>
        <m:sSub>
          <m:sSubPr>
            <m:ctrlPr>
              <w:rPr>
                <w:rFonts w:ascii="Cambria Math" w:hAnsi="Cambria Math"/>
                <w:i/>
              </w:rPr>
            </m:ctrlPr>
          </m:sSubPr>
          <m:e>
            <m:r>
              <w:rPr>
                <w:rFonts w:ascii="Cambria Math" w:hAnsi="Cambria Math"/>
              </w:rPr>
              <m:t>P</m:t>
            </m:r>
          </m:e>
          <m:sub>
            <m:r>
              <w:rPr>
                <w:rFonts w:ascii="Cambria Math" w:hAnsi="Cambria Math"/>
              </w:rPr>
              <m:t>BR</m:t>
            </m:r>
          </m:sub>
        </m:sSub>
        <m:d>
          <m:dPr>
            <m:ctrlPr>
              <w:rPr>
                <w:rFonts w:ascii="Cambria Math" w:hAnsi="Cambria Math"/>
                <w:i/>
              </w:rPr>
            </m:ctrlPr>
          </m:dPr>
          <m:e>
            <m:r>
              <w:rPr>
                <w:rFonts w:ascii="Cambria Math" w:hAnsi="Cambria Math"/>
              </w:rPr>
              <m:t>ω</m:t>
            </m:r>
          </m:e>
        </m:d>
      </m:oMath>
      <w:r w:rsidRPr="00F35690">
        <w:t>) as well, which is a key quantity for assessing the degree of critical coupling.  Following the discussion by Piper and Fan</w:t>
      </w:r>
      <w:r w:rsidR="008E7D42">
        <w:rPr>
          <w:vertAlign w:val="superscript"/>
        </w:rPr>
        <w:t>6</w:t>
      </w:r>
      <w:r w:rsidRPr="00F35690">
        <w:t>, the amplitude associated with the stored energy in a lossless resonant reflector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Pr="00F35690">
        <w:t xml:space="preserve">) can be related to the incoming and outgoing wave amplitudes according to </w:t>
      </w:r>
    </w:p>
    <w:p w14:paraId="22E2B48B" w14:textId="377BA4E2" w:rsidR="005669EA" w:rsidRPr="00F35690" w:rsidRDefault="00DB69CE" w:rsidP="005669EA">
      <w:pPr>
        <w:pStyle w:val="SNSynopsisTOC"/>
        <w:spacing w:after="240" w:line="240"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l</m:t>
                              </m:r>
                            </m:sub>
                          </m:sSub>
                        </m:e>
                      </m:rad>
                    </m:den>
                  </m:f>
                </m:e>
              </m:d>
            </m:e>
            <m:sup>
              <m:r>
                <w:rPr>
                  <w:rFonts w:ascii="Cambria Math" w:hAnsi="Cambria Math"/>
                </w:rPr>
                <m:t>2</m:t>
              </m:r>
            </m:sup>
          </m:sSup>
          <m:r>
            <w:rPr>
              <w:rFonts w:ascii="Cambria Math" w:hAnsi="Cambria Math"/>
            </w:rPr>
            <m:t xml:space="preserve">      (S18)</m:t>
          </m:r>
        </m:oMath>
      </m:oMathPara>
    </w:p>
    <w:p w14:paraId="6E34FDE1" w14:textId="2649E758" w:rsidR="005669EA" w:rsidRPr="00F35690" w:rsidRDefault="005669EA" w:rsidP="005669EA">
      <w:pPr>
        <w:pStyle w:val="SNSynopsisTOC"/>
        <w:spacing w:after="240" w:line="240" w:lineRule="auto"/>
        <w:jc w:val="left"/>
      </w:pPr>
      <w:r w:rsidRPr="00F35690">
        <w:t xml:space="preserve">where </w:t>
      </w:r>
      <m:oMath>
        <m:sSub>
          <m:sSubPr>
            <m:ctrlPr>
              <w:rPr>
                <w:rFonts w:ascii="Cambria Math" w:hAnsi="Cambria Math"/>
                <w:i/>
              </w:rPr>
            </m:ctrlPr>
          </m:sSubPr>
          <m:e>
            <m:r>
              <w:rPr>
                <w:rFonts w:ascii="Cambria Math" w:hAnsi="Cambria Math"/>
              </w:rPr>
              <m:t>γ</m:t>
            </m:r>
          </m:e>
          <m:sub>
            <m:r>
              <w:rPr>
                <w:rFonts w:ascii="Cambria Math" w:hAnsi="Cambria Math"/>
              </w:rPr>
              <m:t>l</m:t>
            </m:r>
          </m:sub>
        </m:sSub>
      </m:oMath>
      <w:r w:rsidRPr="00F35690">
        <w:t xml:space="preserve"> is the leakage rate associated with the Bragg reflector.  From Eq. S</w:t>
      </w:r>
      <w:r w:rsidR="00297F1C">
        <w:t>10</w:t>
      </w:r>
      <w:r w:rsidRPr="00F35690">
        <w:t>, the stored energy spectrum can be calculated for a given frequency as</w:t>
      </w:r>
    </w:p>
    <w:p w14:paraId="01FC8239" w14:textId="1FE83DCD" w:rsidR="005669EA" w:rsidRPr="00F35690" w:rsidRDefault="00DB69CE" w:rsidP="005669EA">
      <w:pPr>
        <w:pStyle w:val="SNSynopsisTOC"/>
        <w:spacing w:after="240" w:line="240" w:lineRule="auto"/>
        <w:jc w:val="center"/>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r+1</m:t>
                  </m:r>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m:t>
                  </m:r>
                </m:e>
              </m:d>
            </m:num>
            <m:den>
              <m:r>
                <w:rPr>
                  <w:rFonts w:ascii="Cambria Math" w:hAnsi="Cambria Math"/>
                </w:rPr>
                <m:t>2</m:t>
              </m:r>
              <m:sSub>
                <m:sSubPr>
                  <m:ctrlPr>
                    <w:rPr>
                      <w:rFonts w:ascii="Cambria Math" w:hAnsi="Cambria Math"/>
                      <w:i/>
                    </w:rPr>
                  </m:ctrlPr>
                </m:sSubPr>
                <m:e>
                  <m:r>
                    <w:rPr>
                      <w:rFonts w:ascii="Cambria Math" w:hAnsi="Cambria Math"/>
                    </w:rPr>
                    <m:t>γ</m:t>
                  </m:r>
                </m:e>
                <m:sub>
                  <m:r>
                    <w:rPr>
                      <w:rFonts w:ascii="Cambria Math" w:hAnsi="Cambria Math"/>
                    </w:rPr>
                    <m:t>l</m:t>
                  </m:r>
                </m:sub>
              </m:sSub>
            </m:den>
          </m:f>
          <m:r>
            <w:rPr>
              <w:rFonts w:ascii="Cambria Math" w:hAnsi="Cambria Math"/>
            </w:rPr>
            <m:t>.       (S19)</m:t>
          </m:r>
        </m:oMath>
      </m:oMathPara>
    </w:p>
    <w:p w14:paraId="4F1C8452" w14:textId="77777777" w:rsidR="00620016" w:rsidRDefault="00620016" w:rsidP="00620016">
      <w:pPr>
        <w:rPr>
          <w:b/>
        </w:rPr>
      </w:pPr>
    </w:p>
    <w:p w14:paraId="140D1FCD" w14:textId="77777777" w:rsidR="00620016" w:rsidRPr="00E06285" w:rsidRDefault="00620016" w:rsidP="00620016">
      <w:pPr>
        <w:rPr>
          <w:b/>
        </w:rPr>
      </w:pPr>
      <w:r w:rsidRPr="00E06285">
        <w:rPr>
          <w:b/>
        </w:rPr>
        <w:t xml:space="preserve">Transmittance of </w:t>
      </w:r>
      <w:proofErr w:type="spellStart"/>
      <w:r w:rsidRPr="00E06285">
        <w:rPr>
          <w:b/>
        </w:rPr>
        <w:t>SiC</w:t>
      </w:r>
      <w:proofErr w:type="spellEnd"/>
      <w:r w:rsidRPr="00E06285">
        <w:rPr>
          <w:b/>
        </w:rPr>
        <w:t xml:space="preserve"> reference substrate</w:t>
      </w:r>
    </w:p>
    <w:p w14:paraId="5689B611" w14:textId="77777777" w:rsidR="00620016" w:rsidRDefault="00620016" w:rsidP="00620016">
      <w:pPr>
        <w:jc w:val="center"/>
      </w:pPr>
      <w:r>
        <w:rPr>
          <w:noProof/>
        </w:rPr>
        <w:drawing>
          <wp:inline distT="0" distB="0" distL="0" distR="0" wp14:anchorId="3A60B77B" wp14:editId="2B6BAA0C">
            <wp:extent cx="3455505" cy="2560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C.jpg"/>
                    <pic:cNvPicPr/>
                  </pic:nvPicPr>
                  <pic:blipFill>
                    <a:blip r:embed="rId7">
                      <a:extLst>
                        <a:ext uri="{28A0092B-C50C-407E-A947-70E740481C1C}">
                          <a14:useLocalDpi xmlns:a14="http://schemas.microsoft.com/office/drawing/2010/main" val="0"/>
                        </a:ext>
                      </a:extLst>
                    </a:blip>
                    <a:stretch>
                      <a:fillRect/>
                    </a:stretch>
                  </pic:blipFill>
                  <pic:spPr>
                    <a:xfrm>
                      <a:off x="0" y="0"/>
                      <a:ext cx="3455505" cy="2560320"/>
                    </a:xfrm>
                    <a:prstGeom prst="rect">
                      <a:avLst/>
                    </a:prstGeom>
                  </pic:spPr>
                </pic:pic>
              </a:graphicData>
            </a:graphic>
          </wp:inline>
        </w:drawing>
      </w:r>
    </w:p>
    <w:p w14:paraId="7C1A85A9" w14:textId="77777777" w:rsidR="00533FA9" w:rsidRPr="00620016" w:rsidRDefault="00620016" w:rsidP="00620016">
      <w:r w:rsidRPr="00620016">
        <w:rPr>
          <w:b/>
          <w:bCs/>
        </w:rPr>
        <w:t>Figure S7.</w:t>
      </w:r>
      <w:r>
        <w:t xml:space="preserve"> Transmittance of </w:t>
      </w:r>
      <w:proofErr w:type="spellStart"/>
      <w:r>
        <w:t>SiC</w:t>
      </w:r>
      <w:proofErr w:type="spellEnd"/>
      <w:r>
        <w:t xml:space="preserve"> substrate</w:t>
      </w:r>
      <w:r w:rsidR="009101BD">
        <w:t>.</w:t>
      </w:r>
    </w:p>
    <w:p w14:paraId="20869C48" w14:textId="77777777" w:rsidR="00620016" w:rsidRDefault="00620016" w:rsidP="00AE02CB">
      <w:pPr>
        <w:widowControl w:val="0"/>
        <w:autoSpaceDE w:val="0"/>
        <w:autoSpaceDN w:val="0"/>
        <w:adjustRightInd w:val="0"/>
        <w:spacing w:after="240"/>
        <w:rPr>
          <w:rFonts w:cs="Times"/>
          <w:color w:val="808080" w:themeColor="background1" w:themeShade="80"/>
        </w:rPr>
      </w:pPr>
    </w:p>
    <w:p w14:paraId="6726419B" w14:textId="77777777" w:rsidR="00422C24" w:rsidRPr="003C69F4" w:rsidRDefault="003C69F4" w:rsidP="00AE02CB">
      <w:pPr>
        <w:widowControl w:val="0"/>
        <w:autoSpaceDE w:val="0"/>
        <w:autoSpaceDN w:val="0"/>
        <w:adjustRightInd w:val="0"/>
        <w:spacing w:after="240"/>
        <w:rPr>
          <w:rFonts w:cs="Times"/>
          <w:b/>
        </w:rPr>
      </w:pPr>
      <w:r w:rsidRPr="003C69F4">
        <w:rPr>
          <w:rFonts w:cs="Times"/>
          <w:b/>
        </w:rPr>
        <w:t>Sensitivity analysis for experimental variables</w:t>
      </w:r>
    </w:p>
    <w:p w14:paraId="41AFD424" w14:textId="77777777" w:rsidR="003C69F4" w:rsidRPr="00D919D8" w:rsidRDefault="003C69F4" w:rsidP="003C69F4">
      <w:pPr>
        <w:pStyle w:val="ListParagraph"/>
        <w:widowControl w:val="0"/>
        <w:numPr>
          <w:ilvl w:val="0"/>
          <w:numId w:val="2"/>
        </w:numPr>
        <w:autoSpaceDE w:val="0"/>
        <w:autoSpaceDN w:val="0"/>
        <w:adjustRightInd w:val="0"/>
        <w:spacing w:after="240"/>
        <w:rPr>
          <w:rFonts w:cs="Times"/>
          <w:b/>
        </w:rPr>
      </w:pPr>
      <w:r w:rsidRPr="00D919D8">
        <w:rPr>
          <w:rFonts w:cs="Times"/>
          <w:b/>
        </w:rPr>
        <w:lastRenderedPageBreak/>
        <w:t>Temperature</w:t>
      </w:r>
    </w:p>
    <w:p w14:paraId="116A3416" w14:textId="77777777" w:rsidR="003C69F4" w:rsidRDefault="003C69F4" w:rsidP="00162893">
      <w:pPr>
        <w:widowControl w:val="0"/>
        <w:autoSpaceDE w:val="0"/>
        <w:autoSpaceDN w:val="0"/>
        <w:adjustRightInd w:val="0"/>
        <w:spacing w:after="240"/>
        <w:jc w:val="left"/>
        <w:rPr>
          <w:rFonts w:cs="Times"/>
        </w:rPr>
      </w:pPr>
      <w:r>
        <w:rPr>
          <w:rFonts w:cs="Times"/>
          <w:noProof/>
        </w:rPr>
        <w:drawing>
          <wp:inline distT="0" distB="0" distL="0" distR="0" wp14:anchorId="5C676952" wp14:editId="06405C43">
            <wp:extent cx="3492429" cy="2560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 temperatures.jpg"/>
                    <pic:cNvPicPr/>
                  </pic:nvPicPr>
                  <pic:blipFill>
                    <a:blip r:embed="rId8">
                      <a:extLst>
                        <a:ext uri="{28A0092B-C50C-407E-A947-70E740481C1C}">
                          <a14:useLocalDpi xmlns:a14="http://schemas.microsoft.com/office/drawing/2010/main" val="0"/>
                        </a:ext>
                      </a:extLst>
                    </a:blip>
                    <a:stretch>
                      <a:fillRect/>
                    </a:stretch>
                  </pic:blipFill>
                  <pic:spPr>
                    <a:xfrm>
                      <a:off x="0" y="0"/>
                      <a:ext cx="3492429" cy="2560320"/>
                    </a:xfrm>
                    <a:prstGeom prst="rect">
                      <a:avLst/>
                    </a:prstGeom>
                  </pic:spPr>
                </pic:pic>
              </a:graphicData>
            </a:graphic>
          </wp:inline>
        </w:drawing>
      </w:r>
    </w:p>
    <w:p w14:paraId="325CDCA7" w14:textId="77777777" w:rsidR="004F3204" w:rsidRDefault="004F3204" w:rsidP="009101BD">
      <w:pPr>
        <w:widowControl w:val="0"/>
        <w:autoSpaceDE w:val="0"/>
        <w:autoSpaceDN w:val="0"/>
        <w:adjustRightInd w:val="0"/>
        <w:spacing w:after="240"/>
        <w:jc w:val="left"/>
        <w:rPr>
          <w:rFonts w:cs="Times"/>
        </w:rPr>
      </w:pPr>
      <w:r w:rsidRPr="009101BD">
        <w:rPr>
          <w:rFonts w:cs="Times"/>
          <w:b/>
          <w:bCs/>
        </w:rPr>
        <w:t>Figure S</w:t>
      </w:r>
      <w:r w:rsidR="009101BD">
        <w:rPr>
          <w:rFonts w:cs="Times"/>
          <w:b/>
          <w:bCs/>
        </w:rPr>
        <w:t>8</w:t>
      </w:r>
      <w:r w:rsidRPr="009101BD">
        <w:rPr>
          <w:rFonts w:cs="Times"/>
          <w:b/>
          <w:bCs/>
        </w:rPr>
        <w:t>.</w:t>
      </w:r>
      <w:r>
        <w:rPr>
          <w:rFonts w:cs="Times"/>
        </w:rPr>
        <w:t xml:space="preserve"> Calculated thermal emission spectra of designed alloy + </w:t>
      </w:r>
      <w:proofErr w:type="gramStart"/>
      <w:r>
        <w:rPr>
          <w:rFonts w:cs="Times"/>
        </w:rPr>
        <w:t>4 layer</w:t>
      </w:r>
      <w:proofErr w:type="gramEnd"/>
      <w:r>
        <w:rPr>
          <w:rFonts w:cs="Times"/>
        </w:rPr>
        <w:t xml:space="preserve"> BR + W structure at varied temperatures.</w:t>
      </w:r>
    </w:p>
    <w:p w14:paraId="2F89B009" w14:textId="77777777" w:rsidR="009101BD" w:rsidRDefault="009101BD" w:rsidP="00D71027">
      <w:pPr>
        <w:widowControl w:val="0"/>
        <w:autoSpaceDE w:val="0"/>
        <w:autoSpaceDN w:val="0"/>
        <w:adjustRightInd w:val="0"/>
        <w:spacing w:after="240"/>
        <w:jc w:val="center"/>
        <w:rPr>
          <w:rFonts w:cs="Times"/>
        </w:rPr>
      </w:pPr>
    </w:p>
    <w:tbl>
      <w:tblPr>
        <w:tblStyle w:val="GridTable5Dark-Accent61"/>
        <w:tblW w:w="8748" w:type="dxa"/>
        <w:tblLook w:val="04A0" w:firstRow="1" w:lastRow="0" w:firstColumn="1" w:lastColumn="0" w:noHBand="0" w:noVBand="1"/>
      </w:tblPr>
      <w:tblGrid>
        <w:gridCol w:w="1920"/>
        <w:gridCol w:w="1364"/>
        <w:gridCol w:w="1365"/>
        <w:gridCol w:w="1365"/>
        <w:gridCol w:w="1365"/>
        <w:gridCol w:w="1369"/>
      </w:tblGrid>
      <w:tr w:rsidR="00D919D8" w14:paraId="6E15634A" w14:textId="77777777" w:rsidTr="00510B38">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920" w:type="dxa"/>
            <w:vAlign w:val="center"/>
          </w:tcPr>
          <w:p w14:paraId="50331A0B" w14:textId="77777777" w:rsidR="00D71027" w:rsidRDefault="00D919D8" w:rsidP="000F2C86">
            <w:pPr>
              <w:widowControl w:val="0"/>
              <w:autoSpaceDE w:val="0"/>
              <w:autoSpaceDN w:val="0"/>
              <w:adjustRightInd w:val="0"/>
              <w:spacing w:after="0"/>
              <w:jc w:val="center"/>
              <w:rPr>
                <w:rFonts w:cs="Times"/>
              </w:rPr>
            </w:pPr>
            <w:r>
              <w:rPr>
                <w:rFonts w:cs="Times"/>
              </w:rPr>
              <w:t>T</w:t>
            </w:r>
            <w:r w:rsidR="00D71027">
              <w:rPr>
                <w:rFonts w:cs="Times"/>
              </w:rPr>
              <w:t xml:space="preserve"> [°C]</w:t>
            </w:r>
          </w:p>
        </w:tc>
        <w:tc>
          <w:tcPr>
            <w:tcW w:w="1364" w:type="dxa"/>
            <w:vAlign w:val="center"/>
          </w:tcPr>
          <w:p w14:paraId="537AEA7E" w14:textId="77777777" w:rsidR="00D71027" w:rsidRDefault="00D71027"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1000</w:t>
            </w:r>
          </w:p>
        </w:tc>
        <w:tc>
          <w:tcPr>
            <w:tcW w:w="1365" w:type="dxa"/>
            <w:vAlign w:val="center"/>
          </w:tcPr>
          <w:p w14:paraId="2D82BD17" w14:textId="77777777" w:rsidR="00D71027" w:rsidRDefault="00D71027"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1100</w:t>
            </w:r>
          </w:p>
        </w:tc>
        <w:tc>
          <w:tcPr>
            <w:tcW w:w="1365" w:type="dxa"/>
            <w:vAlign w:val="center"/>
          </w:tcPr>
          <w:p w14:paraId="0B9CE29E" w14:textId="77777777" w:rsidR="00D71027" w:rsidRDefault="00D71027"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1200</w:t>
            </w:r>
          </w:p>
        </w:tc>
        <w:tc>
          <w:tcPr>
            <w:tcW w:w="1365" w:type="dxa"/>
            <w:vAlign w:val="center"/>
          </w:tcPr>
          <w:p w14:paraId="1CAE70E9" w14:textId="77777777" w:rsidR="00D71027" w:rsidRDefault="00D71027"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1300</w:t>
            </w:r>
          </w:p>
        </w:tc>
        <w:tc>
          <w:tcPr>
            <w:tcW w:w="1369" w:type="dxa"/>
            <w:vAlign w:val="center"/>
          </w:tcPr>
          <w:p w14:paraId="6B2E663F" w14:textId="77777777" w:rsidR="00D71027" w:rsidRDefault="00D71027"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1427</w:t>
            </w:r>
          </w:p>
        </w:tc>
      </w:tr>
      <w:tr w:rsidR="00D919D8" w14:paraId="3F1A5BBA" w14:textId="77777777" w:rsidTr="00510B38">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920" w:type="dxa"/>
            <w:vAlign w:val="center"/>
          </w:tcPr>
          <w:p w14:paraId="458EF702" w14:textId="77777777" w:rsidR="00D71027" w:rsidRPr="00D919D8" w:rsidRDefault="009101BD" w:rsidP="00D919D8">
            <w:pPr>
              <w:widowControl w:val="0"/>
              <w:autoSpaceDE w:val="0"/>
              <w:autoSpaceDN w:val="0"/>
              <w:adjustRightInd w:val="0"/>
              <w:spacing w:after="0"/>
              <w:jc w:val="center"/>
              <w:rPr>
                <w:rFonts w:cs="Times"/>
              </w:rPr>
            </w:pPr>
            <w:r w:rsidRPr="00162893">
              <w:rPr>
                <w:rFonts w:cs="Lucida Grande"/>
                <w:i/>
                <w:iCs/>
              </w:rPr>
              <w:t>P</w:t>
            </w:r>
            <w:r w:rsidR="00D919D8" w:rsidRPr="00D919D8">
              <w:rPr>
                <w:rFonts w:cs="Lucida Grande"/>
              </w:rPr>
              <w:t xml:space="preserve"> </w:t>
            </w:r>
            <w:r w:rsidR="00D71027" w:rsidRPr="00D919D8">
              <w:rPr>
                <w:rFonts w:cs="Times"/>
              </w:rPr>
              <w:t>[W/cm</w:t>
            </w:r>
            <w:r w:rsidR="00D71027" w:rsidRPr="00D919D8">
              <w:rPr>
                <w:rFonts w:cs="Times"/>
                <w:vertAlign w:val="superscript"/>
              </w:rPr>
              <w:t>2</w:t>
            </w:r>
            <w:r w:rsidR="00D71027" w:rsidRPr="00D919D8">
              <w:rPr>
                <w:rFonts w:cs="Times"/>
              </w:rPr>
              <w:t>]</w:t>
            </w:r>
          </w:p>
        </w:tc>
        <w:tc>
          <w:tcPr>
            <w:tcW w:w="1364" w:type="dxa"/>
            <w:vAlign w:val="center"/>
          </w:tcPr>
          <w:p w14:paraId="18A6DB93" w14:textId="77777777" w:rsidR="00D71027"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2.0</w:t>
            </w:r>
          </w:p>
        </w:tc>
        <w:tc>
          <w:tcPr>
            <w:tcW w:w="1365" w:type="dxa"/>
            <w:vAlign w:val="center"/>
          </w:tcPr>
          <w:p w14:paraId="544253B1" w14:textId="77777777" w:rsidR="00D71027"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3.3</w:t>
            </w:r>
          </w:p>
        </w:tc>
        <w:tc>
          <w:tcPr>
            <w:tcW w:w="1365" w:type="dxa"/>
            <w:vAlign w:val="center"/>
          </w:tcPr>
          <w:p w14:paraId="0F919D79" w14:textId="77777777" w:rsidR="00D71027"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5.2</w:t>
            </w:r>
          </w:p>
        </w:tc>
        <w:tc>
          <w:tcPr>
            <w:tcW w:w="1365" w:type="dxa"/>
            <w:vAlign w:val="center"/>
          </w:tcPr>
          <w:p w14:paraId="6052DB36" w14:textId="77777777" w:rsidR="00D71027"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7.8</w:t>
            </w:r>
          </w:p>
        </w:tc>
        <w:tc>
          <w:tcPr>
            <w:tcW w:w="1369" w:type="dxa"/>
            <w:vAlign w:val="center"/>
          </w:tcPr>
          <w:p w14:paraId="65B07F8E" w14:textId="77777777" w:rsidR="00D71027"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12.1</w:t>
            </w:r>
          </w:p>
        </w:tc>
      </w:tr>
      <w:tr w:rsidR="00D919D8" w14:paraId="010CD0A4" w14:textId="77777777" w:rsidTr="00510B38">
        <w:trPr>
          <w:trHeight w:val="197"/>
        </w:trPr>
        <w:tc>
          <w:tcPr>
            <w:cnfStyle w:val="001000000000" w:firstRow="0" w:lastRow="0" w:firstColumn="1" w:lastColumn="0" w:oddVBand="0" w:evenVBand="0" w:oddHBand="0" w:evenHBand="0" w:firstRowFirstColumn="0" w:firstRowLastColumn="0" w:lastRowFirstColumn="0" w:lastRowLastColumn="0"/>
            <w:tcW w:w="1920" w:type="dxa"/>
            <w:vAlign w:val="center"/>
          </w:tcPr>
          <w:p w14:paraId="713DD30C" w14:textId="77777777" w:rsidR="00D71027" w:rsidRPr="00D919D8" w:rsidRDefault="00D919D8" w:rsidP="000F2C86">
            <w:pPr>
              <w:widowControl w:val="0"/>
              <w:autoSpaceDE w:val="0"/>
              <w:autoSpaceDN w:val="0"/>
              <w:adjustRightInd w:val="0"/>
              <w:spacing w:after="0"/>
              <w:jc w:val="center"/>
              <w:rPr>
                <w:rFonts w:cs="Times"/>
              </w:rPr>
            </w:pPr>
            <w:proofErr w:type="spellStart"/>
            <w:r w:rsidRPr="00D919D8">
              <w:rPr>
                <w:rFonts w:cs="Lucida Grande"/>
              </w:rPr>
              <w:t>η</w:t>
            </w:r>
            <w:r w:rsidRPr="00D919D8">
              <w:rPr>
                <w:rFonts w:cs="Lucida Grande"/>
                <w:vertAlign w:val="subscript"/>
              </w:rPr>
              <w:t>s</w:t>
            </w:r>
            <w:proofErr w:type="spellEnd"/>
            <w:r w:rsidRPr="00D919D8">
              <w:rPr>
                <w:rFonts w:cs="Times"/>
              </w:rPr>
              <w:t xml:space="preserve"> </w:t>
            </w:r>
            <w:r w:rsidR="00D71027" w:rsidRPr="00D919D8">
              <w:rPr>
                <w:rFonts w:cs="Times"/>
              </w:rPr>
              <w:t>[%]</w:t>
            </w:r>
          </w:p>
        </w:tc>
        <w:tc>
          <w:tcPr>
            <w:tcW w:w="1364" w:type="dxa"/>
            <w:vAlign w:val="center"/>
          </w:tcPr>
          <w:p w14:paraId="6BD66373" w14:textId="77777777" w:rsidR="00D71027" w:rsidRDefault="004F3204"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55.4</w:t>
            </w:r>
          </w:p>
        </w:tc>
        <w:tc>
          <w:tcPr>
            <w:tcW w:w="1365" w:type="dxa"/>
            <w:vAlign w:val="center"/>
          </w:tcPr>
          <w:p w14:paraId="1AB228CB" w14:textId="77777777" w:rsidR="00D71027" w:rsidRDefault="004F3204"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57.5</w:t>
            </w:r>
          </w:p>
        </w:tc>
        <w:tc>
          <w:tcPr>
            <w:tcW w:w="1365" w:type="dxa"/>
            <w:vAlign w:val="center"/>
          </w:tcPr>
          <w:p w14:paraId="3FD3AA85" w14:textId="77777777" w:rsidR="00D71027" w:rsidRDefault="004F3204"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58.8</w:t>
            </w:r>
          </w:p>
        </w:tc>
        <w:tc>
          <w:tcPr>
            <w:tcW w:w="1365" w:type="dxa"/>
            <w:vAlign w:val="center"/>
          </w:tcPr>
          <w:p w14:paraId="364181B0" w14:textId="77777777" w:rsidR="00D71027" w:rsidRDefault="004F3204"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59.5</w:t>
            </w:r>
          </w:p>
        </w:tc>
        <w:tc>
          <w:tcPr>
            <w:tcW w:w="1369" w:type="dxa"/>
            <w:vAlign w:val="center"/>
          </w:tcPr>
          <w:p w14:paraId="0A1920D2" w14:textId="77777777" w:rsidR="00D71027" w:rsidRDefault="004F3204"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59.8</w:t>
            </w:r>
          </w:p>
        </w:tc>
      </w:tr>
    </w:tbl>
    <w:p w14:paraId="63ACC778" w14:textId="77777777" w:rsidR="00C9141B" w:rsidRDefault="00C9141B" w:rsidP="009101BD">
      <w:pPr>
        <w:widowControl w:val="0"/>
        <w:autoSpaceDE w:val="0"/>
        <w:autoSpaceDN w:val="0"/>
        <w:adjustRightInd w:val="0"/>
        <w:spacing w:after="240"/>
        <w:jc w:val="left"/>
        <w:rPr>
          <w:rFonts w:cs="Times"/>
        </w:rPr>
      </w:pPr>
      <w:r w:rsidRPr="009101BD">
        <w:rPr>
          <w:rFonts w:cs="Times"/>
          <w:b/>
          <w:bCs/>
        </w:rPr>
        <w:t>Table S</w:t>
      </w:r>
      <w:r w:rsidR="002C6DC3" w:rsidRPr="009101BD">
        <w:rPr>
          <w:rFonts w:cs="Times"/>
          <w:b/>
          <w:bCs/>
        </w:rPr>
        <w:t>3</w:t>
      </w:r>
      <w:r w:rsidRPr="009101BD">
        <w:rPr>
          <w:rFonts w:cs="Times"/>
          <w:b/>
          <w:bCs/>
        </w:rPr>
        <w:t>.</w:t>
      </w:r>
      <w:r>
        <w:rPr>
          <w:rFonts w:cs="Times"/>
        </w:rPr>
        <w:t xml:space="preserve"> Spectral density </w:t>
      </w:r>
      <w:r w:rsidR="009101BD">
        <w:rPr>
          <w:rFonts w:cs="Times"/>
        </w:rPr>
        <w:t>(</w:t>
      </w:r>
      <w:r w:rsidR="009101BD" w:rsidRPr="00162893">
        <w:rPr>
          <w:rFonts w:cs="Lucida Grande"/>
          <w:i/>
          <w:iCs/>
          <w:color w:val="000000"/>
        </w:rPr>
        <w:t>P</w:t>
      </w:r>
      <w:r w:rsidR="009101BD">
        <w:rPr>
          <w:rFonts w:cs="Lucida Grande"/>
          <w:color w:val="000000"/>
        </w:rPr>
        <w:t>)</w:t>
      </w:r>
      <w:r w:rsidR="00D919D8">
        <w:rPr>
          <w:rFonts w:cs="Times"/>
          <w:color w:val="000000"/>
        </w:rPr>
        <w:t xml:space="preserve"> </w:t>
      </w:r>
      <w:r>
        <w:rPr>
          <w:rFonts w:cs="Times"/>
        </w:rPr>
        <w:t>and spectral efficiency</w:t>
      </w:r>
      <w:r w:rsidR="00D919D8" w:rsidRPr="00D919D8">
        <w:rPr>
          <w:rFonts w:cs="Lucida Grande"/>
          <w:color w:val="000000"/>
        </w:rPr>
        <w:t xml:space="preserve"> </w:t>
      </w:r>
      <w:r w:rsidR="009101BD">
        <w:rPr>
          <w:rFonts w:cs="Lucida Grande"/>
          <w:color w:val="000000"/>
        </w:rPr>
        <w:t>(</w:t>
      </w:r>
      <w:proofErr w:type="spellStart"/>
      <w:r w:rsidR="00D919D8" w:rsidRPr="00AE02CB">
        <w:rPr>
          <w:rFonts w:cs="Lucida Grande"/>
          <w:color w:val="000000"/>
        </w:rPr>
        <w:t>η</w:t>
      </w:r>
      <w:r w:rsidR="00D919D8" w:rsidRPr="00AE02CB">
        <w:rPr>
          <w:rFonts w:cs="Lucida Grande"/>
          <w:color w:val="000000"/>
          <w:vertAlign w:val="subscript"/>
        </w:rPr>
        <w:t>s</w:t>
      </w:r>
      <w:proofErr w:type="spellEnd"/>
      <w:r w:rsidR="009101BD">
        <w:rPr>
          <w:rFonts w:cs="Times"/>
        </w:rPr>
        <w:t xml:space="preserve">) </w:t>
      </w:r>
      <w:r>
        <w:rPr>
          <w:rFonts w:cs="Times"/>
        </w:rPr>
        <w:t>of alloy + BR + W at varied temperatures</w:t>
      </w:r>
    </w:p>
    <w:p w14:paraId="766D20A8" w14:textId="77777777" w:rsidR="00D71027" w:rsidRDefault="004F3204" w:rsidP="009101BD">
      <w:pPr>
        <w:widowControl w:val="0"/>
        <w:autoSpaceDE w:val="0"/>
        <w:autoSpaceDN w:val="0"/>
        <w:adjustRightInd w:val="0"/>
        <w:spacing w:after="240"/>
        <w:rPr>
          <w:rFonts w:cs="Times"/>
        </w:rPr>
      </w:pPr>
      <w:r>
        <w:rPr>
          <w:rFonts w:cs="Times"/>
        </w:rPr>
        <w:t xml:space="preserve">As operation temperature decreases from 1427 °C to 1000 °C, the </w:t>
      </w:r>
      <w:proofErr w:type="spellStart"/>
      <w:r w:rsidR="009101BD" w:rsidRPr="00AE02CB">
        <w:rPr>
          <w:rFonts w:cs="Lucida Grande"/>
          <w:color w:val="000000"/>
        </w:rPr>
        <w:t>η</w:t>
      </w:r>
      <w:r w:rsidR="009101BD" w:rsidRPr="00AE02CB">
        <w:rPr>
          <w:rFonts w:cs="Lucida Grande"/>
          <w:color w:val="000000"/>
          <w:vertAlign w:val="subscript"/>
        </w:rPr>
        <w:t>s</w:t>
      </w:r>
      <w:proofErr w:type="spellEnd"/>
      <w:r w:rsidR="009101BD">
        <w:rPr>
          <w:rFonts w:cs="Times"/>
        </w:rPr>
        <w:t xml:space="preserve"> decrease marginally while the </w:t>
      </w:r>
      <w:r w:rsidR="009101BD" w:rsidRPr="00162893">
        <w:rPr>
          <w:rFonts w:cs="Times"/>
          <w:i/>
          <w:iCs/>
        </w:rPr>
        <w:t>P</w:t>
      </w:r>
      <w:r>
        <w:rPr>
          <w:rFonts w:cs="Times"/>
        </w:rPr>
        <w:t xml:space="preserve"> dramatically decreases.</w:t>
      </w:r>
    </w:p>
    <w:p w14:paraId="538ABF12" w14:textId="77777777" w:rsidR="009101BD" w:rsidRPr="003C69F4" w:rsidRDefault="009101BD" w:rsidP="003C69F4">
      <w:pPr>
        <w:widowControl w:val="0"/>
        <w:autoSpaceDE w:val="0"/>
        <w:autoSpaceDN w:val="0"/>
        <w:adjustRightInd w:val="0"/>
        <w:spacing w:after="240"/>
        <w:rPr>
          <w:rFonts w:cs="Times"/>
        </w:rPr>
      </w:pPr>
    </w:p>
    <w:p w14:paraId="0CD10111" w14:textId="77777777" w:rsidR="003C69F4" w:rsidRPr="00D919D8" w:rsidRDefault="003C69F4" w:rsidP="003C69F4">
      <w:pPr>
        <w:pStyle w:val="ListParagraph"/>
        <w:widowControl w:val="0"/>
        <w:numPr>
          <w:ilvl w:val="0"/>
          <w:numId w:val="2"/>
        </w:numPr>
        <w:autoSpaceDE w:val="0"/>
        <w:autoSpaceDN w:val="0"/>
        <w:adjustRightInd w:val="0"/>
        <w:spacing w:after="240"/>
        <w:rPr>
          <w:rFonts w:cs="Times"/>
          <w:b/>
        </w:rPr>
      </w:pPr>
      <w:r w:rsidRPr="00D919D8">
        <w:rPr>
          <w:rFonts w:cs="Times"/>
          <w:b/>
        </w:rPr>
        <w:t>Oxide layer thickness</w:t>
      </w:r>
    </w:p>
    <w:p w14:paraId="49228F64" w14:textId="77777777" w:rsidR="003C69F4" w:rsidRDefault="003C69F4" w:rsidP="00162893">
      <w:pPr>
        <w:widowControl w:val="0"/>
        <w:autoSpaceDE w:val="0"/>
        <w:autoSpaceDN w:val="0"/>
        <w:adjustRightInd w:val="0"/>
        <w:spacing w:after="240"/>
        <w:jc w:val="left"/>
        <w:rPr>
          <w:rFonts w:cs="Times"/>
        </w:rPr>
      </w:pPr>
      <w:r>
        <w:rPr>
          <w:rFonts w:cs="Times"/>
          <w:noProof/>
        </w:rPr>
        <w:lastRenderedPageBreak/>
        <w:drawing>
          <wp:inline distT="0" distB="0" distL="0" distR="0" wp14:anchorId="6E203846" wp14:editId="651BCFA3">
            <wp:extent cx="3492429" cy="2560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 layer thickness.jpg"/>
                    <pic:cNvPicPr/>
                  </pic:nvPicPr>
                  <pic:blipFill>
                    <a:blip r:embed="rId9">
                      <a:extLst>
                        <a:ext uri="{28A0092B-C50C-407E-A947-70E740481C1C}">
                          <a14:useLocalDpi xmlns:a14="http://schemas.microsoft.com/office/drawing/2010/main" val="0"/>
                        </a:ext>
                      </a:extLst>
                    </a:blip>
                    <a:stretch>
                      <a:fillRect/>
                    </a:stretch>
                  </pic:blipFill>
                  <pic:spPr>
                    <a:xfrm>
                      <a:off x="0" y="0"/>
                      <a:ext cx="3492429" cy="2560320"/>
                    </a:xfrm>
                    <a:prstGeom prst="rect">
                      <a:avLst/>
                    </a:prstGeom>
                  </pic:spPr>
                </pic:pic>
              </a:graphicData>
            </a:graphic>
          </wp:inline>
        </w:drawing>
      </w:r>
    </w:p>
    <w:p w14:paraId="4DE3BB3B" w14:textId="77777777" w:rsidR="008A3667" w:rsidRDefault="008A3667" w:rsidP="009101BD">
      <w:pPr>
        <w:widowControl w:val="0"/>
        <w:autoSpaceDE w:val="0"/>
        <w:autoSpaceDN w:val="0"/>
        <w:adjustRightInd w:val="0"/>
        <w:spacing w:after="240"/>
        <w:jc w:val="left"/>
        <w:rPr>
          <w:rFonts w:cs="Times"/>
        </w:rPr>
      </w:pPr>
      <w:r w:rsidRPr="009101BD">
        <w:rPr>
          <w:rFonts w:cs="Times"/>
          <w:b/>
          <w:bCs/>
        </w:rPr>
        <w:t xml:space="preserve">Figure </w:t>
      </w:r>
      <w:r w:rsidR="00E26B74" w:rsidRPr="009101BD">
        <w:rPr>
          <w:rFonts w:cs="Times"/>
          <w:b/>
          <w:bCs/>
        </w:rPr>
        <w:t>S</w:t>
      </w:r>
      <w:r w:rsidR="009101BD">
        <w:rPr>
          <w:rFonts w:cs="Times"/>
          <w:b/>
          <w:bCs/>
        </w:rPr>
        <w:t>9</w:t>
      </w:r>
      <w:r w:rsidRPr="009101BD">
        <w:rPr>
          <w:rFonts w:cs="Times"/>
          <w:b/>
          <w:bCs/>
        </w:rPr>
        <w:t>.</w:t>
      </w:r>
      <w:r>
        <w:rPr>
          <w:rFonts w:cs="Times"/>
        </w:rPr>
        <w:t xml:space="preserve"> Thermal emission spectra of BR</w:t>
      </w:r>
      <w:r w:rsidR="00D919D8">
        <w:rPr>
          <w:rFonts w:cs="Times"/>
        </w:rPr>
        <w:t>/</w:t>
      </w:r>
      <w:r>
        <w:rPr>
          <w:rFonts w:cs="Times"/>
        </w:rPr>
        <w:t xml:space="preserve">W at 1000 °C for varied layer thickness. </w:t>
      </w:r>
      <w:r w:rsidR="00E26B74">
        <w:rPr>
          <w:rFonts w:cs="Times"/>
        </w:rPr>
        <w:t xml:space="preserve">Red line is the measured spectrum. </w:t>
      </w:r>
      <w:r>
        <w:rPr>
          <w:rFonts w:cs="Times"/>
        </w:rPr>
        <w:t xml:space="preserve">Green </w:t>
      </w:r>
      <w:r w:rsidR="00E26B74">
        <w:rPr>
          <w:rFonts w:cs="Times"/>
        </w:rPr>
        <w:t>line is the spectrum calculated from the model with each layer thickness measured by spectroscopic ellipsometry. Blue line is the spectrum calculated from the model with the desired layer thickness.</w:t>
      </w:r>
    </w:p>
    <w:p w14:paraId="3492A059" w14:textId="77777777" w:rsidR="009101BD" w:rsidRDefault="009101BD" w:rsidP="009101BD">
      <w:pPr>
        <w:widowControl w:val="0"/>
        <w:autoSpaceDE w:val="0"/>
        <w:autoSpaceDN w:val="0"/>
        <w:adjustRightInd w:val="0"/>
        <w:spacing w:after="240"/>
        <w:jc w:val="left"/>
        <w:rPr>
          <w:rFonts w:cs="Times"/>
        </w:rPr>
      </w:pPr>
    </w:p>
    <w:tbl>
      <w:tblPr>
        <w:tblStyle w:val="GridTable5Dark-Accent61"/>
        <w:tblW w:w="8749" w:type="dxa"/>
        <w:tblLook w:val="04A0" w:firstRow="1" w:lastRow="0" w:firstColumn="1" w:lastColumn="0" w:noHBand="0" w:noVBand="1"/>
      </w:tblPr>
      <w:tblGrid>
        <w:gridCol w:w="2796"/>
        <w:gridCol w:w="1983"/>
        <w:gridCol w:w="1985"/>
        <w:gridCol w:w="1985"/>
      </w:tblGrid>
      <w:tr w:rsidR="00E26B74" w14:paraId="1ABE48D0" w14:textId="77777777" w:rsidTr="0037235A">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796" w:type="dxa"/>
            <w:vAlign w:val="center"/>
          </w:tcPr>
          <w:p w14:paraId="781E4EF8" w14:textId="77777777" w:rsidR="00E26B74" w:rsidRDefault="00E26B74" w:rsidP="000F2C86">
            <w:pPr>
              <w:widowControl w:val="0"/>
              <w:autoSpaceDE w:val="0"/>
              <w:autoSpaceDN w:val="0"/>
              <w:adjustRightInd w:val="0"/>
              <w:spacing w:after="0"/>
              <w:jc w:val="center"/>
              <w:rPr>
                <w:rFonts w:cs="Times"/>
              </w:rPr>
            </w:pPr>
            <w:r>
              <w:rPr>
                <w:rFonts w:cs="Times"/>
              </w:rPr>
              <w:t>Sample</w:t>
            </w:r>
          </w:p>
        </w:tc>
        <w:tc>
          <w:tcPr>
            <w:tcW w:w="1983" w:type="dxa"/>
            <w:vAlign w:val="center"/>
          </w:tcPr>
          <w:p w14:paraId="3DC87BBA" w14:textId="77777777" w:rsidR="00E26B74" w:rsidRDefault="00E26B74"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Measured</w:t>
            </w:r>
          </w:p>
          <w:p w14:paraId="4F3F5D52" w14:textId="77777777" w:rsidR="00A67CE8" w:rsidRDefault="00A67CE8"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Emission</w:t>
            </w:r>
          </w:p>
        </w:tc>
        <w:tc>
          <w:tcPr>
            <w:tcW w:w="1985" w:type="dxa"/>
            <w:vAlign w:val="center"/>
          </w:tcPr>
          <w:p w14:paraId="4CEBE8F5" w14:textId="77777777" w:rsidR="00E26B74" w:rsidRDefault="00E26B74"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Measured Thickness</w:t>
            </w:r>
          </w:p>
        </w:tc>
        <w:tc>
          <w:tcPr>
            <w:tcW w:w="1985" w:type="dxa"/>
            <w:vAlign w:val="center"/>
          </w:tcPr>
          <w:p w14:paraId="1154D480" w14:textId="77777777" w:rsidR="00A67CE8" w:rsidRDefault="00A67CE8"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Ideal</w:t>
            </w:r>
          </w:p>
          <w:p w14:paraId="7E68EFA3" w14:textId="77777777" w:rsidR="00E26B74" w:rsidRDefault="00E26B74"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Thickness</w:t>
            </w:r>
          </w:p>
        </w:tc>
      </w:tr>
      <w:tr w:rsidR="00510B38" w14:paraId="7DE448F3" w14:textId="77777777" w:rsidTr="0016289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796" w:type="dxa"/>
            <w:vAlign w:val="center"/>
          </w:tcPr>
          <w:p w14:paraId="10FC0C23" w14:textId="77777777" w:rsidR="00510B38" w:rsidRDefault="009101BD" w:rsidP="000F2C86">
            <w:pPr>
              <w:widowControl w:val="0"/>
              <w:autoSpaceDE w:val="0"/>
              <w:autoSpaceDN w:val="0"/>
              <w:adjustRightInd w:val="0"/>
              <w:spacing w:after="0"/>
              <w:jc w:val="center"/>
              <w:rPr>
                <w:rFonts w:cs="Times"/>
              </w:rPr>
            </w:pPr>
            <w:r w:rsidRPr="00162893">
              <w:rPr>
                <w:rFonts w:cs="Lucida Grande"/>
                <w:i/>
                <w:iCs/>
              </w:rPr>
              <w:t>P</w:t>
            </w:r>
            <w:r w:rsidR="00510B38" w:rsidRPr="00D919D8">
              <w:rPr>
                <w:rFonts w:cs="Lucida Grande"/>
              </w:rPr>
              <w:t xml:space="preserve"> </w:t>
            </w:r>
            <w:r w:rsidR="00510B38" w:rsidRPr="00D919D8">
              <w:rPr>
                <w:rFonts w:cs="Times"/>
              </w:rPr>
              <w:t>[W/cm</w:t>
            </w:r>
            <w:r w:rsidR="00510B38" w:rsidRPr="00D919D8">
              <w:rPr>
                <w:rFonts w:cs="Times"/>
                <w:vertAlign w:val="superscript"/>
              </w:rPr>
              <w:t>2</w:t>
            </w:r>
            <w:r w:rsidR="00510B38" w:rsidRPr="00D919D8">
              <w:rPr>
                <w:rFonts w:cs="Times"/>
              </w:rPr>
              <w:t>]</w:t>
            </w:r>
          </w:p>
        </w:tc>
        <w:tc>
          <w:tcPr>
            <w:tcW w:w="1983" w:type="dxa"/>
            <w:vAlign w:val="center"/>
          </w:tcPr>
          <w:p w14:paraId="306A5383" w14:textId="77777777" w:rsidR="00510B38"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2.0</w:t>
            </w:r>
          </w:p>
        </w:tc>
        <w:tc>
          <w:tcPr>
            <w:tcW w:w="1985" w:type="dxa"/>
            <w:vAlign w:val="center"/>
          </w:tcPr>
          <w:p w14:paraId="7A12964A" w14:textId="77777777" w:rsidR="00510B38"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1.8</w:t>
            </w:r>
          </w:p>
        </w:tc>
        <w:tc>
          <w:tcPr>
            <w:tcW w:w="1985" w:type="dxa"/>
            <w:vAlign w:val="center"/>
          </w:tcPr>
          <w:p w14:paraId="361C7C96" w14:textId="77777777" w:rsidR="00510B38"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1.9</w:t>
            </w:r>
          </w:p>
        </w:tc>
      </w:tr>
      <w:tr w:rsidR="00510B38" w14:paraId="794A6508" w14:textId="77777777" w:rsidTr="0037235A">
        <w:trPr>
          <w:trHeight w:val="286"/>
        </w:trPr>
        <w:tc>
          <w:tcPr>
            <w:cnfStyle w:val="001000000000" w:firstRow="0" w:lastRow="0" w:firstColumn="1" w:lastColumn="0" w:oddVBand="0" w:evenVBand="0" w:oddHBand="0" w:evenHBand="0" w:firstRowFirstColumn="0" w:firstRowLastColumn="0" w:lastRowFirstColumn="0" w:lastRowLastColumn="0"/>
            <w:tcW w:w="2796" w:type="dxa"/>
            <w:vAlign w:val="center"/>
          </w:tcPr>
          <w:p w14:paraId="39CF96E7" w14:textId="77777777" w:rsidR="00510B38" w:rsidRDefault="00510B38" w:rsidP="000F2C86">
            <w:pPr>
              <w:widowControl w:val="0"/>
              <w:autoSpaceDE w:val="0"/>
              <w:autoSpaceDN w:val="0"/>
              <w:adjustRightInd w:val="0"/>
              <w:spacing w:after="0"/>
              <w:jc w:val="center"/>
              <w:rPr>
                <w:rFonts w:cs="Times"/>
              </w:rPr>
            </w:pPr>
            <w:proofErr w:type="spellStart"/>
            <w:r w:rsidRPr="00D919D8">
              <w:rPr>
                <w:rFonts w:cs="Lucida Grande"/>
              </w:rPr>
              <w:t>η</w:t>
            </w:r>
            <w:r w:rsidRPr="00D919D8">
              <w:rPr>
                <w:rFonts w:cs="Lucida Grande"/>
                <w:vertAlign w:val="subscript"/>
              </w:rPr>
              <w:t>s</w:t>
            </w:r>
            <w:proofErr w:type="spellEnd"/>
            <w:r w:rsidRPr="00D919D8">
              <w:rPr>
                <w:rFonts w:cs="Times"/>
              </w:rPr>
              <w:t xml:space="preserve"> [%]</w:t>
            </w:r>
          </w:p>
        </w:tc>
        <w:tc>
          <w:tcPr>
            <w:tcW w:w="1983" w:type="dxa"/>
            <w:vAlign w:val="center"/>
          </w:tcPr>
          <w:p w14:paraId="6BDCE2DF" w14:textId="77777777" w:rsidR="00510B38" w:rsidRDefault="00510B38"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34.1</w:t>
            </w:r>
          </w:p>
        </w:tc>
        <w:tc>
          <w:tcPr>
            <w:tcW w:w="1985" w:type="dxa"/>
            <w:vAlign w:val="center"/>
          </w:tcPr>
          <w:p w14:paraId="13F885BE" w14:textId="77777777" w:rsidR="00510B38" w:rsidRDefault="00510B38"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52.6</w:t>
            </w:r>
          </w:p>
        </w:tc>
        <w:tc>
          <w:tcPr>
            <w:tcW w:w="1985" w:type="dxa"/>
            <w:vAlign w:val="center"/>
          </w:tcPr>
          <w:p w14:paraId="402F7FE6" w14:textId="77777777" w:rsidR="00510B38" w:rsidRDefault="00510B38"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54.5</w:t>
            </w:r>
          </w:p>
        </w:tc>
      </w:tr>
    </w:tbl>
    <w:p w14:paraId="3612D2E0" w14:textId="77777777" w:rsidR="00E26B74" w:rsidRDefault="00C9141B" w:rsidP="009101BD">
      <w:pPr>
        <w:widowControl w:val="0"/>
        <w:autoSpaceDE w:val="0"/>
        <w:autoSpaceDN w:val="0"/>
        <w:adjustRightInd w:val="0"/>
        <w:spacing w:after="240"/>
        <w:jc w:val="left"/>
        <w:rPr>
          <w:rFonts w:cs="Times"/>
        </w:rPr>
      </w:pPr>
      <w:r w:rsidRPr="009101BD">
        <w:rPr>
          <w:rFonts w:cs="Times"/>
          <w:b/>
          <w:bCs/>
        </w:rPr>
        <w:t>Table S</w:t>
      </w:r>
      <w:r w:rsidR="002C6DC3" w:rsidRPr="009101BD">
        <w:rPr>
          <w:rFonts w:cs="Times"/>
          <w:b/>
          <w:bCs/>
        </w:rPr>
        <w:t>4</w:t>
      </w:r>
      <w:r w:rsidRPr="009101BD">
        <w:rPr>
          <w:rFonts w:cs="Times"/>
          <w:b/>
          <w:bCs/>
        </w:rPr>
        <w:t>.</w:t>
      </w:r>
      <w:r>
        <w:rPr>
          <w:rFonts w:cs="Times"/>
        </w:rPr>
        <w:t xml:space="preserve"> Spectral density</w:t>
      </w:r>
      <w:r w:rsidR="00510B38" w:rsidRPr="00510B38">
        <w:rPr>
          <w:rFonts w:cs="Lucida Grande"/>
          <w:color w:val="000000"/>
        </w:rPr>
        <w:t xml:space="preserve"> </w:t>
      </w:r>
      <w:r w:rsidR="009101BD" w:rsidRPr="00162893">
        <w:rPr>
          <w:rFonts w:cs="Lucida Grande"/>
          <w:i/>
          <w:iCs/>
          <w:color w:val="000000"/>
        </w:rPr>
        <w:t>P</w:t>
      </w:r>
      <w:r w:rsidR="009101BD">
        <w:rPr>
          <w:rFonts w:cs="Lucida Grande"/>
          <w:color w:val="000000"/>
        </w:rPr>
        <w:t xml:space="preserve"> </w:t>
      </w:r>
      <w:r>
        <w:rPr>
          <w:rFonts w:cs="Times"/>
        </w:rPr>
        <w:t xml:space="preserve">and spectral efficiency </w:t>
      </w:r>
      <w:proofErr w:type="spellStart"/>
      <w:r w:rsidR="00510B38" w:rsidRPr="00AE02CB">
        <w:rPr>
          <w:rFonts w:cs="Lucida Grande"/>
          <w:color w:val="000000"/>
        </w:rPr>
        <w:t>η</w:t>
      </w:r>
      <w:r w:rsidR="00510B38" w:rsidRPr="00AE02CB">
        <w:rPr>
          <w:rFonts w:cs="Lucida Grande"/>
          <w:color w:val="000000"/>
          <w:vertAlign w:val="subscript"/>
        </w:rPr>
        <w:t>s</w:t>
      </w:r>
      <w:proofErr w:type="spellEnd"/>
      <w:r w:rsidR="00510B38">
        <w:rPr>
          <w:rFonts w:cs="Times"/>
        </w:rPr>
        <w:t xml:space="preserve"> </w:t>
      </w:r>
      <w:r>
        <w:rPr>
          <w:rFonts w:cs="Times"/>
        </w:rPr>
        <w:t>of alloy</w:t>
      </w:r>
      <w:r w:rsidR="00D919D8">
        <w:rPr>
          <w:rFonts w:cs="Times"/>
        </w:rPr>
        <w:t>/</w:t>
      </w:r>
      <w:r>
        <w:rPr>
          <w:rFonts w:cs="Times"/>
        </w:rPr>
        <w:t>BR</w:t>
      </w:r>
      <w:r w:rsidR="00D919D8">
        <w:rPr>
          <w:rFonts w:cs="Times"/>
        </w:rPr>
        <w:t>/</w:t>
      </w:r>
      <w:r>
        <w:rPr>
          <w:rFonts w:cs="Times"/>
        </w:rPr>
        <w:t>W</w:t>
      </w:r>
    </w:p>
    <w:p w14:paraId="0B30B5AB" w14:textId="77777777" w:rsidR="00E26B74" w:rsidRPr="00491DEA" w:rsidRDefault="00E26B74" w:rsidP="00162893">
      <w:pPr>
        <w:widowControl w:val="0"/>
        <w:autoSpaceDE w:val="0"/>
        <w:autoSpaceDN w:val="0"/>
        <w:adjustRightInd w:val="0"/>
        <w:spacing w:after="240"/>
        <w:rPr>
          <w:rFonts w:cs="Times"/>
        </w:rPr>
      </w:pPr>
      <w:r>
        <w:rPr>
          <w:rFonts w:cs="Times"/>
        </w:rPr>
        <w:t xml:space="preserve">The </w:t>
      </w:r>
      <w:r w:rsidR="00491DEA">
        <w:rPr>
          <w:rFonts w:cs="Times"/>
        </w:rPr>
        <w:t>fabricated</w:t>
      </w:r>
      <w:r>
        <w:rPr>
          <w:rFonts w:cs="Times"/>
        </w:rPr>
        <w:t xml:space="preserve"> BR</w:t>
      </w:r>
      <w:r w:rsidR="00D919D8">
        <w:rPr>
          <w:rFonts w:cs="Times"/>
        </w:rPr>
        <w:t>/</w:t>
      </w:r>
      <w:r>
        <w:rPr>
          <w:rFonts w:cs="Times"/>
        </w:rPr>
        <w:t xml:space="preserve">W </w:t>
      </w:r>
      <w:r w:rsidRPr="00491DEA">
        <w:rPr>
          <w:rFonts w:cs="Times"/>
        </w:rPr>
        <w:t xml:space="preserve">has </w:t>
      </w:r>
      <w:r w:rsidR="00C57A71">
        <w:rPr>
          <w:rFonts w:cs="Times"/>
        </w:rPr>
        <w:t>slightly</w:t>
      </w:r>
      <w:r w:rsidR="00491DEA">
        <w:rPr>
          <w:rFonts w:cs="Times"/>
        </w:rPr>
        <w:t xml:space="preserve"> thinner oxide layers</w:t>
      </w:r>
      <w:r w:rsidR="00491DEA" w:rsidRPr="00491DEA">
        <w:rPr>
          <w:rFonts w:cs="Times"/>
        </w:rPr>
        <w:t xml:space="preserve"> </w:t>
      </w:r>
      <w:r w:rsidR="0061401F">
        <w:rPr>
          <w:rFonts w:cs="Times"/>
        </w:rPr>
        <w:t xml:space="preserve">by </w:t>
      </w:r>
      <w:r w:rsidR="00C57A71">
        <w:rPr>
          <w:rFonts w:cs="Times"/>
        </w:rPr>
        <w:t xml:space="preserve">~6% </w:t>
      </w:r>
      <w:r w:rsidR="00162893">
        <w:rPr>
          <w:rFonts w:cs="Times"/>
        </w:rPr>
        <w:t>o</w:t>
      </w:r>
      <w:r w:rsidR="00C57A71">
        <w:rPr>
          <w:rFonts w:cs="Times"/>
        </w:rPr>
        <w:t xml:space="preserve">n average </w:t>
      </w:r>
      <w:r w:rsidR="00491DEA">
        <w:rPr>
          <w:rFonts w:cs="Times"/>
        </w:rPr>
        <w:t>than</w:t>
      </w:r>
      <w:r w:rsidR="00F0233D">
        <w:rPr>
          <w:rFonts w:cs="Times"/>
        </w:rPr>
        <w:t xml:space="preserve"> the </w:t>
      </w:r>
      <w:r w:rsidR="00162893">
        <w:rPr>
          <w:rFonts w:cs="Times"/>
        </w:rPr>
        <w:t>intended</w:t>
      </w:r>
      <w:r w:rsidR="00F0233D">
        <w:rPr>
          <w:rFonts w:cs="Times"/>
        </w:rPr>
        <w:t xml:space="preserve"> </w:t>
      </w:r>
      <w:r w:rsidR="00491DEA" w:rsidRPr="00491DEA">
        <w:rPr>
          <w:rFonts w:cs="Times"/>
        </w:rPr>
        <w:t>structure</w:t>
      </w:r>
      <w:r w:rsidR="00491DEA">
        <w:rPr>
          <w:rFonts w:cs="Times"/>
        </w:rPr>
        <w:t xml:space="preserve">. The </w:t>
      </w:r>
      <w:r w:rsidR="00491DEA" w:rsidRPr="00491DEA">
        <w:rPr>
          <w:rFonts w:cs="Times"/>
        </w:rPr>
        <w:t>peak</w:t>
      </w:r>
      <w:r w:rsidR="00491DEA">
        <w:rPr>
          <w:rFonts w:cs="Times"/>
        </w:rPr>
        <w:t xml:space="preserve"> </w:t>
      </w:r>
      <w:r w:rsidR="00162893">
        <w:rPr>
          <w:rFonts w:cs="Times"/>
        </w:rPr>
        <w:t xml:space="preserve">emission </w:t>
      </w:r>
      <w:r w:rsidR="00491DEA">
        <w:rPr>
          <w:rFonts w:cs="Times"/>
        </w:rPr>
        <w:t xml:space="preserve">of </w:t>
      </w:r>
      <w:r w:rsidR="00162893">
        <w:rPr>
          <w:rFonts w:cs="Times"/>
        </w:rPr>
        <w:t xml:space="preserve">the </w:t>
      </w:r>
      <w:r w:rsidR="00491DEA">
        <w:rPr>
          <w:rFonts w:cs="Times"/>
        </w:rPr>
        <w:t>fabricated sample</w:t>
      </w:r>
      <w:r w:rsidR="001835EA">
        <w:rPr>
          <w:rFonts w:cs="Times"/>
        </w:rPr>
        <w:t xml:space="preserve"> (green curve)</w:t>
      </w:r>
      <w:r w:rsidR="00491DEA" w:rsidRPr="00491DEA">
        <w:rPr>
          <w:rFonts w:cs="Times"/>
        </w:rPr>
        <w:t xml:space="preserve"> </w:t>
      </w:r>
      <w:proofErr w:type="spellStart"/>
      <w:r w:rsidR="00491DEA">
        <w:rPr>
          <w:rFonts w:cs="Times"/>
        </w:rPr>
        <w:t>blueshifts</w:t>
      </w:r>
      <w:proofErr w:type="spellEnd"/>
      <w:r w:rsidR="00491DEA" w:rsidRPr="00491DEA">
        <w:rPr>
          <w:rFonts w:cs="Times"/>
        </w:rPr>
        <w:t xml:space="preserve"> by 0.</w:t>
      </w:r>
      <w:r w:rsidR="00162893">
        <w:rPr>
          <w:rFonts w:cs="Times"/>
        </w:rPr>
        <w:t>0</w:t>
      </w:r>
      <w:r w:rsidR="00491DEA" w:rsidRPr="00491DEA">
        <w:rPr>
          <w:rFonts w:cs="Times"/>
        </w:rPr>
        <w:t>9</w:t>
      </w:r>
      <w:r w:rsidR="00491DEA" w:rsidRPr="00491DEA">
        <w:rPr>
          <w:rFonts w:cs="Lucida Grande"/>
          <w:color w:val="000000"/>
        </w:rPr>
        <w:t xml:space="preserve"> </w:t>
      </w:r>
      <w:proofErr w:type="spellStart"/>
      <w:r w:rsidR="00491DEA" w:rsidRPr="00491DEA">
        <w:rPr>
          <w:rFonts w:cs="Lucida Grande"/>
          <w:color w:val="000000"/>
        </w:rPr>
        <w:t>μ</w:t>
      </w:r>
      <w:r w:rsidR="00491DEA">
        <w:rPr>
          <w:rFonts w:cs="Lucida Grande"/>
          <w:color w:val="000000"/>
        </w:rPr>
        <w:t>m</w:t>
      </w:r>
      <w:proofErr w:type="spellEnd"/>
      <w:r w:rsidR="00491DEA">
        <w:rPr>
          <w:rFonts w:cs="Lucida Grande"/>
          <w:color w:val="000000"/>
        </w:rPr>
        <w:t xml:space="preserve"> compared to that of the </w:t>
      </w:r>
      <w:r w:rsidR="00B902A4">
        <w:rPr>
          <w:rFonts w:cs="Lucida Grande"/>
          <w:color w:val="000000"/>
        </w:rPr>
        <w:t>designed</w:t>
      </w:r>
      <w:r w:rsidR="00491DEA">
        <w:rPr>
          <w:rFonts w:cs="Lucida Grande"/>
          <w:color w:val="000000"/>
        </w:rPr>
        <w:t xml:space="preserve"> structure</w:t>
      </w:r>
      <w:r w:rsidR="001835EA">
        <w:rPr>
          <w:rFonts w:cs="Lucida Grande"/>
          <w:color w:val="000000"/>
        </w:rPr>
        <w:t xml:space="preserve"> (blue curve)</w:t>
      </w:r>
      <w:r w:rsidR="00491DEA" w:rsidRPr="00491DEA">
        <w:rPr>
          <w:rFonts w:cs="Times"/>
        </w:rPr>
        <w:t>.</w:t>
      </w:r>
      <w:r w:rsidR="00491DEA" w:rsidRPr="00491DEA">
        <w:rPr>
          <w:rFonts w:cs="Lucida Grande"/>
          <w:color w:val="000000"/>
        </w:rPr>
        <w:t xml:space="preserve"> </w:t>
      </w:r>
      <w:r w:rsidR="00F0233D">
        <w:rPr>
          <w:rFonts w:cs="Lucida Grande"/>
          <w:color w:val="000000"/>
        </w:rPr>
        <w:t xml:space="preserve">As a result, both spectral density and spectral efficiency decrease by </w:t>
      </w:r>
      <w:r w:rsidR="0061401F">
        <w:rPr>
          <w:rFonts w:cs="Lucida Grande"/>
          <w:color w:val="000000"/>
        </w:rPr>
        <w:t>~</w:t>
      </w:r>
      <w:r w:rsidR="00F0233D">
        <w:rPr>
          <w:rFonts w:cs="Lucida Grande"/>
          <w:color w:val="000000"/>
        </w:rPr>
        <w:t>3</w:t>
      </w:r>
      <w:r w:rsidR="000D29C4">
        <w:rPr>
          <w:rFonts w:cs="Lucida Grande"/>
          <w:color w:val="000000"/>
        </w:rPr>
        <w:t xml:space="preserve"> </w:t>
      </w:r>
      <w:r w:rsidR="00F0233D">
        <w:rPr>
          <w:rFonts w:cs="Lucida Grande"/>
          <w:color w:val="000000"/>
        </w:rPr>
        <w:t>%.</w:t>
      </w:r>
      <w:r w:rsidR="00470B4B">
        <w:rPr>
          <w:rFonts w:cs="Lucida Grande"/>
          <w:color w:val="000000"/>
        </w:rPr>
        <w:t xml:space="preserve"> </w:t>
      </w:r>
      <w:r w:rsidR="006E26DD">
        <w:rPr>
          <w:rFonts w:cs="Lucida Grande"/>
          <w:color w:val="000000"/>
        </w:rPr>
        <w:t xml:space="preserve">The measured spectrum displays </w:t>
      </w:r>
      <w:r w:rsidR="00162893">
        <w:rPr>
          <w:rFonts w:cs="Lucida Grande"/>
          <w:color w:val="000000"/>
        </w:rPr>
        <w:t>undesirable</w:t>
      </w:r>
      <w:r w:rsidR="00470B4B">
        <w:rPr>
          <w:rFonts w:cs="Lucida Grande"/>
          <w:color w:val="000000"/>
        </w:rPr>
        <w:t xml:space="preserve"> thermal emission in mid IR range (&gt; 2.3</w:t>
      </w:r>
      <w:r w:rsidR="00470B4B" w:rsidRPr="00470B4B">
        <w:rPr>
          <w:rFonts w:cs="Lucida Grande"/>
          <w:color w:val="000000"/>
        </w:rPr>
        <w:t xml:space="preserve"> </w:t>
      </w:r>
      <w:proofErr w:type="spellStart"/>
      <w:r w:rsidR="00470B4B" w:rsidRPr="00491DEA">
        <w:rPr>
          <w:rFonts w:cs="Lucida Grande"/>
          <w:color w:val="000000"/>
        </w:rPr>
        <w:t>μ</w:t>
      </w:r>
      <w:r w:rsidR="00162893">
        <w:rPr>
          <w:rFonts w:cs="Lucida Grande"/>
          <w:color w:val="000000"/>
        </w:rPr>
        <w:t>m</w:t>
      </w:r>
      <w:proofErr w:type="spellEnd"/>
      <w:r w:rsidR="00162893">
        <w:rPr>
          <w:rFonts w:cs="Lucida Grande"/>
          <w:color w:val="000000"/>
        </w:rPr>
        <w:t>, see main text)</w:t>
      </w:r>
      <w:r w:rsidR="006E26DD">
        <w:rPr>
          <w:rFonts w:cs="Lucida Grande"/>
          <w:color w:val="000000"/>
        </w:rPr>
        <w:t xml:space="preserve">, which results in </w:t>
      </w:r>
      <w:r w:rsidR="00162893">
        <w:rPr>
          <w:rFonts w:cs="Lucida Grande"/>
          <w:color w:val="000000"/>
        </w:rPr>
        <w:t xml:space="preserve">a </w:t>
      </w:r>
      <w:r w:rsidR="006E26DD">
        <w:rPr>
          <w:rFonts w:cs="Lucida Grande"/>
          <w:color w:val="000000"/>
        </w:rPr>
        <w:t>significant</w:t>
      </w:r>
      <w:r w:rsidR="00162893">
        <w:rPr>
          <w:rFonts w:cs="Lucida Grande"/>
          <w:color w:val="000000"/>
        </w:rPr>
        <w:t>ly</w:t>
      </w:r>
      <w:r w:rsidR="006E26DD">
        <w:rPr>
          <w:rFonts w:cs="Lucida Grande"/>
          <w:color w:val="000000"/>
        </w:rPr>
        <w:t xml:space="preserve"> </w:t>
      </w:r>
      <w:r w:rsidR="00162893">
        <w:rPr>
          <w:rFonts w:cs="Lucida Grande"/>
          <w:color w:val="000000"/>
        </w:rPr>
        <w:t>reduction in</w:t>
      </w:r>
      <w:r w:rsidR="006E26DD">
        <w:rPr>
          <w:rFonts w:cs="Lucida Grande"/>
          <w:color w:val="000000"/>
        </w:rPr>
        <w:t xml:space="preserve"> </w:t>
      </w:r>
      <w:proofErr w:type="spellStart"/>
      <w:r w:rsidR="00162893" w:rsidRPr="00AE02CB">
        <w:rPr>
          <w:rFonts w:cs="Lucida Grande"/>
          <w:color w:val="000000"/>
        </w:rPr>
        <w:t>η</w:t>
      </w:r>
      <w:r w:rsidR="00162893" w:rsidRPr="00AE02CB">
        <w:rPr>
          <w:rFonts w:cs="Lucida Grande"/>
          <w:color w:val="000000"/>
          <w:vertAlign w:val="subscript"/>
        </w:rPr>
        <w:t>s</w:t>
      </w:r>
      <w:proofErr w:type="spellEnd"/>
      <w:r w:rsidR="006E26DD">
        <w:rPr>
          <w:rFonts w:cs="Lucida Grande"/>
          <w:color w:val="000000"/>
        </w:rPr>
        <w:t>.</w:t>
      </w:r>
    </w:p>
    <w:p w14:paraId="66B60FE0" w14:textId="77777777" w:rsidR="00D71027" w:rsidRPr="003C69F4" w:rsidRDefault="00D71027" w:rsidP="003C69F4">
      <w:pPr>
        <w:widowControl w:val="0"/>
        <w:autoSpaceDE w:val="0"/>
        <w:autoSpaceDN w:val="0"/>
        <w:adjustRightInd w:val="0"/>
        <w:spacing w:after="240"/>
        <w:rPr>
          <w:rFonts w:cs="Times"/>
        </w:rPr>
      </w:pPr>
    </w:p>
    <w:p w14:paraId="718BEB66" w14:textId="77777777" w:rsidR="003C69F4" w:rsidRPr="00D919D8" w:rsidRDefault="003C69F4" w:rsidP="003C69F4">
      <w:pPr>
        <w:pStyle w:val="ListParagraph"/>
        <w:widowControl w:val="0"/>
        <w:numPr>
          <w:ilvl w:val="0"/>
          <w:numId w:val="2"/>
        </w:numPr>
        <w:autoSpaceDE w:val="0"/>
        <w:autoSpaceDN w:val="0"/>
        <w:adjustRightInd w:val="0"/>
        <w:spacing w:after="240"/>
        <w:rPr>
          <w:rFonts w:cs="Times"/>
          <w:b/>
        </w:rPr>
      </w:pPr>
      <w:r w:rsidRPr="00D919D8">
        <w:rPr>
          <w:rFonts w:cs="Times"/>
          <w:b/>
        </w:rPr>
        <w:t>Alloy model</w:t>
      </w:r>
    </w:p>
    <w:p w14:paraId="1FD29EE5" w14:textId="77777777" w:rsidR="003C69F4" w:rsidRDefault="003C69F4" w:rsidP="00162893">
      <w:pPr>
        <w:widowControl w:val="0"/>
        <w:autoSpaceDE w:val="0"/>
        <w:autoSpaceDN w:val="0"/>
        <w:adjustRightInd w:val="0"/>
        <w:spacing w:after="240"/>
        <w:jc w:val="left"/>
        <w:rPr>
          <w:rFonts w:cs="Times"/>
        </w:rPr>
      </w:pPr>
      <w:r>
        <w:rPr>
          <w:rFonts w:cs="Times"/>
          <w:noProof/>
        </w:rPr>
        <w:lastRenderedPageBreak/>
        <w:drawing>
          <wp:inline distT="0" distB="0" distL="0" distR="0" wp14:anchorId="76F983F1" wp14:editId="5D47ABAF">
            <wp:extent cx="3492429" cy="2560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 alloy model.jpg"/>
                    <pic:cNvPicPr/>
                  </pic:nvPicPr>
                  <pic:blipFill>
                    <a:blip r:embed="rId10">
                      <a:extLst>
                        <a:ext uri="{28A0092B-C50C-407E-A947-70E740481C1C}">
                          <a14:useLocalDpi xmlns:a14="http://schemas.microsoft.com/office/drawing/2010/main" val="0"/>
                        </a:ext>
                      </a:extLst>
                    </a:blip>
                    <a:stretch>
                      <a:fillRect/>
                    </a:stretch>
                  </pic:blipFill>
                  <pic:spPr>
                    <a:xfrm>
                      <a:off x="0" y="0"/>
                      <a:ext cx="3492429" cy="2560320"/>
                    </a:xfrm>
                    <a:prstGeom prst="rect">
                      <a:avLst/>
                    </a:prstGeom>
                  </pic:spPr>
                </pic:pic>
              </a:graphicData>
            </a:graphic>
          </wp:inline>
        </w:drawing>
      </w:r>
    </w:p>
    <w:p w14:paraId="6E266DF6" w14:textId="77777777" w:rsidR="00C9141B" w:rsidRDefault="005E220B" w:rsidP="00162893">
      <w:pPr>
        <w:widowControl w:val="0"/>
        <w:autoSpaceDE w:val="0"/>
        <w:autoSpaceDN w:val="0"/>
        <w:adjustRightInd w:val="0"/>
        <w:spacing w:after="240"/>
        <w:jc w:val="left"/>
        <w:rPr>
          <w:rFonts w:cs="Times"/>
        </w:rPr>
      </w:pPr>
      <w:r w:rsidRPr="00162893">
        <w:rPr>
          <w:rFonts w:cs="Times"/>
          <w:b/>
          <w:bCs/>
        </w:rPr>
        <w:t>Figure S</w:t>
      </w:r>
      <w:r w:rsidR="00162893" w:rsidRPr="00162893">
        <w:rPr>
          <w:rFonts w:cs="Times"/>
          <w:b/>
          <w:bCs/>
        </w:rPr>
        <w:t>10</w:t>
      </w:r>
      <w:r w:rsidRPr="00162893">
        <w:rPr>
          <w:rFonts w:cs="Times"/>
          <w:b/>
          <w:bCs/>
        </w:rPr>
        <w:t>.</w:t>
      </w:r>
      <w:r>
        <w:rPr>
          <w:rFonts w:cs="Times"/>
        </w:rPr>
        <w:t xml:space="preserve"> Thermal emission spectra of Alloy</w:t>
      </w:r>
      <w:r w:rsidR="00D919D8">
        <w:rPr>
          <w:rFonts w:cs="Times"/>
        </w:rPr>
        <w:t>/</w:t>
      </w:r>
      <w:r>
        <w:rPr>
          <w:rFonts w:cs="Times"/>
        </w:rPr>
        <w:t>BR</w:t>
      </w:r>
      <w:r w:rsidR="00D919D8">
        <w:rPr>
          <w:rFonts w:cs="Times"/>
        </w:rPr>
        <w:t>/</w:t>
      </w:r>
      <w:r>
        <w:rPr>
          <w:rFonts w:cs="Times"/>
        </w:rPr>
        <w:t xml:space="preserve">W </w:t>
      </w:r>
      <w:r w:rsidR="00D919D8">
        <w:rPr>
          <w:rFonts w:cs="Times"/>
        </w:rPr>
        <w:t>at 1000 °C calculated from</w:t>
      </w:r>
      <w:r>
        <w:rPr>
          <w:rFonts w:cs="Times"/>
        </w:rPr>
        <w:t xml:space="preserve"> varied alloy models and optical constants of W. Red: measure</w:t>
      </w:r>
      <w:r w:rsidR="00162893">
        <w:rPr>
          <w:rFonts w:cs="Times"/>
        </w:rPr>
        <w:t>d</w:t>
      </w:r>
      <w:r>
        <w:rPr>
          <w:rFonts w:cs="Times"/>
        </w:rPr>
        <w:t xml:space="preserve"> spectrum; </w:t>
      </w:r>
      <w:r w:rsidR="00166125">
        <w:rPr>
          <w:rFonts w:cs="Times"/>
        </w:rPr>
        <w:t>y</w:t>
      </w:r>
      <w:r>
        <w:rPr>
          <w:rFonts w:cs="Times"/>
        </w:rPr>
        <w:t>ellow: Bruggeman model with optical constants of ALD W,</w:t>
      </w:r>
      <w:r w:rsidR="00166125">
        <w:rPr>
          <w:rFonts w:cs="Times"/>
        </w:rPr>
        <w:t xml:space="preserve"> green: Maxwell-Garnett model with optical constants of ALD W; blue:</w:t>
      </w:r>
      <w:r w:rsidR="00166125" w:rsidRPr="00166125">
        <w:rPr>
          <w:rFonts w:cs="Times"/>
        </w:rPr>
        <w:t xml:space="preserve"> </w:t>
      </w:r>
      <w:r w:rsidR="00166125">
        <w:rPr>
          <w:rFonts w:cs="Times"/>
        </w:rPr>
        <w:t xml:space="preserve">Maxwell-Garnett model with optical constants of W </w:t>
      </w:r>
      <w:proofErr w:type="spellStart"/>
      <w:r w:rsidR="00166125">
        <w:rPr>
          <w:rFonts w:cs="Times"/>
        </w:rPr>
        <w:t>Palik</w:t>
      </w:r>
      <w:proofErr w:type="spellEnd"/>
      <w:r w:rsidR="00162893">
        <w:rPr>
          <w:rFonts w:cs="Times"/>
        </w:rPr>
        <w:t>.</w:t>
      </w:r>
    </w:p>
    <w:tbl>
      <w:tblPr>
        <w:tblStyle w:val="GridTable5Dark-Accent61"/>
        <w:tblW w:w="8554" w:type="dxa"/>
        <w:tblLayout w:type="fixed"/>
        <w:tblLook w:val="04A0" w:firstRow="1" w:lastRow="0" w:firstColumn="1" w:lastColumn="0" w:noHBand="0" w:noVBand="1"/>
      </w:tblPr>
      <w:tblGrid>
        <w:gridCol w:w="1568"/>
        <w:gridCol w:w="1427"/>
        <w:gridCol w:w="1624"/>
        <w:gridCol w:w="1954"/>
        <w:gridCol w:w="1981"/>
      </w:tblGrid>
      <w:tr w:rsidR="00B6218C" w14:paraId="07E826DE" w14:textId="77777777" w:rsidTr="00B6218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53556E1A" w14:textId="77777777" w:rsidR="0061401F" w:rsidRDefault="0061401F" w:rsidP="000F2C86">
            <w:pPr>
              <w:widowControl w:val="0"/>
              <w:autoSpaceDE w:val="0"/>
              <w:autoSpaceDN w:val="0"/>
              <w:adjustRightInd w:val="0"/>
              <w:spacing w:after="0"/>
              <w:jc w:val="center"/>
              <w:rPr>
                <w:rFonts w:cs="Times"/>
              </w:rPr>
            </w:pPr>
            <w:r>
              <w:rPr>
                <w:rFonts w:cs="Times"/>
              </w:rPr>
              <w:t>Sample</w:t>
            </w:r>
          </w:p>
        </w:tc>
        <w:tc>
          <w:tcPr>
            <w:tcW w:w="1427" w:type="dxa"/>
            <w:vAlign w:val="center"/>
          </w:tcPr>
          <w:p w14:paraId="0F6DBF7A" w14:textId="77777777" w:rsidR="0061401F" w:rsidRDefault="0061401F"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Measured</w:t>
            </w:r>
          </w:p>
        </w:tc>
        <w:tc>
          <w:tcPr>
            <w:tcW w:w="1624" w:type="dxa"/>
            <w:vAlign w:val="center"/>
          </w:tcPr>
          <w:p w14:paraId="0057719B" w14:textId="77777777" w:rsidR="0061401F" w:rsidRDefault="0061401F"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B + ALD W</w:t>
            </w:r>
          </w:p>
        </w:tc>
        <w:tc>
          <w:tcPr>
            <w:tcW w:w="1954" w:type="dxa"/>
            <w:vAlign w:val="center"/>
          </w:tcPr>
          <w:p w14:paraId="35AE0952" w14:textId="77777777" w:rsidR="0061401F" w:rsidRDefault="0061401F"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M-G + ALD W</w:t>
            </w:r>
          </w:p>
        </w:tc>
        <w:tc>
          <w:tcPr>
            <w:tcW w:w="1981" w:type="dxa"/>
            <w:vAlign w:val="center"/>
          </w:tcPr>
          <w:p w14:paraId="70A8699A" w14:textId="77777777" w:rsidR="0061401F" w:rsidRDefault="0061401F" w:rsidP="000F2C86">
            <w:pPr>
              <w:widowControl w:val="0"/>
              <w:autoSpaceDE w:val="0"/>
              <w:autoSpaceDN w:val="0"/>
              <w:adjustRightInd w:val="0"/>
              <w:spacing w:after="0"/>
              <w:jc w:val="center"/>
              <w:cnfStyle w:val="100000000000" w:firstRow="1" w:lastRow="0" w:firstColumn="0" w:lastColumn="0" w:oddVBand="0" w:evenVBand="0" w:oddHBand="0" w:evenHBand="0" w:firstRowFirstColumn="0" w:firstRowLastColumn="0" w:lastRowFirstColumn="0" w:lastRowLastColumn="0"/>
              <w:rPr>
                <w:rFonts w:cs="Times"/>
              </w:rPr>
            </w:pPr>
            <w:r>
              <w:rPr>
                <w:rFonts w:cs="Times"/>
              </w:rPr>
              <w:t xml:space="preserve">M-G + </w:t>
            </w:r>
            <w:proofErr w:type="spellStart"/>
            <w:r>
              <w:rPr>
                <w:rFonts w:cs="Times"/>
              </w:rPr>
              <w:t>Palik</w:t>
            </w:r>
            <w:proofErr w:type="spellEnd"/>
            <w:r>
              <w:rPr>
                <w:rFonts w:cs="Times"/>
              </w:rPr>
              <w:t xml:space="preserve"> W</w:t>
            </w:r>
          </w:p>
        </w:tc>
      </w:tr>
      <w:tr w:rsidR="00B6218C" w14:paraId="17E53AA9" w14:textId="77777777" w:rsidTr="00B6218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7027D81B" w14:textId="77777777" w:rsidR="00510B38" w:rsidRDefault="00162893" w:rsidP="000F2C86">
            <w:pPr>
              <w:widowControl w:val="0"/>
              <w:autoSpaceDE w:val="0"/>
              <w:autoSpaceDN w:val="0"/>
              <w:adjustRightInd w:val="0"/>
              <w:spacing w:after="0"/>
              <w:jc w:val="center"/>
              <w:rPr>
                <w:rFonts w:cs="Times"/>
              </w:rPr>
            </w:pPr>
            <w:r w:rsidRPr="00162893">
              <w:rPr>
                <w:rFonts w:cs="Lucida Grande"/>
                <w:i/>
                <w:iCs/>
              </w:rPr>
              <w:t>P</w:t>
            </w:r>
            <w:r w:rsidR="00510B38" w:rsidRPr="00D919D8">
              <w:rPr>
                <w:rFonts w:cs="Lucida Grande"/>
              </w:rPr>
              <w:t xml:space="preserve"> </w:t>
            </w:r>
            <w:r w:rsidR="00510B38" w:rsidRPr="00D919D8">
              <w:rPr>
                <w:rFonts w:cs="Times"/>
              </w:rPr>
              <w:t>[W/cm</w:t>
            </w:r>
            <w:r w:rsidR="00510B38" w:rsidRPr="00D919D8">
              <w:rPr>
                <w:rFonts w:cs="Times"/>
                <w:vertAlign w:val="superscript"/>
              </w:rPr>
              <w:t>2</w:t>
            </w:r>
            <w:r w:rsidR="00510B38" w:rsidRPr="00D919D8">
              <w:rPr>
                <w:rFonts w:cs="Times"/>
              </w:rPr>
              <w:t>]</w:t>
            </w:r>
          </w:p>
        </w:tc>
        <w:tc>
          <w:tcPr>
            <w:tcW w:w="1427" w:type="dxa"/>
            <w:vAlign w:val="center"/>
          </w:tcPr>
          <w:p w14:paraId="439A6C42" w14:textId="77777777" w:rsidR="00510B38"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3.0</w:t>
            </w:r>
          </w:p>
        </w:tc>
        <w:tc>
          <w:tcPr>
            <w:tcW w:w="1624" w:type="dxa"/>
            <w:vAlign w:val="center"/>
          </w:tcPr>
          <w:p w14:paraId="163801E9" w14:textId="77777777" w:rsidR="00510B38"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3.1</w:t>
            </w:r>
          </w:p>
        </w:tc>
        <w:tc>
          <w:tcPr>
            <w:tcW w:w="1954" w:type="dxa"/>
            <w:vAlign w:val="center"/>
          </w:tcPr>
          <w:p w14:paraId="7DAE0AA1" w14:textId="77777777" w:rsidR="00510B38"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2.2</w:t>
            </w:r>
          </w:p>
        </w:tc>
        <w:tc>
          <w:tcPr>
            <w:tcW w:w="1981" w:type="dxa"/>
            <w:vAlign w:val="center"/>
          </w:tcPr>
          <w:p w14:paraId="18DAAB2A" w14:textId="77777777" w:rsidR="00510B38" w:rsidRDefault="00585EBE" w:rsidP="000F2C86">
            <w:pPr>
              <w:widowControl w:val="0"/>
              <w:autoSpaceDE w:val="0"/>
              <w:autoSpaceDN w:val="0"/>
              <w:adjustRightInd w:val="0"/>
              <w:spacing w:after="0"/>
              <w:jc w:val="center"/>
              <w:cnfStyle w:val="000000100000" w:firstRow="0" w:lastRow="0" w:firstColumn="0" w:lastColumn="0" w:oddVBand="0" w:evenVBand="0" w:oddHBand="1" w:evenHBand="0" w:firstRowFirstColumn="0" w:firstRowLastColumn="0" w:lastRowFirstColumn="0" w:lastRowLastColumn="0"/>
              <w:rPr>
                <w:rFonts w:cs="Times"/>
              </w:rPr>
            </w:pPr>
            <w:r>
              <w:rPr>
                <w:rFonts w:cs="Times"/>
              </w:rPr>
              <w:t>2.0</w:t>
            </w:r>
          </w:p>
        </w:tc>
      </w:tr>
      <w:tr w:rsidR="00B6218C" w14:paraId="01516B3B" w14:textId="77777777" w:rsidTr="00B6218C">
        <w:trPr>
          <w:trHeight w:val="70"/>
        </w:trPr>
        <w:tc>
          <w:tcPr>
            <w:cnfStyle w:val="001000000000" w:firstRow="0" w:lastRow="0" w:firstColumn="1" w:lastColumn="0" w:oddVBand="0" w:evenVBand="0" w:oddHBand="0" w:evenHBand="0" w:firstRowFirstColumn="0" w:firstRowLastColumn="0" w:lastRowFirstColumn="0" w:lastRowLastColumn="0"/>
            <w:tcW w:w="1568" w:type="dxa"/>
            <w:vAlign w:val="center"/>
          </w:tcPr>
          <w:p w14:paraId="5008150C" w14:textId="77777777" w:rsidR="00510B38" w:rsidRDefault="00510B38" w:rsidP="000F2C86">
            <w:pPr>
              <w:widowControl w:val="0"/>
              <w:autoSpaceDE w:val="0"/>
              <w:autoSpaceDN w:val="0"/>
              <w:adjustRightInd w:val="0"/>
              <w:spacing w:after="0"/>
              <w:jc w:val="center"/>
              <w:rPr>
                <w:rFonts w:cs="Times"/>
              </w:rPr>
            </w:pPr>
            <w:proofErr w:type="spellStart"/>
            <w:r w:rsidRPr="00D919D8">
              <w:rPr>
                <w:rFonts w:cs="Lucida Grande"/>
              </w:rPr>
              <w:t>η</w:t>
            </w:r>
            <w:r w:rsidRPr="00D919D8">
              <w:rPr>
                <w:rFonts w:cs="Lucida Grande"/>
                <w:vertAlign w:val="subscript"/>
              </w:rPr>
              <w:t>s</w:t>
            </w:r>
            <w:proofErr w:type="spellEnd"/>
            <w:r w:rsidRPr="00D919D8">
              <w:rPr>
                <w:rFonts w:cs="Times"/>
              </w:rPr>
              <w:t xml:space="preserve"> [%]</w:t>
            </w:r>
          </w:p>
        </w:tc>
        <w:tc>
          <w:tcPr>
            <w:tcW w:w="1427" w:type="dxa"/>
            <w:vAlign w:val="center"/>
          </w:tcPr>
          <w:p w14:paraId="611C5B47" w14:textId="77777777" w:rsidR="00510B38" w:rsidRDefault="00510B38"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35.2</w:t>
            </w:r>
          </w:p>
        </w:tc>
        <w:tc>
          <w:tcPr>
            <w:tcW w:w="1624" w:type="dxa"/>
            <w:vAlign w:val="center"/>
          </w:tcPr>
          <w:p w14:paraId="17E69E8B" w14:textId="77777777" w:rsidR="00510B38" w:rsidRDefault="00510B38"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49.4</w:t>
            </w:r>
          </w:p>
        </w:tc>
        <w:tc>
          <w:tcPr>
            <w:tcW w:w="1954" w:type="dxa"/>
            <w:vAlign w:val="center"/>
          </w:tcPr>
          <w:p w14:paraId="055CF59E" w14:textId="77777777" w:rsidR="00510B38" w:rsidRDefault="00510B38"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54.5</w:t>
            </w:r>
          </w:p>
        </w:tc>
        <w:tc>
          <w:tcPr>
            <w:tcW w:w="1981" w:type="dxa"/>
            <w:vAlign w:val="center"/>
          </w:tcPr>
          <w:p w14:paraId="5A476DF0" w14:textId="77777777" w:rsidR="00510B38" w:rsidRDefault="00510B38" w:rsidP="000F2C86">
            <w:pPr>
              <w:widowControl w:val="0"/>
              <w:autoSpaceDE w:val="0"/>
              <w:autoSpaceDN w:val="0"/>
              <w:adjustRightInd w:val="0"/>
              <w:spacing w:after="0"/>
              <w:jc w:val="center"/>
              <w:cnfStyle w:val="000000000000" w:firstRow="0" w:lastRow="0" w:firstColumn="0" w:lastColumn="0" w:oddVBand="0" w:evenVBand="0" w:oddHBand="0" w:evenHBand="0" w:firstRowFirstColumn="0" w:firstRowLastColumn="0" w:lastRowFirstColumn="0" w:lastRowLastColumn="0"/>
              <w:rPr>
                <w:rFonts w:cs="Times"/>
              </w:rPr>
            </w:pPr>
            <w:r>
              <w:rPr>
                <w:rFonts w:cs="Times"/>
              </w:rPr>
              <w:t>55.4</w:t>
            </w:r>
          </w:p>
        </w:tc>
      </w:tr>
    </w:tbl>
    <w:p w14:paraId="2B8B5E26" w14:textId="77777777" w:rsidR="0061401F" w:rsidRDefault="00C9141B" w:rsidP="00162893">
      <w:pPr>
        <w:widowControl w:val="0"/>
        <w:autoSpaceDE w:val="0"/>
        <w:autoSpaceDN w:val="0"/>
        <w:adjustRightInd w:val="0"/>
        <w:spacing w:after="240"/>
        <w:jc w:val="left"/>
        <w:rPr>
          <w:rFonts w:cs="Times"/>
        </w:rPr>
      </w:pPr>
      <w:r w:rsidRPr="00162893">
        <w:rPr>
          <w:rFonts w:cs="Times"/>
          <w:b/>
          <w:bCs/>
        </w:rPr>
        <w:t>Table S</w:t>
      </w:r>
      <w:r w:rsidR="002C6DC3" w:rsidRPr="00162893">
        <w:rPr>
          <w:rFonts w:cs="Times"/>
          <w:b/>
          <w:bCs/>
        </w:rPr>
        <w:t>5</w:t>
      </w:r>
      <w:r>
        <w:rPr>
          <w:rFonts w:cs="Times"/>
        </w:rPr>
        <w:t>. Spectral density</w:t>
      </w:r>
      <w:r w:rsidR="002014C2" w:rsidRPr="002014C2">
        <w:rPr>
          <w:rFonts w:cs="Lucida Grande"/>
          <w:color w:val="000000"/>
        </w:rPr>
        <w:t xml:space="preserve"> </w:t>
      </w:r>
      <w:r w:rsidR="00162893" w:rsidRPr="00162893">
        <w:rPr>
          <w:rFonts w:cs="Lucida Grande"/>
          <w:i/>
          <w:iCs/>
          <w:color w:val="000000"/>
        </w:rPr>
        <w:t>P</w:t>
      </w:r>
      <w:r w:rsidR="002014C2">
        <w:rPr>
          <w:rFonts w:cs="Times"/>
        </w:rPr>
        <w:t xml:space="preserve"> </w:t>
      </w:r>
      <w:r>
        <w:rPr>
          <w:rFonts w:cs="Times"/>
        </w:rPr>
        <w:t xml:space="preserve">and spectral efficiency </w:t>
      </w:r>
      <w:proofErr w:type="spellStart"/>
      <w:r w:rsidR="002014C2" w:rsidRPr="00AE02CB">
        <w:rPr>
          <w:rFonts w:cs="Lucida Grande"/>
          <w:color w:val="000000"/>
        </w:rPr>
        <w:t>η</w:t>
      </w:r>
      <w:r w:rsidR="002014C2" w:rsidRPr="00AE02CB">
        <w:rPr>
          <w:rFonts w:cs="Lucida Grande"/>
          <w:color w:val="000000"/>
          <w:vertAlign w:val="subscript"/>
        </w:rPr>
        <w:t>s</w:t>
      </w:r>
      <w:proofErr w:type="spellEnd"/>
      <w:r w:rsidR="002014C2">
        <w:rPr>
          <w:rFonts w:cs="Times"/>
        </w:rPr>
        <w:t xml:space="preserve"> </w:t>
      </w:r>
      <w:r>
        <w:rPr>
          <w:rFonts w:cs="Times"/>
        </w:rPr>
        <w:t>of alloy + BR + W</w:t>
      </w:r>
    </w:p>
    <w:p w14:paraId="1CA795A0" w14:textId="77777777" w:rsidR="00D71027" w:rsidRPr="00AE02CB" w:rsidRDefault="004153FC" w:rsidP="00AE02CB">
      <w:pPr>
        <w:widowControl w:val="0"/>
        <w:autoSpaceDE w:val="0"/>
        <w:autoSpaceDN w:val="0"/>
        <w:adjustRightInd w:val="0"/>
        <w:spacing w:after="240"/>
        <w:rPr>
          <w:rFonts w:cs="Times"/>
        </w:rPr>
      </w:pPr>
      <w:r>
        <w:rPr>
          <w:rFonts w:cs="Times"/>
        </w:rPr>
        <w:t>Depending on model</w:t>
      </w:r>
      <w:r w:rsidR="004B77F6">
        <w:rPr>
          <w:rFonts w:cs="Times"/>
        </w:rPr>
        <w:t xml:space="preserve"> to describe </w:t>
      </w:r>
      <w:r w:rsidR="004A7912">
        <w:rPr>
          <w:rFonts w:cs="Times"/>
        </w:rPr>
        <w:t>refractive index</w:t>
      </w:r>
      <w:r w:rsidR="004B77F6">
        <w:rPr>
          <w:rFonts w:cs="Times"/>
        </w:rPr>
        <w:t xml:space="preserve"> of alloy (Bruggeman vs. Maxwell-Garnett), and </w:t>
      </w:r>
      <w:r w:rsidR="004A7912">
        <w:rPr>
          <w:rFonts w:cs="Times"/>
        </w:rPr>
        <w:t xml:space="preserve">that of each </w:t>
      </w:r>
      <w:r>
        <w:rPr>
          <w:rFonts w:cs="Times"/>
        </w:rPr>
        <w:t xml:space="preserve">constituting </w:t>
      </w:r>
      <w:r w:rsidR="004A7912">
        <w:rPr>
          <w:rFonts w:cs="Times"/>
        </w:rPr>
        <w:t>element in alloy (</w:t>
      </w:r>
      <w:proofErr w:type="spellStart"/>
      <w:r w:rsidR="004A7912">
        <w:rPr>
          <w:rFonts w:cs="Times"/>
        </w:rPr>
        <w:t>Palik</w:t>
      </w:r>
      <w:proofErr w:type="spellEnd"/>
      <w:r w:rsidR="004A7912">
        <w:rPr>
          <w:rFonts w:cs="Times"/>
        </w:rPr>
        <w:t xml:space="preserve"> W vs. ALD W), the spectral density and spectral selectivity </w:t>
      </w:r>
      <w:r>
        <w:rPr>
          <w:rFonts w:cs="Times"/>
        </w:rPr>
        <w:t>may</w:t>
      </w:r>
      <w:r w:rsidR="004A7912">
        <w:rPr>
          <w:rFonts w:cs="Times"/>
        </w:rPr>
        <w:t xml:space="preserve"> differ significantly.</w:t>
      </w:r>
    </w:p>
    <w:p w14:paraId="6423D47B" w14:textId="77777777" w:rsidR="00F20907" w:rsidRPr="00887CBC" w:rsidRDefault="00F20907" w:rsidP="00F20907">
      <w:pPr>
        <w:widowControl w:val="0"/>
        <w:autoSpaceDE w:val="0"/>
        <w:autoSpaceDN w:val="0"/>
        <w:adjustRightInd w:val="0"/>
        <w:spacing w:after="240"/>
        <w:rPr>
          <w:rFonts w:cs="Times"/>
          <w:b/>
          <w:bCs/>
        </w:rPr>
      </w:pPr>
      <w:r w:rsidRPr="00887CBC">
        <w:rPr>
          <w:rFonts w:cs="Times"/>
          <w:b/>
          <w:bCs/>
        </w:rPr>
        <w:t xml:space="preserve">Overall </w:t>
      </w:r>
      <w:proofErr w:type="spellStart"/>
      <w:r>
        <w:rPr>
          <w:rFonts w:cs="Times"/>
          <w:b/>
          <w:bCs/>
        </w:rPr>
        <w:t>Thermophotovoltaic</w:t>
      </w:r>
      <w:proofErr w:type="spellEnd"/>
      <w:r>
        <w:rPr>
          <w:rFonts w:cs="Times"/>
          <w:b/>
          <w:bCs/>
        </w:rPr>
        <w:t xml:space="preserve"> </w:t>
      </w:r>
      <w:r w:rsidRPr="00887CBC">
        <w:rPr>
          <w:rFonts w:cs="Times"/>
          <w:b/>
          <w:bCs/>
        </w:rPr>
        <w:t xml:space="preserve">System Efficiency </w:t>
      </w:r>
    </w:p>
    <w:p w14:paraId="4D9B6177" w14:textId="7352702C" w:rsidR="00F20907" w:rsidRPr="00887CBC" w:rsidRDefault="00DB69CE" w:rsidP="00162893">
      <w:pPr>
        <w:widowControl w:val="0"/>
        <w:autoSpaceDE w:val="0"/>
        <w:autoSpaceDN w:val="0"/>
        <w:adjustRightInd w:val="0"/>
        <w:spacing w:after="240"/>
        <w:rPr>
          <w:rFonts w:cs="Times"/>
        </w:rPr>
      </w:pPr>
      <m:oMath>
        <m:sSub>
          <m:sSubPr>
            <m:ctrlPr>
              <w:rPr>
                <w:rFonts w:ascii="Cambria Math" w:hAnsi="Cambria Math" w:cs="Times"/>
                <w:i/>
              </w:rPr>
            </m:ctrlPr>
          </m:sSubPr>
          <m:e>
            <m:r>
              <w:rPr>
                <w:rFonts w:ascii="Cambria Math" w:hAnsi="Cambria Math" w:cs="Times"/>
              </w:rPr>
              <m:t>η</m:t>
            </m:r>
          </m:e>
          <m:sub>
            <m:r>
              <w:rPr>
                <w:rFonts w:ascii="Cambria Math" w:hAnsi="Cambria Math" w:cs="Times"/>
              </w:rPr>
              <m:t>TPV</m:t>
            </m:r>
          </m:sub>
        </m:sSub>
      </m:oMath>
      <w:r w:rsidR="00F20907" w:rsidRPr="00887CBC">
        <w:rPr>
          <w:rFonts w:cs="Times"/>
        </w:rPr>
        <w:t xml:space="preserve"> </w:t>
      </w:r>
      <w:r w:rsidR="00F20907">
        <w:rPr>
          <w:rFonts w:cs="Times"/>
        </w:rPr>
        <w:t xml:space="preserve">as calculated here </w:t>
      </w:r>
      <w:r w:rsidR="00F20907" w:rsidRPr="00887CBC">
        <w:rPr>
          <w:rFonts w:cs="Times"/>
        </w:rPr>
        <w:t>do</w:t>
      </w:r>
      <w:r w:rsidR="00F20907">
        <w:rPr>
          <w:rFonts w:cs="Times"/>
        </w:rPr>
        <w:t>es</w:t>
      </w:r>
      <w:r w:rsidR="00F20907" w:rsidRPr="00887CBC">
        <w:rPr>
          <w:rFonts w:cs="Times"/>
        </w:rPr>
        <w:t xml:space="preserve"> not </w:t>
      </w:r>
      <w:r w:rsidR="00F20907">
        <w:rPr>
          <w:rFonts w:cs="Times"/>
        </w:rPr>
        <w:t>include other</w:t>
      </w:r>
      <w:r w:rsidR="00F20907" w:rsidRPr="00887CBC">
        <w:rPr>
          <w:rFonts w:cs="Times"/>
        </w:rPr>
        <w:t xml:space="preserve"> important factors </w:t>
      </w:r>
      <w:r w:rsidR="00F20907">
        <w:rPr>
          <w:rFonts w:cs="Times"/>
        </w:rPr>
        <w:t xml:space="preserve">in total </w:t>
      </w:r>
      <w:proofErr w:type="spellStart"/>
      <w:r w:rsidR="00F20907">
        <w:rPr>
          <w:rFonts w:cs="Times"/>
        </w:rPr>
        <w:t>thermophotovoltaic</w:t>
      </w:r>
      <w:proofErr w:type="spellEnd"/>
      <w:r w:rsidR="00F20907">
        <w:rPr>
          <w:rFonts w:cs="Times"/>
        </w:rPr>
        <w:t xml:space="preserve"> system </w:t>
      </w:r>
      <w:r w:rsidR="00F20907" w:rsidRPr="00887CBC">
        <w:rPr>
          <w:rFonts w:cs="Times"/>
        </w:rPr>
        <w:t xml:space="preserve">efficiency </w:t>
      </w:r>
      <w:r w:rsidR="00F20907">
        <w:rPr>
          <w:rFonts w:cs="Times"/>
        </w:rPr>
        <w:t xml:space="preserve">such as the </w:t>
      </w:r>
      <w:r w:rsidR="00F20907" w:rsidRPr="00887CBC">
        <w:rPr>
          <w:rFonts w:cs="Times"/>
        </w:rPr>
        <w:t>PV cell (</w:t>
      </w:r>
      <m:oMath>
        <m:sSub>
          <m:sSubPr>
            <m:ctrlPr>
              <w:rPr>
                <w:rFonts w:ascii="Cambria Math" w:hAnsi="Cambria Math" w:cs="Times"/>
                <w:i/>
              </w:rPr>
            </m:ctrlPr>
          </m:sSubPr>
          <m:e>
            <m:r>
              <w:rPr>
                <w:rFonts w:ascii="Cambria Math" w:hAnsi="Cambria Math" w:cs="Times"/>
              </w:rPr>
              <m:t>η</m:t>
            </m:r>
          </m:e>
          <m:sub>
            <m:r>
              <w:rPr>
                <w:rFonts w:ascii="Cambria Math" w:hAnsi="Cambria Math" w:cs="Times"/>
              </w:rPr>
              <m:t>PV</m:t>
            </m:r>
          </m:sub>
        </m:sSub>
      </m:oMath>
      <w:r w:rsidR="00F20907">
        <w:rPr>
          <w:rFonts w:cs="Times"/>
        </w:rPr>
        <w:t xml:space="preserve">) and </w:t>
      </w:r>
      <w:r w:rsidR="00F20907" w:rsidRPr="00887CBC">
        <w:rPr>
          <w:rFonts w:cs="Times"/>
        </w:rPr>
        <w:t>efficiency with which the emitter structure can be heated (</w:t>
      </w:r>
      <m:oMath>
        <m:sSub>
          <m:sSubPr>
            <m:ctrlPr>
              <w:rPr>
                <w:rFonts w:ascii="Cambria Math" w:hAnsi="Cambria Math" w:cs="Times"/>
                <w:i/>
              </w:rPr>
            </m:ctrlPr>
          </m:sSubPr>
          <m:e>
            <m:r>
              <w:rPr>
                <w:rFonts w:ascii="Cambria Math" w:hAnsi="Cambria Math" w:cs="Times"/>
              </w:rPr>
              <m:t>η</m:t>
            </m:r>
          </m:e>
          <m:sub>
            <m:r>
              <w:rPr>
                <w:rFonts w:ascii="Cambria Math" w:hAnsi="Cambria Math" w:cs="Times"/>
              </w:rPr>
              <m:t>Q</m:t>
            </m:r>
          </m:sub>
        </m:sSub>
      </m:oMath>
      <w:r w:rsidR="00F20907" w:rsidRPr="00887CBC">
        <w:rPr>
          <w:rFonts w:cs="Times"/>
        </w:rPr>
        <w:t>); the overall device efficiency will be a product of these two efficiencies with the spectral efficiency</w:t>
      </w:r>
      <w:r w:rsidR="00F20907">
        <w:rPr>
          <w:rFonts w:cs="Times"/>
        </w:rPr>
        <w:t xml:space="preserve"> (</w:t>
      </w:r>
      <m:oMath>
        <m:sSub>
          <m:sSubPr>
            <m:ctrlPr>
              <w:rPr>
                <w:rFonts w:ascii="Cambria Math" w:hAnsi="Cambria Math" w:cs="Times"/>
                <w:i/>
              </w:rPr>
            </m:ctrlPr>
          </m:sSubPr>
          <m:e>
            <m:r>
              <w:rPr>
                <w:rFonts w:ascii="Cambria Math" w:hAnsi="Cambria Math" w:cs="Times"/>
              </w:rPr>
              <m:t>η</m:t>
            </m:r>
          </m:e>
          <m:sub>
            <m:r>
              <w:rPr>
                <w:rFonts w:ascii="Cambria Math" w:hAnsi="Cambria Math" w:cs="Times"/>
              </w:rPr>
              <m:t>S</m:t>
            </m:r>
          </m:sub>
        </m:sSub>
      </m:oMath>
      <w:r w:rsidR="00F20907">
        <w:rPr>
          <w:rFonts w:cs="Times"/>
        </w:rPr>
        <w:t>)</w:t>
      </w:r>
      <w:r w:rsidR="00F20907" w:rsidRPr="00887CBC">
        <w:rPr>
          <w:rFonts w:cs="Times"/>
        </w:rPr>
        <w:t>.</w:t>
      </w:r>
      <w:r w:rsidR="008E7D42">
        <w:rPr>
          <w:rFonts w:cs="Times"/>
        </w:rPr>
        <w:t>7</w:t>
      </w:r>
      <w:r w:rsidR="00F20907" w:rsidRPr="00887CBC">
        <w:rPr>
          <w:rFonts w:cs="Times"/>
        </w:rPr>
        <w:t xml:space="preserve"> The considerations that are required to determine </w:t>
      </w:r>
      <m:oMath>
        <m:sSub>
          <m:sSubPr>
            <m:ctrlPr>
              <w:rPr>
                <w:rFonts w:ascii="Cambria Math" w:hAnsi="Cambria Math" w:cs="Times"/>
                <w:i/>
              </w:rPr>
            </m:ctrlPr>
          </m:sSubPr>
          <m:e>
            <m:r>
              <w:rPr>
                <w:rFonts w:ascii="Cambria Math" w:hAnsi="Cambria Math" w:cs="Times"/>
              </w:rPr>
              <m:t>η</m:t>
            </m:r>
          </m:e>
          <m:sub>
            <m:r>
              <w:rPr>
                <w:rFonts w:ascii="Cambria Math" w:hAnsi="Cambria Math" w:cs="Times"/>
              </w:rPr>
              <m:t>PV</m:t>
            </m:r>
          </m:sub>
        </m:sSub>
      </m:oMath>
      <w:r w:rsidR="00F20907" w:rsidRPr="00887CBC">
        <w:rPr>
          <w:rFonts w:cs="Times"/>
          <w:position w:val="-6"/>
        </w:rPr>
        <w:t xml:space="preserve"> </w:t>
      </w:r>
      <w:r w:rsidR="00F20907" w:rsidRPr="00887CBC">
        <w:rPr>
          <w:rFonts w:cs="Times"/>
        </w:rPr>
        <w:t xml:space="preserve">are complex and depend on factors including material properties of the cell, the cell temperature, as well as the properties of the incident radiation.  An important contributing term to </w:t>
      </w:r>
      <m:oMath>
        <m:sSub>
          <m:sSubPr>
            <m:ctrlPr>
              <w:rPr>
                <w:rFonts w:ascii="Cambria Math" w:hAnsi="Cambria Math" w:cs="Times"/>
                <w:i/>
              </w:rPr>
            </m:ctrlPr>
          </m:sSubPr>
          <m:e>
            <m:r>
              <w:rPr>
                <w:rFonts w:ascii="Cambria Math" w:hAnsi="Cambria Math" w:cs="Times"/>
              </w:rPr>
              <m:t>η</m:t>
            </m:r>
          </m:e>
          <m:sub>
            <m:r>
              <w:rPr>
                <w:rFonts w:ascii="Cambria Math" w:hAnsi="Cambria Math" w:cs="Times"/>
              </w:rPr>
              <m:t>PV</m:t>
            </m:r>
          </m:sub>
        </m:sSub>
      </m:oMath>
      <w:r w:rsidR="00F20907" w:rsidRPr="00887CBC">
        <w:rPr>
          <w:rFonts w:cs="Times"/>
          <w:position w:val="-6"/>
        </w:rPr>
        <w:t xml:space="preserve"> </w:t>
      </w:r>
      <w:r w:rsidR="00F20907" w:rsidRPr="00887CBC">
        <w:rPr>
          <w:rFonts w:cs="Times"/>
        </w:rPr>
        <w:t xml:space="preserve">is the ratio of the open circuit voltage to the band-gap voltage, </w:t>
      </w:r>
      <m:oMath>
        <m:f>
          <m:fPr>
            <m:ctrlPr>
              <w:rPr>
                <w:rFonts w:ascii="Cambria Math" w:hAnsi="Cambria Math" w:cs="Times"/>
                <w:i/>
              </w:rPr>
            </m:ctrlPr>
          </m:fPr>
          <m:num>
            <m:sSub>
              <m:sSubPr>
                <m:ctrlPr>
                  <w:rPr>
                    <w:rFonts w:ascii="Cambria Math" w:hAnsi="Cambria Math" w:cs="Times"/>
                    <w:i/>
                  </w:rPr>
                </m:ctrlPr>
              </m:sSubPr>
              <m:e>
                <m:r>
                  <w:rPr>
                    <w:rFonts w:ascii="Cambria Math" w:hAnsi="Cambria Math" w:cs="Times"/>
                  </w:rPr>
                  <m:t>V</m:t>
                </m:r>
              </m:e>
              <m:sub>
                <m:r>
                  <w:rPr>
                    <w:rFonts w:ascii="Cambria Math" w:hAnsi="Cambria Math" w:cs="Times"/>
                  </w:rPr>
                  <m:t>op</m:t>
                </m:r>
              </m:sub>
            </m:sSub>
          </m:num>
          <m:den>
            <m:sSub>
              <m:sSubPr>
                <m:ctrlPr>
                  <w:rPr>
                    <w:rFonts w:ascii="Cambria Math" w:hAnsi="Cambria Math" w:cs="Times"/>
                    <w:i/>
                  </w:rPr>
                </m:ctrlPr>
              </m:sSubPr>
              <m:e>
                <m:r>
                  <w:rPr>
                    <w:rFonts w:ascii="Cambria Math" w:hAnsi="Cambria Math" w:cs="Times"/>
                  </w:rPr>
                  <m:t>V</m:t>
                </m:r>
              </m:e>
              <m:sub>
                <m:r>
                  <w:rPr>
                    <w:rFonts w:ascii="Cambria Math" w:hAnsi="Cambria Math" w:cs="Times"/>
                  </w:rPr>
                  <m:t>bg</m:t>
                </m:r>
              </m:sub>
            </m:sSub>
          </m:den>
        </m:f>
        <m:r>
          <w:rPr>
            <w:rFonts w:ascii="Cambria Math" w:hAnsi="Cambria Math" w:cs="Times"/>
          </w:rPr>
          <m:t xml:space="preserve">, </m:t>
        </m:r>
      </m:oMath>
      <w:r w:rsidR="00F20907" w:rsidRPr="00887CBC">
        <w:rPr>
          <w:rFonts w:cs="Times"/>
        </w:rPr>
        <w:t>which increases asymptotically with increasing carrier density generated in the cell</w:t>
      </w:r>
      <w:r w:rsidR="00FB1D6B">
        <w:rPr>
          <w:rFonts w:cs="Times"/>
        </w:rPr>
        <w:t>.</w:t>
      </w:r>
      <w:r w:rsidR="008E7D42">
        <w:rPr>
          <w:rFonts w:cs="Times"/>
          <w:vertAlign w:val="superscript"/>
        </w:rPr>
        <w:t>7</w:t>
      </w:r>
      <w:r w:rsidR="00F20907" w:rsidRPr="00887CBC">
        <w:rPr>
          <w:rFonts w:cs="Times"/>
        </w:rPr>
        <w:t xml:space="preserve"> This highlights the practical implications of the emitter figures of merit: a high value of </w:t>
      </w:r>
      <m:oMath>
        <m:r>
          <w:rPr>
            <w:rFonts w:ascii="Cambria Math" w:hAnsi="Cambria Math" w:cs="Times"/>
          </w:rPr>
          <m:t>η</m:t>
        </m:r>
      </m:oMath>
      <w:r w:rsidR="00F20907" w:rsidRPr="00887CBC">
        <w:rPr>
          <w:rFonts w:cs="Times"/>
        </w:rPr>
        <w:t xml:space="preserve"> will reduce thermalization losses in the cell, while a h</w:t>
      </w:r>
      <w:proofErr w:type="spellStart"/>
      <w:r w:rsidR="00F20907" w:rsidRPr="00887CBC">
        <w:rPr>
          <w:rFonts w:cs="Times"/>
        </w:rPr>
        <w:t>igh</w:t>
      </w:r>
      <w:proofErr w:type="spellEnd"/>
      <w:r w:rsidR="00F20907" w:rsidRPr="00887CBC">
        <w:rPr>
          <w:rFonts w:cs="Times"/>
        </w:rPr>
        <w:t xml:space="preserve"> value of </w:t>
      </w:r>
      <m:oMath>
        <m:r>
          <w:rPr>
            <w:rFonts w:ascii="Cambria Math" w:hAnsi="Cambria Math" w:cs="Times"/>
          </w:rPr>
          <m:t>ρ</m:t>
        </m:r>
      </m:oMath>
      <w:r w:rsidR="00F20907" w:rsidRPr="00887CBC">
        <w:rPr>
          <w:rFonts w:cs="Times"/>
        </w:rPr>
        <w:t xml:space="preserve"> minimizes loss of open-circuit voltage.  </w:t>
      </w:r>
    </w:p>
    <w:p w14:paraId="5CF6EE3E" w14:textId="77777777" w:rsidR="00F20907" w:rsidRPr="00887CBC" w:rsidRDefault="00F20907" w:rsidP="00F20907">
      <w:r w:rsidRPr="00887CBC">
        <w:t xml:space="preserve">The </w:t>
      </w:r>
      <w:proofErr w:type="spellStart"/>
      <w:r w:rsidRPr="00887CBC">
        <w:t>thermophotovoltaic</w:t>
      </w:r>
      <w:proofErr w:type="spellEnd"/>
      <w:r w:rsidRPr="00887CBC">
        <w:t xml:space="preserve"> efficiency, </w:t>
      </w:r>
      <w:proofErr w:type="spellStart"/>
      <w:r w:rsidRPr="00F35690">
        <w:rPr>
          <w:rFonts w:hint="eastAsia"/>
        </w:rPr>
        <w:t>η</w:t>
      </w:r>
      <w:r w:rsidRPr="00887CBC">
        <w:rPr>
          <w:vertAlign w:val="subscript"/>
        </w:rPr>
        <w:t>tpv</w:t>
      </w:r>
      <w:proofErr w:type="spellEnd"/>
      <w:r w:rsidRPr="00887CBC">
        <w:t xml:space="preserve">, of a hypothetical system may be predicted from the parameters of relevant system previously reported. </w:t>
      </w:r>
      <w:proofErr w:type="spellStart"/>
      <w:r w:rsidRPr="00F35690">
        <w:rPr>
          <w:rFonts w:hint="eastAsia"/>
        </w:rPr>
        <w:t>η</w:t>
      </w:r>
      <w:r w:rsidRPr="00887CBC">
        <w:rPr>
          <w:vertAlign w:val="subscript"/>
        </w:rPr>
        <w:t>tpv</w:t>
      </w:r>
      <w:proofErr w:type="spellEnd"/>
      <w:r w:rsidRPr="00887CBC">
        <w:t xml:space="preserve"> is determined by the ratio of </w:t>
      </w:r>
      <w:r w:rsidRPr="00887CBC">
        <w:lastRenderedPageBreak/>
        <w:t>electrical output power density from the solar cells (</w:t>
      </w:r>
      <w:proofErr w:type="spellStart"/>
      <w:r w:rsidRPr="00887CBC">
        <w:t>P</w:t>
      </w:r>
      <w:r w:rsidRPr="00887CBC">
        <w:rPr>
          <w:vertAlign w:val="subscript"/>
        </w:rPr>
        <w:t>el</w:t>
      </w:r>
      <w:proofErr w:type="spellEnd"/>
      <w:r w:rsidRPr="00887CBC">
        <w:t>) over radiant input power density (</w:t>
      </w:r>
      <w:proofErr w:type="spellStart"/>
      <w:r w:rsidRPr="00887CBC">
        <w:t>P</w:t>
      </w:r>
      <w:r w:rsidRPr="00887CBC">
        <w:rPr>
          <w:vertAlign w:val="subscript"/>
        </w:rPr>
        <w:t>rad</w:t>
      </w:r>
      <w:proofErr w:type="spellEnd"/>
      <w:r w:rsidRPr="00887CBC">
        <w:t>). This is based on the assumption that the view factor from emitter to cell is unity and energy loss from the side surface</w:t>
      </w:r>
      <w:r>
        <w:t>s</w:t>
      </w:r>
      <w:r w:rsidRPr="00887CBC">
        <w:t xml:space="preserve"> of </w:t>
      </w:r>
      <w:r>
        <w:t xml:space="preserve">the </w:t>
      </w:r>
      <w:r w:rsidRPr="00887CBC">
        <w:t xml:space="preserve">emitter is negligible. The electrical output power density is defined as </w:t>
      </w:r>
    </w:p>
    <w:p w14:paraId="081E9C77" w14:textId="291D5624" w:rsidR="00F20907" w:rsidRPr="00887CBC" w:rsidRDefault="00F20907" w:rsidP="00AE02CB">
      <w:pPr>
        <w:tabs>
          <w:tab w:val="left" w:pos="5857"/>
        </w:tabs>
        <w:jc w:val="center"/>
      </w:pPr>
      <w:proofErr w:type="spellStart"/>
      <w:r w:rsidRPr="00162893">
        <w:rPr>
          <w:i/>
          <w:iCs/>
        </w:rPr>
        <w:t>P</w:t>
      </w:r>
      <w:r w:rsidRPr="00162893">
        <w:rPr>
          <w:i/>
          <w:iCs/>
          <w:vertAlign w:val="subscript"/>
        </w:rPr>
        <w:t>el</w:t>
      </w:r>
      <w:proofErr w:type="spellEnd"/>
      <w:r w:rsidRPr="00162893">
        <w:rPr>
          <w:i/>
          <w:iCs/>
        </w:rPr>
        <w:t xml:space="preserve"> </w:t>
      </w:r>
      <w:r w:rsidRPr="00887CBC">
        <w:t>= J</w:t>
      </w:r>
      <w:r w:rsidRPr="00887CBC">
        <w:rPr>
          <w:vertAlign w:val="subscript"/>
        </w:rPr>
        <w:t>SC</w:t>
      </w:r>
      <w:r w:rsidRPr="00887CBC">
        <w:t>V</w:t>
      </w:r>
      <w:r w:rsidRPr="00887CBC">
        <w:rPr>
          <w:vertAlign w:val="subscript"/>
        </w:rPr>
        <w:t>OC</w:t>
      </w:r>
      <w:r w:rsidRPr="00887CBC">
        <w:t>FF</w:t>
      </w:r>
      <w:r w:rsidR="003674EA">
        <w:t xml:space="preserve"> </w:t>
      </w:r>
      <m:oMath>
        <m:r>
          <w:rPr>
            <w:rFonts w:ascii="Cambria Math" w:hAnsi="Cambria Math"/>
          </w:rPr>
          <m:t>(S20)</m:t>
        </m:r>
      </m:oMath>
    </w:p>
    <w:p w14:paraId="19652FD7" w14:textId="5193D21D" w:rsidR="00F20907" w:rsidRPr="00887CBC" w:rsidRDefault="00F20907" w:rsidP="00694348">
      <w:r w:rsidRPr="00887CBC">
        <w:t>with J</w:t>
      </w:r>
      <w:r w:rsidRPr="00887CBC">
        <w:rPr>
          <w:vertAlign w:val="subscript"/>
        </w:rPr>
        <w:t>SC</w:t>
      </w:r>
      <w:r w:rsidRPr="00887CBC">
        <w:t>, V</w:t>
      </w:r>
      <w:r w:rsidRPr="00887CBC">
        <w:rPr>
          <w:vertAlign w:val="subscript"/>
        </w:rPr>
        <w:t>OC</w:t>
      </w:r>
      <w:r w:rsidRPr="00887CBC">
        <w:t xml:space="preserve"> and FF, short-circuit current, open circuit voltage, and fill factor, respectively.</w:t>
      </w:r>
      <w:r w:rsidR="008E7D42">
        <w:rPr>
          <w:vertAlign w:val="superscript"/>
        </w:rPr>
        <w:t>8</w:t>
      </w:r>
      <w:r w:rsidRPr="00887CBC">
        <w:t xml:space="preserve"> J</w:t>
      </w:r>
      <w:r w:rsidRPr="00887CBC">
        <w:rPr>
          <w:vertAlign w:val="subscript"/>
        </w:rPr>
        <w:t>SC</w:t>
      </w:r>
      <w:r w:rsidRPr="00887CBC">
        <w:t xml:space="preserve"> is given by</w:t>
      </w:r>
    </w:p>
    <w:p w14:paraId="59E8FDD5" w14:textId="706537C8" w:rsidR="00F20907" w:rsidRPr="00887CBC" w:rsidRDefault="00DB69CE" w:rsidP="00F20907">
      <m:oMathPara>
        <m:oMath>
          <m:sSub>
            <m:sSubPr>
              <m:ctrlPr>
                <w:rPr>
                  <w:rFonts w:ascii="Cambria Math" w:hAnsi="Cambria Math"/>
                  <w:i/>
                </w:rPr>
              </m:ctrlPr>
            </m:sSubPr>
            <m:e>
              <m:r>
                <w:rPr>
                  <w:rFonts w:ascii="Cambria Math" w:hAnsi="Cambria Math"/>
                </w:rPr>
                <m:t>J</m:t>
              </m:r>
            </m:e>
            <m:sub>
              <m:r>
                <w:rPr>
                  <w:rFonts w:ascii="Cambria Math" w:hAnsi="Cambria Math"/>
                </w:rPr>
                <m:t>SC</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λ</m:t>
                  </m:r>
                </m:e>
                <m:sub>
                  <m:r>
                    <w:rPr>
                      <w:rFonts w:ascii="Cambria Math" w:hAnsi="Cambria Math"/>
                    </w:rPr>
                    <m:t>g</m:t>
                  </m:r>
                </m:sub>
              </m:sSub>
            </m:sup>
            <m:e>
              <m:r>
                <w:rPr>
                  <w:rFonts w:ascii="Cambria Math" w:hAnsi="Cambria Math"/>
                </w:rPr>
                <m:t>E</m:t>
              </m:r>
              <m:d>
                <m:dPr>
                  <m:ctrlPr>
                    <w:rPr>
                      <w:rFonts w:ascii="Cambria Math" w:hAnsi="Cambria Math"/>
                      <w:i/>
                    </w:rPr>
                  </m:ctrlPr>
                </m:dPr>
                <m:e>
                  <m:r>
                    <w:rPr>
                      <w:rFonts w:ascii="Cambria Math" w:hAnsi="Cambria Math"/>
                    </w:rPr>
                    <m:t>λ</m:t>
                  </m:r>
                </m:e>
              </m:d>
            </m:e>
          </m:nary>
          <m:r>
            <w:rPr>
              <w:rFonts w:ascii="Cambria Math" w:hAnsi="Cambria Math"/>
            </w:rPr>
            <m:t>SP</m:t>
          </m:r>
          <m:d>
            <m:dPr>
              <m:ctrlPr>
                <w:rPr>
                  <w:rFonts w:ascii="Cambria Math" w:hAnsi="Cambria Math"/>
                  <w:i/>
                </w:rPr>
              </m:ctrlPr>
            </m:dPr>
            <m:e>
              <m:r>
                <w:rPr>
                  <w:rFonts w:ascii="Cambria Math" w:hAnsi="Cambria Math"/>
                </w:rPr>
                <m:t>λ</m:t>
              </m:r>
            </m:e>
          </m:d>
          <m:r>
            <w:rPr>
              <w:rFonts w:ascii="Cambria Math" w:hAnsi="Cambria Math"/>
            </w:rPr>
            <m:t>dλ     (S21)</m:t>
          </m:r>
        </m:oMath>
      </m:oMathPara>
    </w:p>
    <w:p w14:paraId="5A5EAD18" w14:textId="5B225D92" w:rsidR="00F20907" w:rsidRDefault="00F20907" w:rsidP="00162893">
      <w:pPr>
        <w:rPr>
          <w:rFonts w:cs="Times"/>
        </w:rPr>
      </w:pPr>
      <w:r w:rsidRPr="00887CBC">
        <w:t xml:space="preserve">where </w:t>
      </w:r>
      <w:proofErr w:type="gramStart"/>
      <w:r w:rsidRPr="00887CBC">
        <w:t>E(</w:t>
      </w:r>
      <w:proofErr w:type="gramEnd"/>
      <w:r w:rsidRPr="00887CBC">
        <w:sym w:font="Symbol" w:char="F06C"/>
      </w:r>
      <w:r w:rsidRPr="00887CBC">
        <w:t>) and SP(</w:t>
      </w:r>
      <w:r w:rsidRPr="00887CBC">
        <w:sym w:font="Symbol" w:char="F06C"/>
      </w:r>
      <w:r w:rsidRPr="00887CBC">
        <w:t xml:space="preserve">) are the </w:t>
      </w:r>
      <w:commentRangeStart w:id="1"/>
      <w:r w:rsidRPr="00887CBC">
        <w:t>spectral distribution of emissive power density and the spectral res</w:t>
      </w:r>
      <w:r w:rsidR="001F650F">
        <w:t>ponse of the photovoltaic cell.</w:t>
      </w:r>
      <w:r w:rsidR="008E7D42">
        <w:rPr>
          <w:vertAlign w:val="superscript"/>
        </w:rPr>
        <w:t>9</w:t>
      </w:r>
      <w:commentRangeEnd w:id="1"/>
      <w:r w:rsidR="004A0C62">
        <w:rPr>
          <w:rStyle w:val="CommentReference"/>
        </w:rPr>
        <w:commentReference w:id="1"/>
      </w:r>
    </w:p>
    <w:p w14:paraId="7D234DF4" w14:textId="77777777" w:rsidR="003E6561" w:rsidRDefault="003E6561" w:rsidP="00F20907">
      <w:pPr>
        <w:widowControl w:val="0"/>
        <w:autoSpaceDE w:val="0"/>
        <w:autoSpaceDN w:val="0"/>
        <w:adjustRightInd w:val="0"/>
        <w:spacing w:after="240"/>
        <w:rPr>
          <w:rFonts w:cs="Times"/>
        </w:rPr>
      </w:pPr>
    </w:p>
    <w:p w14:paraId="4E727A7B" w14:textId="77777777" w:rsidR="003E6561" w:rsidRPr="00887CBC" w:rsidRDefault="003E6561" w:rsidP="00F20907">
      <w:pPr>
        <w:widowControl w:val="0"/>
        <w:autoSpaceDE w:val="0"/>
        <w:autoSpaceDN w:val="0"/>
        <w:adjustRightInd w:val="0"/>
        <w:spacing w:after="240"/>
        <w:rPr>
          <w:rFonts w:cs="Times"/>
        </w:rPr>
      </w:pPr>
    </w:p>
    <w:p w14:paraId="18D1AFCE" w14:textId="77777777" w:rsidR="00F77E12" w:rsidRPr="00F77E12" w:rsidRDefault="00F77E12">
      <w:pPr>
        <w:rPr>
          <w:b/>
          <w:sz w:val="28"/>
        </w:rPr>
      </w:pPr>
      <w:r w:rsidRPr="00F77E12">
        <w:rPr>
          <w:b/>
          <w:sz w:val="28"/>
        </w:rPr>
        <w:t>Reference</w:t>
      </w:r>
    </w:p>
    <w:p w14:paraId="2AF35764" w14:textId="4A6E38D8" w:rsidR="004B3162" w:rsidRPr="00694348" w:rsidRDefault="004B3162" w:rsidP="008E7D42">
      <w:pPr>
        <w:pStyle w:val="EndNoteBibliography"/>
        <w:spacing w:after="0" w:line="360" w:lineRule="auto"/>
        <w:rPr>
          <w:noProof/>
        </w:rPr>
      </w:pPr>
      <w:r w:rsidRPr="00694348">
        <w:rPr>
          <w:noProof/>
        </w:rPr>
        <w:t>1.</w:t>
      </w:r>
      <w:r w:rsidRPr="00694348">
        <w:rPr>
          <w:noProof/>
        </w:rPr>
        <w:tab/>
      </w:r>
      <w:r>
        <w:rPr>
          <w:noProof/>
        </w:rPr>
        <w:t>Lipson, A.; Lipson, S. G.; Lipson, H.</w:t>
      </w:r>
      <w:r w:rsidRPr="00694348">
        <w:rPr>
          <w:noProof/>
        </w:rPr>
        <w:t xml:space="preserve">, </w:t>
      </w:r>
      <w:r>
        <w:rPr>
          <w:i/>
          <w:noProof/>
        </w:rPr>
        <w:t>Optical Pyhysics</w:t>
      </w:r>
      <w:r>
        <w:rPr>
          <w:noProof/>
        </w:rPr>
        <w:t xml:space="preserve"> (4</w:t>
      </w:r>
      <w:r w:rsidRPr="004B3162">
        <w:rPr>
          <w:noProof/>
          <w:vertAlign w:val="superscript"/>
        </w:rPr>
        <w:t>th</w:t>
      </w:r>
      <w:r>
        <w:rPr>
          <w:noProof/>
        </w:rPr>
        <w:t xml:space="preserve"> Edition)</w:t>
      </w:r>
      <w:r w:rsidRPr="00694348">
        <w:rPr>
          <w:noProof/>
        </w:rPr>
        <w:t xml:space="preserve">, </w:t>
      </w:r>
      <w:r>
        <w:rPr>
          <w:noProof/>
        </w:rPr>
        <w:t>Cambdridge University</w:t>
      </w:r>
      <w:r w:rsidRPr="00694348">
        <w:rPr>
          <w:noProof/>
        </w:rPr>
        <w:t xml:space="preserve"> Press: </w:t>
      </w:r>
      <w:r w:rsidR="008E7D42">
        <w:rPr>
          <w:noProof/>
        </w:rPr>
        <w:t>Cambridge</w:t>
      </w:r>
      <w:r w:rsidRPr="00694348">
        <w:rPr>
          <w:noProof/>
        </w:rPr>
        <w:t xml:space="preserve">, </w:t>
      </w:r>
      <w:r w:rsidR="008E7D42">
        <w:rPr>
          <w:noProof/>
        </w:rPr>
        <w:t>2011</w:t>
      </w:r>
      <w:r w:rsidRPr="00694348">
        <w:rPr>
          <w:noProof/>
        </w:rPr>
        <w:t xml:space="preserve">; pp </w:t>
      </w:r>
      <w:r>
        <w:rPr>
          <w:noProof/>
        </w:rPr>
        <w:t>383</w:t>
      </w:r>
      <w:r w:rsidRPr="00694348">
        <w:rPr>
          <w:noProof/>
        </w:rPr>
        <w:t>.</w:t>
      </w:r>
    </w:p>
    <w:p w14:paraId="3F5233A0" w14:textId="5B0580EB" w:rsidR="00694348" w:rsidRPr="00694348" w:rsidRDefault="00AF0D86" w:rsidP="008E7D42">
      <w:pPr>
        <w:pStyle w:val="EndNoteBibliography"/>
        <w:spacing w:after="0" w:line="360" w:lineRule="auto"/>
        <w:rPr>
          <w:noProof/>
        </w:rPr>
      </w:pPr>
      <w:r>
        <w:fldChar w:fldCharType="begin"/>
      </w:r>
      <w:r>
        <w:instrText xml:space="preserve"> ADDIN EN.REFLIST </w:instrText>
      </w:r>
      <w:r>
        <w:fldChar w:fldCharType="separate"/>
      </w:r>
      <w:r w:rsidR="004B3162">
        <w:rPr>
          <w:noProof/>
        </w:rPr>
        <w:t>2</w:t>
      </w:r>
      <w:r w:rsidR="00694348" w:rsidRPr="00694348">
        <w:rPr>
          <w:noProof/>
        </w:rPr>
        <w:t>.</w:t>
      </w:r>
      <w:r w:rsidR="00694348" w:rsidRPr="00694348">
        <w:rPr>
          <w:noProof/>
        </w:rPr>
        <w:tab/>
        <w:t xml:space="preserve">Lynch, D. W.; Hunter, W. R., Comments on the Optical Constants of Metals and an Introduction to the Data for Several Metals A2 - Palik, Edward D. In </w:t>
      </w:r>
      <w:r w:rsidR="00694348" w:rsidRPr="00694348">
        <w:rPr>
          <w:i/>
          <w:noProof/>
        </w:rPr>
        <w:t>Handbook of Optical Constants of Solids</w:t>
      </w:r>
      <w:r w:rsidR="00694348" w:rsidRPr="00694348">
        <w:rPr>
          <w:noProof/>
        </w:rPr>
        <w:t>, Academic Press: Burlington, 1997; pp 275-367.</w:t>
      </w:r>
    </w:p>
    <w:p w14:paraId="4F934708" w14:textId="27103D34" w:rsidR="00694348" w:rsidRDefault="004B3162" w:rsidP="008E7D42">
      <w:pPr>
        <w:pStyle w:val="EndNoteBibliography"/>
        <w:spacing w:after="0" w:line="360" w:lineRule="auto"/>
        <w:rPr>
          <w:noProof/>
        </w:rPr>
      </w:pPr>
      <w:r>
        <w:rPr>
          <w:noProof/>
        </w:rPr>
        <w:t>3</w:t>
      </w:r>
      <w:r w:rsidR="00694348" w:rsidRPr="00694348">
        <w:rPr>
          <w:noProof/>
        </w:rPr>
        <w:t>.</w:t>
      </w:r>
      <w:r w:rsidR="00694348" w:rsidRPr="00694348">
        <w:rPr>
          <w:noProof/>
        </w:rPr>
        <w:tab/>
        <w:t xml:space="preserve">Herzinger, C. M.; Johs, B.; McGahan, W. A.; Woollam, J. A.; Paulson, W., Ellipsometric determination of optical constants for silicon and thermally grown silicon dioxide via a multi-sample, multi-wavelength, multi-angle investigation. </w:t>
      </w:r>
      <w:r w:rsidR="00694348" w:rsidRPr="00694348">
        <w:rPr>
          <w:i/>
          <w:noProof/>
        </w:rPr>
        <w:t xml:space="preserve">Journal of Applied Physics </w:t>
      </w:r>
      <w:r w:rsidR="00694348" w:rsidRPr="00694348">
        <w:rPr>
          <w:b/>
          <w:noProof/>
        </w:rPr>
        <w:t>1998,</w:t>
      </w:r>
      <w:r w:rsidR="00694348" w:rsidRPr="00694348">
        <w:rPr>
          <w:noProof/>
        </w:rPr>
        <w:t xml:space="preserve"> </w:t>
      </w:r>
      <w:r w:rsidR="00694348" w:rsidRPr="00694348">
        <w:rPr>
          <w:i/>
          <w:noProof/>
        </w:rPr>
        <w:t>83</w:t>
      </w:r>
      <w:r w:rsidR="00694348" w:rsidRPr="00694348">
        <w:rPr>
          <w:noProof/>
        </w:rPr>
        <w:t xml:space="preserve"> (6), 3323-3336.</w:t>
      </w:r>
    </w:p>
    <w:p w14:paraId="51F0A9AD" w14:textId="77777777" w:rsidR="008E7D42" w:rsidRDefault="008E7D42" w:rsidP="008E7D42">
      <w:pPr>
        <w:pStyle w:val="EndNoteBibliography"/>
        <w:spacing w:line="360" w:lineRule="auto"/>
        <w:rPr>
          <w:noProof/>
        </w:rPr>
      </w:pPr>
      <w:r>
        <w:rPr>
          <w:noProof/>
        </w:rPr>
        <w:t xml:space="preserve">4.       </w:t>
      </w:r>
      <w:r w:rsidRPr="000664CC">
        <w:rPr>
          <w:noProof/>
        </w:rPr>
        <w:t xml:space="preserve">Bohren, C. F.; Clothiaux, E. E.; Huffman, D. R., </w:t>
      </w:r>
      <w:r w:rsidRPr="000664CC">
        <w:rPr>
          <w:i/>
          <w:noProof/>
        </w:rPr>
        <w:t>Absorption and Scattering of Light by Small Particles</w:t>
      </w:r>
      <w:r w:rsidRPr="000664CC">
        <w:rPr>
          <w:noProof/>
        </w:rPr>
        <w:t>. Wiley-VCH: 2009.</w:t>
      </w:r>
    </w:p>
    <w:p w14:paraId="7F044F98" w14:textId="5277BAD3" w:rsidR="008E7D42" w:rsidRDefault="008E7D42" w:rsidP="008E7D42">
      <w:pPr>
        <w:pStyle w:val="EndNoteBibliography"/>
        <w:spacing w:line="360" w:lineRule="auto"/>
        <w:rPr>
          <w:noProof/>
        </w:rPr>
      </w:pPr>
      <w:r>
        <w:rPr>
          <w:noProof/>
        </w:rPr>
        <w:t>5</w:t>
      </w:r>
      <w:r w:rsidRPr="000664CC">
        <w:rPr>
          <w:noProof/>
        </w:rPr>
        <w:t>.</w:t>
      </w:r>
      <w:r w:rsidRPr="000664CC">
        <w:rPr>
          <w:noProof/>
        </w:rPr>
        <w:tab/>
        <w:t xml:space="preserve">Yeh, P., </w:t>
      </w:r>
      <w:r w:rsidRPr="000664CC">
        <w:rPr>
          <w:i/>
          <w:noProof/>
        </w:rPr>
        <w:t>Optical Waves in Layered Media</w:t>
      </w:r>
      <w:r w:rsidRPr="000664CC">
        <w:rPr>
          <w:noProof/>
        </w:rPr>
        <w:t>. Wiley: 2005.</w:t>
      </w:r>
    </w:p>
    <w:p w14:paraId="434841DF" w14:textId="06169F7D" w:rsidR="008E7D42" w:rsidRPr="000664CC" w:rsidRDefault="008E7D42" w:rsidP="008E7D42">
      <w:pPr>
        <w:pStyle w:val="EndNoteBibliography"/>
        <w:spacing w:after="0"/>
        <w:rPr>
          <w:noProof/>
        </w:rPr>
      </w:pPr>
      <w:r>
        <w:rPr>
          <w:noProof/>
        </w:rPr>
        <w:t>6</w:t>
      </w:r>
      <w:r w:rsidRPr="000664CC">
        <w:rPr>
          <w:noProof/>
        </w:rPr>
        <w:t>.</w:t>
      </w:r>
      <w:r w:rsidRPr="000664CC">
        <w:rPr>
          <w:noProof/>
        </w:rPr>
        <w:tab/>
        <w:t xml:space="preserve">Piper, J. R.; Fan, S., Total Absorption in a Graphene Monolayer in the Optical Regime by Critical Coupling with a Photonic Crystal Guided Resonance. </w:t>
      </w:r>
      <w:r w:rsidRPr="000664CC">
        <w:rPr>
          <w:i/>
          <w:noProof/>
        </w:rPr>
        <w:t xml:space="preserve">ACS Photonics </w:t>
      </w:r>
      <w:r w:rsidRPr="000664CC">
        <w:rPr>
          <w:b/>
          <w:noProof/>
        </w:rPr>
        <w:t>2014,</w:t>
      </w:r>
      <w:r w:rsidRPr="000664CC">
        <w:rPr>
          <w:noProof/>
        </w:rPr>
        <w:t xml:space="preserve"> </w:t>
      </w:r>
      <w:r w:rsidRPr="000664CC">
        <w:rPr>
          <w:i/>
          <w:noProof/>
        </w:rPr>
        <w:t>1</w:t>
      </w:r>
      <w:r w:rsidRPr="000664CC">
        <w:rPr>
          <w:noProof/>
        </w:rPr>
        <w:t xml:space="preserve"> (4), 347-353.</w:t>
      </w:r>
    </w:p>
    <w:p w14:paraId="4EF90BD8" w14:textId="77777777" w:rsidR="008E7D42" w:rsidRPr="00694348" w:rsidRDefault="008E7D42" w:rsidP="008E7D42">
      <w:pPr>
        <w:pStyle w:val="EndNoteBibliography"/>
        <w:spacing w:line="360" w:lineRule="auto"/>
        <w:rPr>
          <w:noProof/>
        </w:rPr>
      </w:pPr>
    </w:p>
    <w:p w14:paraId="6018E9CD" w14:textId="3C80DE39" w:rsidR="00694348" w:rsidRPr="00694348" w:rsidRDefault="008E7D42" w:rsidP="008E7D42">
      <w:pPr>
        <w:pStyle w:val="EndNoteBibliography"/>
        <w:spacing w:after="0" w:line="360" w:lineRule="auto"/>
        <w:rPr>
          <w:noProof/>
        </w:rPr>
      </w:pPr>
      <w:r>
        <w:rPr>
          <w:noProof/>
        </w:rPr>
        <w:lastRenderedPageBreak/>
        <w:t>7</w:t>
      </w:r>
      <w:r w:rsidR="00694348" w:rsidRPr="00694348">
        <w:rPr>
          <w:noProof/>
        </w:rPr>
        <w:t>.</w:t>
      </w:r>
      <w:r w:rsidR="00694348" w:rsidRPr="00694348">
        <w:rPr>
          <w:noProof/>
        </w:rPr>
        <w:tab/>
        <w:t xml:space="preserve">Zhou, Z.; Sakr, E.; Sun, Y.; Bermel, P., Solar thermophotovoltaics: reshaping the solar spectrum. In </w:t>
      </w:r>
      <w:r w:rsidR="00694348" w:rsidRPr="00694348">
        <w:rPr>
          <w:i/>
          <w:noProof/>
        </w:rPr>
        <w:t>Nanophotonics</w:t>
      </w:r>
      <w:r w:rsidR="00694348" w:rsidRPr="00694348">
        <w:rPr>
          <w:noProof/>
        </w:rPr>
        <w:t>, 2016; Vol. 5, p 1.</w:t>
      </w:r>
    </w:p>
    <w:p w14:paraId="36CE4CE4" w14:textId="654974BD" w:rsidR="00694348" w:rsidRPr="00694348" w:rsidRDefault="008E7D42" w:rsidP="008E7D42">
      <w:pPr>
        <w:pStyle w:val="EndNoteBibliography"/>
        <w:spacing w:after="0" w:line="360" w:lineRule="auto"/>
        <w:rPr>
          <w:noProof/>
        </w:rPr>
      </w:pPr>
      <w:r>
        <w:rPr>
          <w:noProof/>
        </w:rPr>
        <w:t>8</w:t>
      </w:r>
      <w:r w:rsidR="00694348" w:rsidRPr="00694348">
        <w:rPr>
          <w:noProof/>
        </w:rPr>
        <w:t>.</w:t>
      </w:r>
      <w:r w:rsidR="00694348" w:rsidRPr="00694348">
        <w:rPr>
          <w:noProof/>
        </w:rPr>
        <w:tab/>
        <w:t xml:space="preserve">Rephaeli, E.; Fan, S., Absorber and emitter for solar thermo-photovoltaic systems to achieve efficiency exceeding the Shockley-Queisser limit. </w:t>
      </w:r>
      <w:r w:rsidR="00694348" w:rsidRPr="00694348">
        <w:rPr>
          <w:i/>
          <w:noProof/>
        </w:rPr>
        <w:t xml:space="preserve">Opt. Express </w:t>
      </w:r>
      <w:r w:rsidR="00694348" w:rsidRPr="00694348">
        <w:rPr>
          <w:b/>
          <w:noProof/>
        </w:rPr>
        <w:t>2009,</w:t>
      </w:r>
      <w:r w:rsidR="00694348" w:rsidRPr="00694348">
        <w:rPr>
          <w:noProof/>
        </w:rPr>
        <w:t xml:space="preserve"> </w:t>
      </w:r>
      <w:r w:rsidR="00694348" w:rsidRPr="00694348">
        <w:rPr>
          <w:i/>
          <w:noProof/>
        </w:rPr>
        <w:t>17</w:t>
      </w:r>
      <w:r w:rsidR="00694348" w:rsidRPr="00694348">
        <w:rPr>
          <w:noProof/>
        </w:rPr>
        <w:t xml:space="preserve"> (17), 15145-15159.</w:t>
      </w:r>
    </w:p>
    <w:p w14:paraId="2368A47E" w14:textId="63C1C69A" w:rsidR="00694348" w:rsidRPr="00694348" w:rsidRDefault="008E7D42" w:rsidP="008E7D42">
      <w:pPr>
        <w:pStyle w:val="EndNoteBibliography"/>
        <w:spacing w:line="360" w:lineRule="auto"/>
        <w:rPr>
          <w:noProof/>
        </w:rPr>
      </w:pPr>
      <w:r>
        <w:rPr>
          <w:noProof/>
        </w:rPr>
        <w:t>9</w:t>
      </w:r>
      <w:r w:rsidR="00694348" w:rsidRPr="00694348">
        <w:rPr>
          <w:noProof/>
        </w:rPr>
        <w:t>.</w:t>
      </w:r>
      <w:r w:rsidR="00694348" w:rsidRPr="00694348">
        <w:rPr>
          <w:noProof/>
        </w:rPr>
        <w:tab/>
        <w:t xml:space="preserve">Qiu, K.; Hayden, A. C. S.; Mauk, M. G.; Sulima, O. V., Generation of electricity using InGaAsSb and GaSb TPV cells in combustion-driven radiant sources. </w:t>
      </w:r>
      <w:r w:rsidR="00694348" w:rsidRPr="00694348">
        <w:rPr>
          <w:i/>
          <w:noProof/>
        </w:rPr>
        <w:t xml:space="preserve">Solar Energy Materials and Solar Cells </w:t>
      </w:r>
      <w:r w:rsidR="00694348" w:rsidRPr="00694348">
        <w:rPr>
          <w:b/>
          <w:noProof/>
        </w:rPr>
        <w:t>2006,</w:t>
      </w:r>
      <w:r w:rsidR="00694348" w:rsidRPr="00694348">
        <w:rPr>
          <w:noProof/>
        </w:rPr>
        <w:t xml:space="preserve"> </w:t>
      </w:r>
      <w:r w:rsidR="00694348" w:rsidRPr="00694348">
        <w:rPr>
          <w:i/>
          <w:noProof/>
        </w:rPr>
        <w:t>90</w:t>
      </w:r>
      <w:r w:rsidR="00694348" w:rsidRPr="00694348">
        <w:rPr>
          <w:noProof/>
        </w:rPr>
        <w:t xml:space="preserve"> (1), 68-81.</w:t>
      </w:r>
    </w:p>
    <w:p w14:paraId="007B2B34" w14:textId="77777777" w:rsidR="00454D76" w:rsidRPr="00C8168E" w:rsidRDefault="00AF0D86" w:rsidP="008E7D42">
      <w:pPr>
        <w:spacing w:line="360" w:lineRule="auto"/>
      </w:pPr>
      <w:r>
        <w:fldChar w:fldCharType="end"/>
      </w:r>
    </w:p>
    <w:sectPr w:rsidR="00454D76" w:rsidRPr="00C8168E" w:rsidSect="00454D7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oley, Jonathan" w:date="2017-12-08T17:19:00Z" w:initials="FJ">
    <w:p w14:paraId="156F4F89" w14:textId="77777777" w:rsidR="004A0C62" w:rsidRDefault="004A0C62">
      <w:pPr>
        <w:pStyle w:val="CommentText"/>
      </w:pPr>
      <w:r>
        <w:rPr>
          <w:rStyle w:val="CommentReference"/>
        </w:rPr>
        <w:annotationRef/>
      </w:r>
      <w:r>
        <w:t>Is this E(\lambda) essentially the same as the integrand in the useful power density?  That is, the blackbody spectrum times the emissivity?  If so, we should keep the notation consistent so that the reader understands it is the same.</w:t>
      </w:r>
    </w:p>
    <w:p w14:paraId="56949BB8" w14:textId="77777777" w:rsidR="004A0C62" w:rsidRDefault="004A0C62">
      <w:pPr>
        <w:pStyle w:val="CommentText"/>
      </w:pPr>
    </w:p>
    <w:p w14:paraId="3EABC46F" w14:textId="2CCC9D86" w:rsidR="004A0C62" w:rsidRDefault="004A0C62">
      <w:pPr>
        <w:pStyle w:val="CommentText"/>
      </w:pPr>
      <w:r>
        <w:t xml:space="preserve">Just as a side note, </w:t>
      </w:r>
      <w:r w:rsidR="0076723B">
        <w:t>seems like we could</w:t>
      </w:r>
      <w:r>
        <w:t xml:space="preserve"> feed our em</w:t>
      </w:r>
      <w:r w:rsidR="0076723B">
        <w:t xml:space="preserve">itter quantities into J_SC, </w:t>
      </w:r>
      <w:proofErr w:type="gramStart"/>
      <w:r w:rsidR="0076723B">
        <w:t>V</w:t>
      </w:r>
      <w:proofErr w:type="gramEnd"/>
      <w:r w:rsidR="0076723B">
        <w:t>_OC</w:t>
      </w:r>
      <w:r>
        <w:t xml:space="preserve"> </w:t>
      </w:r>
      <w:r w:rsidR="0076723B">
        <w:t xml:space="preserve">and screen for </w:t>
      </w:r>
      <w:proofErr w:type="spellStart"/>
      <w:r w:rsidR="0076723B">
        <w:t>eta_TPV</w:t>
      </w:r>
      <w:proofErr w:type="spellEnd"/>
      <w:r w:rsidR="0076723B">
        <w:t xml:space="preserve">, which would be more meaningful than </w:t>
      </w:r>
      <w:proofErr w:type="spellStart"/>
      <w:r w:rsidR="0076723B">
        <w:t>eta_S</w:t>
      </w:r>
      <w:proofErr w:type="spellEnd"/>
      <w:r w:rsidR="0076723B">
        <w:t xml:space="preserve"> and P individually,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BC4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바탕">
    <w:charset w:val="81"/>
    <w:family w:val="roman"/>
    <w:pitch w:val="variable"/>
    <w:sig w:usb0="B00002AF" w:usb1="69D77CFB" w:usb2="00000030" w:usb3="00000000" w:csb0="0008009F" w:csb1="00000000"/>
  </w:font>
  <w:font w:name="Lucida Grande">
    <w:panose1 w:val="020B0600040502020204"/>
    <w:charset w:val="00"/>
    <w:family w:val="swiss"/>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22A0"/>
    <w:multiLevelType w:val="hybridMultilevel"/>
    <w:tmpl w:val="E43E9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C7EEB"/>
    <w:multiLevelType w:val="multilevel"/>
    <w:tmpl w:val="8D56C4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ley, Jonathan">
    <w15:presenceInfo w15:providerId="None" w15:userId="Foley, Jo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mer Chem Society&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E1CD3"/>
    <w:rsid w:val="00000B0C"/>
    <w:rsid w:val="000038CB"/>
    <w:rsid w:val="00015AE2"/>
    <w:rsid w:val="00030FAA"/>
    <w:rsid w:val="00067ED5"/>
    <w:rsid w:val="000B0991"/>
    <w:rsid w:val="000C11A7"/>
    <w:rsid w:val="000D29C4"/>
    <w:rsid w:val="000E16F0"/>
    <w:rsid w:val="000F2C86"/>
    <w:rsid w:val="000F6E15"/>
    <w:rsid w:val="00135699"/>
    <w:rsid w:val="00141C61"/>
    <w:rsid w:val="00144F51"/>
    <w:rsid w:val="001514C7"/>
    <w:rsid w:val="00153204"/>
    <w:rsid w:val="00162893"/>
    <w:rsid w:val="00166125"/>
    <w:rsid w:val="00175A88"/>
    <w:rsid w:val="001835EA"/>
    <w:rsid w:val="00183DCA"/>
    <w:rsid w:val="0018590B"/>
    <w:rsid w:val="001875AB"/>
    <w:rsid w:val="001A6C11"/>
    <w:rsid w:val="001E2B50"/>
    <w:rsid w:val="001F650F"/>
    <w:rsid w:val="002014C2"/>
    <w:rsid w:val="00247EE9"/>
    <w:rsid w:val="00275ECF"/>
    <w:rsid w:val="002857BB"/>
    <w:rsid w:val="00297F1C"/>
    <w:rsid w:val="002C6DC3"/>
    <w:rsid w:val="002E117B"/>
    <w:rsid w:val="00334420"/>
    <w:rsid w:val="00335359"/>
    <w:rsid w:val="003641C0"/>
    <w:rsid w:val="003674EA"/>
    <w:rsid w:val="0037235A"/>
    <w:rsid w:val="00375F7C"/>
    <w:rsid w:val="003912AB"/>
    <w:rsid w:val="003B15D5"/>
    <w:rsid w:val="003C69F4"/>
    <w:rsid w:val="003D30C6"/>
    <w:rsid w:val="003E2FCC"/>
    <w:rsid w:val="003E6561"/>
    <w:rsid w:val="003F53C3"/>
    <w:rsid w:val="00414BFB"/>
    <w:rsid w:val="004153FC"/>
    <w:rsid w:val="00422C24"/>
    <w:rsid w:val="004246AF"/>
    <w:rsid w:val="00454D76"/>
    <w:rsid w:val="004603C5"/>
    <w:rsid w:val="00470B4B"/>
    <w:rsid w:val="00481539"/>
    <w:rsid w:val="00491657"/>
    <w:rsid w:val="00491DEA"/>
    <w:rsid w:val="004A0C62"/>
    <w:rsid w:val="004A7912"/>
    <w:rsid w:val="004B3162"/>
    <w:rsid w:val="004B4421"/>
    <w:rsid w:val="004B77F6"/>
    <w:rsid w:val="004E007A"/>
    <w:rsid w:val="004F3204"/>
    <w:rsid w:val="004F5CC8"/>
    <w:rsid w:val="005029E2"/>
    <w:rsid w:val="00510B38"/>
    <w:rsid w:val="00512BDE"/>
    <w:rsid w:val="00533FA9"/>
    <w:rsid w:val="0053404E"/>
    <w:rsid w:val="0054327D"/>
    <w:rsid w:val="00557874"/>
    <w:rsid w:val="00563175"/>
    <w:rsid w:val="005669EA"/>
    <w:rsid w:val="00585EBE"/>
    <w:rsid w:val="00594D17"/>
    <w:rsid w:val="005A01DB"/>
    <w:rsid w:val="005D6844"/>
    <w:rsid w:val="005E220B"/>
    <w:rsid w:val="00607DDB"/>
    <w:rsid w:val="006103A1"/>
    <w:rsid w:val="0061401F"/>
    <w:rsid w:val="00620016"/>
    <w:rsid w:val="006532CB"/>
    <w:rsid w:val="00654061"/>
    <w:rsid w:val="006672D7"/>
    <w:rsid w:val="00680DB7"/>
    <w:rsid w:val="0069070A"/>
    <w:rsid w:val="00694348"/>
    <w:rsid w:val="006A33DB"/>
    <w:rsid w:val="006D009A"/>
    <w:rsid w:val="006E26DD"/>
    <w:rsid w:val="006E7B08"/>
    <w:rsid w:val="006F589F"/>
    <w:rsid w:val="007050CB"/>
    <w:rsid w:val="007133F1"/>
    <w:rsid w:val="00713A9C"/>
    <w:rsid w:val="00724923"/>
    <w:rsid w:val="007275BC"/>
    <w:rsid w:val="00753B42"/>
    <w:rsid w:val="0076723B"/>
    <w:rsid w:val="007B6358"/>
    <w:rsid w:val="007C0913"/>
    <w:rsid w:val="00811921"/>
    <w:rsid w:val="008361F9"/>
    <w:rsid w:val="00843141"/>
    <w:rsid w:val="008709F7"/>
    <w:rsid w:val="0088648B"/>
    <w:rsid w:val="00895AEF"/>
    <w:rsid w:val="008A3667"/>
    <w:rsid w:val="008D363C"/>
    <w:rsid w:val="008D52FB"/>
    <w:rsid w:val="008E6C71"/>
    <w:rsid w:val="008E7D42"/>
    <w:rsid w:val="00902BE2"/>
    <w:rsid w:val="009101BD"/>
    <w:rsid w:val="00956583"/>
    <w:rsid w:val="00992A01"/>
    <w:rsid w:val="009B34AB"/>
    <w:rsid w:val="009B6B44"/>
    <w:rsid w:val="009C75D8"/>
    <w:rsid w:val="009D4E12"/>
    <w:rsid w:val="009F7553"/>
    <w:rsid w:val="00A246DA"/>
    <w:rsid w:val="00A45522"/>
    <w:rsid w:val="00A67CE8"/>
    <w:rsid w:val="00A70C40"/>
    <w:rsid w:val="00A911A8"/>
    <w:rsid w:val="00AA439B"/>
    <w:rsid w:val="00AA5408"/>
    <w:rsid w:val="00AD192B"/>
    <w:rsid w:val="00AD62C5"/>
    <w:rsid w:val="00AE02CB"/>
    <w:rsid w:val="00AF0D86"/>
    <w:rsid w:val="00B16AC9"/>
    <w:rsid w:val="00B42AD3"/>
    <w:rsid w:val="00B6218C"/>
    <w:rsid w:val="00B902A4"/>
    <w:rsid w:val="00BA449E"/>
    <w:rsid w:val="00BC0910"/>
    <w:rsid w:val="00BC4E11"/>
    <w:rsid w:val="00BE1A6D"/>
    <w:rsid w:val="00BE3C45"/>
    <w:rsid w:val="00C0480C"/>
    <w:rsid w:val="00C26B7F"/>
    <w:rsid w:val="00C57A71"/>
    <w:rsid w:val="00C8168E"/>
    <w:rsid w:val="00C84761"/>
    <w:rsid w:val="00C9141B"/>
    <w:rsid w:val="00C937BE"/>
    <w:rsid w:val="00CB5670"/>
    <w:rsid w:val="00CD1203"/>
    <w:rsid w:val="00CE5314"/>
    <w:rsid w:val="00CE67F9"/>
    <w:rsid w:val="00CF1258"/>
    <w:rsid w:val="00D039CD"/>
    <w:rsid w:val="00D03EA3"/>
    <w:rsid w:val="00D6208A"/>
    <w:rsid w:val="00D676A4"/>
    <w:rsid w:val="00D71027"/>
    <w:rsid w:val="00D834B1"/>
    <w:rsid w:val="00D87F52"/>
    <w:rsid w:val="00D919D8"/>
    <w:rsid w:val="00DB69CE"/>
    <w:rsid w:val="00DC58AD"/>
    <w:rsid w:val="00E06285"/>
    <w:rsid w:val="00E069FB"/>
    <w:rsid w:val="00E07223"/>
    <w:rsid w:val="00E07BB0"/>
    <w:rsid w:val="00E17973"/>
    <w:rsid w:val="00E26B74"/>
    <w:rsid w:val="00E372CD"/>
    <w:rsid w:val="00E40EEC"/>
    <w:rsid w:val="00E65BC9"/>
    <w:rsid w:val="00E82701"/>
    <w:rsid w:val="00EB0B00"/>
    <w:rsid w:val="00EC45CA"/>
    <w:rsid w:val="00EC51A9"/>
    <w:rsid w:val="00ED2EF0"/>
    <w:rsid w:val="00EE1CD3"/>
    <w:rsid w:val="00EF3C3E"/>
    <w:rsid w:val="00F0233D"/>
    <w:rsid w:val="00F068BE"/>
    <w:rsid w:val="00F20907"/>
    <w:rsid w:val="00F32D23"/>
    <w:rsid w:val="00F35690"/>
    <w:rsid w:val="00F36A4B"/>
    <w:rsid w:val="00F557C6"/>
    <w:rsid w:val="00F77E12"/>
    <w:rsid w:val="00FA076B"/>
    <w:rsid w:val="00FB1D6B"/>
    <w:rsid w:val="00FD4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58769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1CD3"/>
    <w:pPr>
      <w:spacing w:after="200"/>
      <w:jc w:val="both"/>
    </w:pPr>
    <w:rPr>
      <w:rFonts w:ascii="Times" w:eastAsia="바탕" w:hAnsi="Time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CD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1CD3"/>
    <w:rPr>
      <w:rFonts w:ascii="Lucida Grande" w:eastAsia="바탕" w:hAnsi="Lucida Grande" w:cs="Lucida Grande"/>
      <w:sz w:val="18"/>
      <w:szCs w:val="18"/>
    </w:rPr>
  </w:style>
  <w:style w:type="paragraph" w:styleId="ListParagraph">
    <w:name w:val="List Paragraph"/>
    <w:basedOn w:val="Normal"/>
    <w:uiPriority w:val="34"/>
    <w:qFormat/>
    <w:rsid w:val="00EE1CD3"/>
    <w:pPr>
      <w:ind w:left="720"/>
      <w:contextualSpacing/>
    </w:pPr>
  </w:style>
  <w:style w:type="paragraph" w:customStyle="1" w:styleId="BATitle">
    <w:name w:val="BA_Title"/>
    <w:basedOn w:val="Normal"/>
    <w:next w:val="BBAuthorName"/>
    <w:rsid w:val="00C8168E"/>
    <w:pPr>
      <w:spacing w:before="720" w:after="360" w:line="480" w:lineRule="auto"/>
      <w:jc w:val="center"/>
    </w:pPr>
    <w:rPr>
      <w:rFonts w:ascii="Times New Roman" w:hAnsi="Times New Roman"/>
      <w:sz w:val="44"/>
    </w:rPr>
  </w:style>
  <w:style w:type="paragraph" w:customStyle="1" w:styleId="BBAuthorName">
    <w:name w:val="BB_Author_Name"/>
    <w:basedOn w:val="Normal"/>
    <w:next w:val="Normal"/>
    <w:rsid w:val="00C8168E"/>
    <w:pPr>
      <w:spacing w:after="240" w:line="480" w:lineRule="auto"/>
      <w:jc w:val="center"/>
    </w:pPr>
    <w:rPr>
      <w:i/>
    </w:rPr>
  </w:style>
  <w:style w:type="paragraph" w:customStyle="1" w:styleId="SNSynopsisTOC">
    <w:name w:val="SN_Synopsis_TOC"/>
    <w:basedOn w:val="Normal"/>
    <w:rsid w:val="00F35690"/>
    <w:pPr>
      <w:spacing w:line="480" w:lineRule="auto"/>
    </w:pPr>
    <w:rPr>
      <w:rFonts w:eastAsia="Times New Roman"/>
    </w:rPr>
  </w:style>
  <w:style w:type="paragraph" w:styleId="Caption">
    <w:name w:val="caption"/>
    <w:basedOn w:val="Normal"/>
    <w:next w:val="Normal"/>
    <w:unhideWhenUsed/>
    <w:qFormat/>
    <w:rsid w:val="00334420"/>
    <w:rPr>
      <w:i/>
      <w:iCs/>
      <w:color w:val="1F497D" w:themeColor="text2"/>
      <w:sz w:val="18"/>
      <w:szCs w:val="18"/>
    </w:rPr>
  </w:style>
  <w:style w:type="table" w:customStyle="1" w:styleId="GridTable5Dark-Accent51">
    <w:name w:val="Grid Table 5 Dark - Accent 51"/>
    <w:basedOn w:val="TableNormal"/>
    <w:uiPriority w:val="50"/>
    <w:rsid w:val="003B15D5"/>
    <w:rPr>
      <w:rFonts w:ascii="New York" w:eastAsia="바탕" w:hAnsi="New York" w:cs="Times New Roma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semiHidden/>
    <w:unhideWhenUsed/>
    <w:rsid w:val="006E7B08"/>
    <w:rPr>
      <w:sz w:val="18"/>
      <w:szCs w:val="18"/>
    </w:rPr>
  </w:style>
  <w:style w:type="paragraph" w:styleId="CommentText">
    <w:name w:val="annotation text"/>
    <w:basedOn w:val="Normal"/>
    <w:link w:val="CommentTextChar"/>
    <w:semiHidden/>
    <w:unhideWhenUsed/>
    <w:rsid w:val="006E7B08"/>
  </w:style>
  <w:style w:type="character" w:customStyle="1" w:styleId="CommentTextChar">
    <w:name w:val="Comment Text Char"/>
    <w:basedOn w:val="DefaultParagraphFont"/>
    <w:link w:val="CommentText"/>
    <w:semiHidden/>
    <w:rsid w:val="006E7B08"/>
    <w:rPr>
      <w:rFonts w:ascii="Times" w:eastAsia="바탕" w:hAnsi="Times" w:cs="Times New Roman"/>
    </w:rPr>
  </w:style>
  <w:style w:type="paragraph" w:customStyle="1" w:styleId="EndNoteBibliographyTitle">
    <w:name w:val="EndNote Bibliography Title"/>
    <w:basedOn w:val="Normal"/>
    <w:rsid w:val="00AF0D86"/>
    <w:pPr>
      <w:spacing w:after="0"/>
      <w:jc w:val="center"/>
    </w:pPr>
  </w:style>
  <w:style w:type="paragraph" w:customStyle="1" w:styleId="EndNoteBibliography">
    <w:name w:val="EndNote Bibliography"/>
    <w:basedOn w:val="Normal"/>
    <w:rsid w:val="00AF0D86"/>
  </w:style>
  <w:style w:type="table" w:customStyle="1" w:styleId="GridTable5Dark-Accent61">
    <w:name w:val="Grid Table 5 Dark - Accent 61"/>
    <w:basedOn w:val="TableNormal"/>
    <w:uiPriority w:val="50"/>
    <w:rsid w:val="00422C24"/>
    <w:rPr>
      <w:rFonts w:ascii="New York" w:eastAsia="바탕" w:hAnsi="New York" w:cs="Times New Roma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PlaceholderText">
    <w:name w:val="Placeholder Text"/>
    <w:basedOn w:val="DefaultParagraphFont"/>
    <w:uiPriority w:val="99"/>
    <w:semiHidden/>
    <w:rsid w:val="00AD192B"/>
    <w:rPr>
      <w:color w:val="808080"/>
    </w:rPr>
  </w:style>
  <w:style w:type="paragraph" w:styleId="CommentSubject">
    <w:name w:val="annotation subject"/>
    <w:basedOn w:val="CommentText"/>
    <w:next w:val="CommentText"/>
    <w:link w:val="CommentSubjectChar"/>
    <w:uiPriority w:val="99"/>
    <w:semiHidden/>
    <w:unhideWhenUsed/>
    <w:rsid w:val="00AE02CB"/>
    <w:rPr>
      <w:b/>
      <w:bCs/>
      <w:sz w:val="20"/>
      <w:szCs w:val="20"/>
    </w:rPr>
  </w:style>
  <w:style w:type="character" w:customStyle="1" w:styleId="CommentSubjectChar">
    <w:name w:val="Comment Subject Char"/>
    <w:basedOn w:val="CommentTextChar"/>
    <w:link w:val="CommentSubject"/>
    <w:uiPriority w:val="99"/>
    <w:semiHidden/>
    <w:rsid w:val="00AE02CB"/>
    <w:rPr>
      <w:rFonts w:ascii="Times" w:eastAsia="바탕" w:hAnsi="Times" w:cs="Times New Roman"/>
      <w:b/>
      <w:bCs/>
      <w:sz w:val="20"/>
      <w:szCs w:val="20"/>
    </w:rPr>
  </w:style>
  <w:style w:type="table" w:styleId="TableGrid">
    <w:name w:val="Table Grid"/>
    <w:basedOn w:val="TableNormal"/>
    <w:uiPriority w:val="59"/>
    <w:rsid w:val="00D71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65050">
      <w:bodyDiv w:val="1"/>
      <w:marLeft w:val="0"/>
      <w:marRight w:val="0"/>
      <w:marTop w:val="0"/>
      <w:marBottom w:val="0"/>
      <w:divBdr>
        <w:top w:val="none" w:sz="0" w:space="0" w:color="auto"/>
        <w:left w:val="none" w:sz="0" w:space="0" w:color="auto"/>
        <w:bottom w:val="none" w:sz="0" w:space="0" w:color="auto"/>
        <w:right w:val="none" w:sz="0" w:space="0" w:color="auto"/>
      </w:divBdr>
    </w:div>
    <w:div w:id="1383363361">
      <w:bodyDiv w:val="1"/>
      <w:marLeft w:val="0"/>
      <w:marRight w:val="0"/>
      <w:marTop w:val="0"/>
      <w:marBottom w:val="0"/>
      <w:divBdr>
        <w:top w:val="none" w:sz="0" w:space="0" w:color="auto"/>
        <w:left w:val="none" w:sz="0" w:space="0" w:color="auto"/>
        <w:bottom w:val="none" w:sz="0" w:space="0" w:color="auto"/>
        <w:right w:val="none" w:sz="0" w:space="0" w:color="auto"/>
      </w:divBdr>
    </w:div>
    <w:div w:id="1951546544">
      <w:bodyDiv w:val="1"/>
      <w:marLeft w:val="0"/>
      <w:marRight w:val="0"/>
      <w:marTop w:val="0"/>
      <w:marBottom w:val="0"/>
      <w:divBdr>
        <w:top w:val="none" w:sz="0" w:space="0" w:color="auto"/>
        <w:left w:val="none" w:sz="0" w:space="0" w:color="auto"/>
        <w:bottom w:val="none" w:sz="0" w:space="0" w:color="auto"/>
        <w:right w:val="none" w:sz="0" w:space="0" w:color="auto"/>
      </w:divBdr>
    </w:div>
    <w:div w:id="2035306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FCCDD-2084-F949-A66D-EDEC84B79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1433</Words>
  <Characters>8171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Argonne National Lab</Company>
  <LinksUpToDate>false</LinksUpToDate>
  <CharactersWithSpaces>9585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 Jeon</dc:creator>
  <cp:keywords/>
  <dc:description/>
  <cp:lastModifiedBy>Foley, Jonathan</cp:lastModifiedBy>
  <cp:revision>8</cp:revision>
  <dcterms:created xsi:type="dcterms:W3CDTF">2017-12-08T14:15:00Z</dcterms:created>
  <dcterms:modified xsi:type="dcterms:W3CDTF">2017-12-12T17:01:00Z</dcterms:modified>
</cp:coreProperties>
</file>