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F5C7F" w14:textId="77777777" w:rsidR="00660FD8" w:rsidRDefault="00660FD8" w:rsidP="00660FD8">
      <w:pPr>
        <w:spacing w:after="0" w:line="240" w:lineRule="auto"/>
        <w:rPr>
          <w:rFonts w:ascii="Calibri" w:eastAsia="Calibri" w:hAnsi="Calibri" w:cs="Times New Roman"/>
          <w:szCs w:val="21"/>
        </w:rPr>
      </w:pPr>
    </w:p>
    <w:p w14:paraId="3C2C5791" w14:textId="35B5EB9F" w:rsidR="00A4336F" w:rsidRDefault="00660FD8"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 xml:space="preserve">The authors give a review about the special technical field of </w:t>
      </w:r>
      <w:proofErr w:type="spellStart"/>
      <w:r w:rsidR="00A4336F" w:rsidRPr="00A4336F">
        <w:rPr>
          <w:rFonts w:ascii="Calibri" w:eastAsia="Calibri" w:hAnsi="Calibri" w:cs="Times New Roman"/>
          <w:szCs w:val="21"/>
        </w:rPr>
        <w:t>thermo</w:t>
      </w:r>
      <w:proofErr w:type="spellEnd"/>
      <w:r w:rsidR="00A4336F" w:rsidRPr="00A4336F">
        <w:rPr>
          <w:rFonts w:ascii="Calibri" w:eastAsia="Calibri" w:hAnsi="Calibri" w:cs="Times New Roman"/>
          <w:szCs w:val="21"/>
        </w:rPr>
        <w:t xml:space="preserve"> photovoltaics and in solar thermal with a focus on absorbers at high temperature. </w:t>
      </w:r>
      <w:proofErr w:type="gramStart"/>
      <w:r w:rsidR="00A4336F" w:rsidRPr="00A4336F">
        <w:rPr>
          <w:rFonts w:ascii="Calibri" w:eastAsia="Calibri" w:hAnsi="Calibri" w:cs="Times New Roman"/>
          <w:szCs w:val="21"/>
        </w:rPr>
        <w:t>However</w:t>
      </w:r>
      <w:proofErr w:type="gramEnd"/>
      <w:r w:rsidR="00A4336F" w:rsidRPr="00A4336F">
        <w:rPr>
          <w:rFonts w:ascii="Calibri" w:eastAsia="Calibri" w:hAnsi="Calibri" w:cs="Times New Roman"/>
          <w:szCs w:val="21"/>
        </w:rPr>
        <w:t xml:space="preserve"> as I will reason later the reviewed area should be specified even in the introduction more precise and differentiate from others like solar thermal for hot water and heating demands and photovoltaic-thermal collectors, which are already on the market.</w:t>
      </w:r>
      <w:r w:rsidR="00232A47">
        <w:rPr>
          <w:rFonts w:ascii="Calibri" w:eastAsia="Calibri" w:hAnsi="Calibri" w:cs="Times New Roman"/>
          <w:szCs w:val="21"/>
        </w:rPr>
        <w:t xml:space="preserve">  – </w:t>
      </w:r>
      <w:r w:rsidR="00F34E59">
        <w:rPr>
          <w:rFonts w:ascii="Calibri" w:eastAsia="Calibri" w:hAnsi="Calibri" w:cs="Times New Roman"/>
          <w:color w:val="FF0000"/>
          <w:szCs w:val="21"/>
        </w:rPr>
        <w:t xml:space="preserve"> </w:t>
      </w:r>
      <w:r w:rsidR="00D36A16" w:rsidRPr="00D36A16">
        <w:rPr>
          <w:rFonts w:ascii="Calibri" w:eastAsia="Calibri" w:hAnsi="Calibri" w:cs="Times New Roman"/>
          <w:color w:val="FF0000"/>
          <w:szCs w:val="21"/>
        </w:rPr>
        <w:t>\</w:t>
      </w:r>
      <w:proofErr w:type="spellStart"/>
      <w:r w:rsidR="00D36A16" w:rsidRPr="00D36A16">
        <w:rPr>
          <w:rFonts w:ascii="Calibri" w:eastAsia="Calibri" w:hAnsi="Calibri" w:cs="Times New Roman"/>
          <w:color w:val="FF0000"/>
          <w:szCs w:val="21"/>
        </w:rPr>
        <w:t>textcolor</w:t>
      </w:r>
      <w:proofErr w:type="spellEnd"/>
      <w:r w:rsidR="00D36A16" w:rsidRPr="00D36A16">
        <w:rPr>
          <w:rFonts w:ascii="Calibri" w:eastAsia="Calibri" w:hAnsi="Calibri" w:cs="Times New Roman"/>
          <w:color w:val="FF0000"/>
          <w:szCs w:val="21"/>
        </w:rPr>
        <w:t>{red</w:t>
      </w:r>
      <w:proofErr w:type="gramStart"/>
      <w:r w:rsidR="00D36A16" w:rsidRPr="00D36A16">
        <w:rPr>
          <w:rFonts w:ascii="Calibri" w:eastAsia="Calibri" w:hAnsi="Calibri" w:cs="Times New Roman"/>
          <w:color w:val="FF0000"/>
          <w:szCs w:val="21"/>
        </w:rPr>
        <w:t>}{</w:t>
      </w:r>
      <w:proofErr w:type="gramEnd"/>
      <w:r w:rsidR="00D36A16" w:rsidRPr="00D36A16">
        <w:rPr>
          <w:rFonts w:ascii="Calibri" w:eastAsia="Calibri" w:hAnsi="Calibri" w:cs="Times New Roman"/>
          <w:color w:val="FF0000"/>
          <w:szCs w:val="21"/>
        </w:rPr>
        <w:t>systems for converting solar</w:t>
      </w:r>
    </w:p>
    <w:p w14:paraId="1F1D1406" w14:textId="23E9F239" w:rsidR="00D36A16" w:rsidRDefault="00D36A16" w:rsidP="00A4336F">
      <w:pPr>
        <w:spacing w:after="0" w:line="240" w:lineRule="auto"/>
        <w:rPr>
          <w:rFonts w:ascii="Calibri" w:eastAsia="Calibri" w:hAnsi="Calibri" w:cs="Times New Roman"/>
          <w:color w:val="FF0000"/>
          <w:szCs w:val="21"/>
        </w:rPr>
      </w:pPr>
    </w:p>
    <w:p w14:paraId="60FE421B" w14:textId="51D24107" w:rsidR="00D36A16" w:rsidRPr="00232A47" w:rsidRDefault="00D36A16" w:rsidP="00A4336F">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This review is indeed focused on ST and STPV systems operating at a high temperature and converting sunlight into electricity.  While ST systems for heating (such as hot-water heating) are useful systems which are already on the market, they are not a focus of this article.  We have added a paragraph to the introduction to clarify this point.</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 xml:space="preserve">The manuscript gives a good overview about the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to manage the efforts at solar and infra-red spectral range to get high efficiency. Theoretical work, software solutions for simulation and experimental performance were likewise approached.</w:t>
      </w:r>
    </w:p>
    <w:p w14:paraId="432C2B70" w14:textId="5A258656" w:rsidR="00660FD8" w:rsidRDefault="00660FD8" w:rsidP="00660FD8">
      <w:pPr>
        <w:spacing w:after="0" w:line="240" w:lineRule="auto"/>
        <w:rPr>
          <w:rFonts w:ascii="Calibri" w:eastAsia="Calibri" w:hAnsi="Calibri" w:cs="Times New Roman"/>
          <w:color w:val="FF0000"/>
          <w:szCs w:val="21"/>
        </w:rPr>
      </w:pPr>
      <w:proofErr w:type="gramStart"/>
      <w:r w:rsidRPr="00660FD8">
        <w:rPr>
          <w:rFonts w:ascii="Calibri" w:eastAsia="Calibri" w:hAnsi="Calibri" w:cs="Times New Roman"/>
          <w:szCs w:val="21"/>
        </w:rPr>
        <w:t>However</w:t>
      </w:r>
      <w:proofErr w:type="gramEnd"/>
      <w:r w:rsidRPr="00660FD8">
        <w:rPr>
          <w:rFonts w:ascii="Calibri" w:eastAsia="Calibri" w:hAnsi="Calibri" w:cs="Times New Roman"/>
          <w:szCs w:val="21"/>
        </w:rPr>
        <w:t xml:space="preserve">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 </w:t>
      </w:r>
      <w:r w:rsidR="0088480B">
        <w:rPr>
          <w:rFonts w:ascii="Calibri" w:eastAsia="Calibri" w:hAnsi="Calibri" w:cs="Times New Roman"/>
          <w:color w:val="FF0000"/>
          <w:szCs w:val="21"/>
        </w:rPr>
        <w:t xml:space="preserve"> </w:t>
      </w:r>
      <w:r w:rsidR="00D36A16" w:rsidRPr="00D36A16">
        <w:rPr>
          <w:rFonts w:ascii="Calibri" w:eastAsia="Calibri" w:hAnsi="Calibri" w:cs="Times New Roman"/>
          <w:color w:val="FF0000"/>
          <w:szCs w:val="21"/>
        </w:rPr>
        <w:t>\</w:t>
      </w:r>
      <w:proofErr w:type="spellStart"/>
      <w:r w:rsidR="00D36A16" w:rsidRPr="00D36A16">
        <w:rPr>
          <w:rFonts w:ascii="Calibri" w:eastAsia="Calibri" w:hAnsi="Calibri" w:cs="Times New Roman"/>
          <w:color w:val="FF0000"/>
          <w:szCs w:val="21"/>
        </w:rPr>
        <w:t>textcolor</w:t>
      </w:r>
      <w:proofErr w:type="spellEnd"/>
      <w:r w:rsidR="00D36A16" w:rsidRPr="00D36A16">
        <w:rPr>
          <w:rFonts w:ascii="Calibri" w:eastAsia="Calibri" w:hAnsi="Calibri" w:cs="Times New Roman"/>
          <w:color w:val="FF0000"/>
          <w:szCs w:val="21"/>
        </w:rPr>
        <w:t>{red</w:t>
      </w:r>
      <w:proofErr w:type="gramStart"/>
      <w:r w:rsidR="00D36A16" w:rsidRPr="00D36A16">
        <w:rPr>
          <w:rFonts w:ascii="Calibri" w:eastAsia="Calibri" w:hAnsi="Calibri" w:cs="Times New Roman"/>
          <w:color w:val="FF0000"/>
          <w:szCs w:val="21"/>
        </w:rPr>
        <w:t>}{</w:t>
      </w:r>
      <w:proofErr w:type="gramEnd"/>
      <w:r w:rsidR="00D36A16" w:rsidRPr="00D36A16">
        <w:rPr>
          <w:rFonts w:ascii="Calibri" w:eastAsia="Calibri" w:hAnsi="Calibri" w:cs="Times New Roman"/>
          <w:color w:val="FF0000"/>
          <w:szCs w:val="21"/>
        </w:rPr>
        <w:t>While both ST and STPV systems</w:t>
      </w:r>
    </w:p>
    <w:p w14:paraId="6C9F6CE1" w14:textId="3B20D333" w:rsidR="00D36A16" w:rsidRDefault="00D36A16" w:rsidP="00660FD8">
      <w:pPr>
        <w:spacing w:after="0" w:line="240" w:lineRule="auto"/>
        <w:rPr>
          <w:rFonts w:ascii="Calibri" w:eastAsia="Calibri" w:hAnsi="Calibri" w:cs="Times New Roman"/>
          <w:color w:val="FF0000"/>
          <w:szCs w:val="21"/>
        </w:rPr>
      </w:pPr>
    </w:p>
    <w:p w14:paraId="75530EE3" w14:textId="30E5FEB5" w:rsidR="00D36A16" w:rsidRPr="00660FD8" w:rsidRDefault="000F200E" w:rsidP="00660FD8">
      <w:pPr>
        <w:spacing w:after="0" w:line="240" w:lineRule="auto"/>
        <w:rPr>
          <w:rFonts w:ascii="Calibri" w:eastAsia="Calibri" w:hAnsi="Calibri" w:cs="Times New Roman"/>
          <w:szCs w:val="21"/>
        </w:rPr>
      </w:pPr>
      <w:r>
        <w:rPr>
          <w:rFonts w:ascii="Calibri" w:eastAsia="Calibri" w:hAnsi="Calibri" w:cs="Times New Roman"/>
          <w:color w:val="FF0000"/>
          <w:szCs w:val="21"/>
        </w:rPr>
        <w:t xml:space="preserve">It is true that real-world STPV system efficiencies remain low; however, they have made significant progress since their inception.  Due to the high theoretical efficiency limits and natural advantages of STPV systems (such as the ability to store power as heat and the lack of moving parts or a thermal </w:t>
      </w:r>
      <w:proofErr w:type="spellStart"/>
      <w:r>
        <w:rPr>
          <w:rFonts w:ascii="Calibri" w:eastAsia="Calibri" w:hAnsi="Calibri" w:cs="Times New Roman"/>
          <w:color w:val="FF0000"/>
          <w:szCs w:val="21"/>
        </w:rPr>
        <w:t>fliud</w:t>
      </w:r>
      <w:proofErr w:type="spellEnd"/>
      <w:r>
        <w:rPr>
          <w:rFonts w:ascii="Calibri" w:eastAsia="Calibri" w:hAnsi="Calibri" w:cs="Times New Roman"/>
          <w:color w:val="FF0000"/>
          <w:szCs w:val="21"/>
        </w:rPr>
        <w:t>), we see this area as one which shows great promise.  A goal of this research paper is to draw more attention to this growing field.</w:t>
      </w:r>
    </w:p>
    <w:p w14:paraId="108B3D09" w14:textId="77777777" w:rsidR="00660FD8" w:rsidRPr="00660FD8" w:rsidRDefault="00660FD8" w:rsidP="00660FD8">
      <w:pPr>
        <w:spacing w:after="0" w:line="240" w:lineRule="auto"/>
        <w:rPr>
          <w:rFonts w:ascii="Calibri" w:eastAsia="Calibri" w:hAnsi="Calibri" w:cs="Times New Roman"/>
          <w:szCs w:val="21"/>
        </w:rPr>
      </w:pPr>
    </w:p>
    <w:p w14:paraId="04792F13" w14:textId="00E8499C" w:rsidR="00D61685" w:rsidRPr="000F200E" w:rsidRDefault="00660FD8" w:rsidP="005D0AC3">
      <w:pPr>
        <w:spacing w:after="0" w:line="240" w:lineRule="auto"/>
        <w:rPr>
          <w:rFonts w:ascii="Calibri" w:eastAsia="Calibri" w:hAnsi="Calibri" w:cs="Times New Roman"/>
          <w:color w:val="FF0000"/>
          <w:szCs w:val="21"/>
        </w:rPr>
      </w:pPr>
      <w:proofErr w:type="gramStart"/>
      <w:r w:rsidRPr="00660FD8">
        <w:rPr>
          <w:rFonts w:ascii="Calibri" w:eastAsia="Calibri" w:hAnsi="Calibri" w:cs="Times New Roman"/>
          <w:szCs w:val="21"/>
        </w:rPr>
        <w:t>Obviously</w:t>
      </w:r>
      <w:proofErr w:type="gramEnd"/>
      <w:r w:rsidRPr="00660FD8">
        <w:rPr>
          <w:rFonts w:ascii="Calibri" w:eastAsia="Calibri" w:hAnsi="Calibri" w:cs="Times New Roman"/>
          <w:szCs w:val="21"/>
        </w:rPr>
        <w:t xml:space="preserve"> something is going wrong throughout the scientific community. To my impression the theoretical base of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seems not to be confirmed. The author reference [11] and [37] claiming higher efficiency than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limit (page 33 lines 763-765), which is impossible when one compares equivalent conditions (light intensity, solar cell temperature) because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based on detailed balance concept. Equivalent limits as Shockley and </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r w:rsidR="00AA7971">
        <w:rPr>
          <w:rFonts w:ascii="Calibri" w:eastAsia="Calibri" w:hAnsi="Calibri" w:cs="Times New Roman"/>
          <w:szCs w:val="21"/>
        </w:rPr>
        <w:t xml:space="preserve"> </w:t>
      </w:r>
      <w:r w:rsidR="00AA7971" w:rsidRPr="00AA7971">
        <w:rPr>
          <w:rFonts w:ascii="Calibri" w:eastAsia="Calibri" w:hAnsi="Calibri" w:cs="Times New Roman"/>
          <w:color w:val="FF0000"/>
          <w:szCs w:val="21"/>
        </w:rPr>
        <w:t>\</w:t>
      </w:r>
      <w:proofErr w:type="spellStart"/>
      <w:r w:rsidR="00AA7971" w:rsidRPr="00AA7971">
        <w:rPr>
          <w:rFonts w:ascii="Calibri" w:eastAsia="Calibri" w:hAnsi="Calibri" w:cs="Times New Roman"/>
          <w:color w:val="FF0000"/>
          <w:szCs w:val="21"/>
        </w:rPr>
        <w:t>textcolor</w:t>
      </w:r>
      <w:proofErr w:type="spellEnd"/>
      <w:r w:rsidR="00AA7971" w:rsidRPr="00AA7971">
        <w:rPr>
          <w:rFonts w:ascii="Calibri" w:eastAsia="Calibri" w:hAnsi="Calibri" w:cs="Times New Roman"/>
          <w:color w:val="FF0000"/>
          <w:szCs w:val="21"/>
        </w:rPr>
        <w:t>{red</w:t>
      </w:r>
      <w:proofErr w:type="gramStart"/>
      <w:r w:rsidR="00AA7971" w:rsidRPr="00AA7971">
        <w:rPr>
          <w:rFonts w:ascii="Calibri" w:eastAsia="Calibri" w:hAnsi="Calibri" w:cs="Times New Roman"/>
          <w:color w:val="FF0000"/>
          <w:szCs w:val="21"/>
        </w:rPr>
        <w:t>}{</w:t>
      </w:r>
      <w:proofErr w:type="gramEnd"/>
      <w:r w:rsidR="00AA7971" w:rsidRPr="00AA7971">
        <w:rPr>
          <w:rFonts w:ascii="Calibri" w:eastAsia="Calibri" w:hAnsi="Calibri" w:cs="Times New Roman"/>
          <w:color w:val="FF0000"/>
          <w:szCs w:val="21"/>
        </w:rPr>
        <w:t>By transforming the incoming</w:t>
      </w:r>
    </w:p>
    <w:p w14:paraId="56EBCF28" w14:textId="2BFF835A" w:rsidR="000F200E" w:rsidRDefault="000F200E" w:rsidP="005D0AC3">
      <w:pPr>
        <w:spacing w:after="0" w:line="240" w:lineRule="auto"/>
        <w:rPr>
          <w:rFonts w:ascii="Calibri" w:eastAsia="Calibri" w:hAnsi="Calibri" w:cs="Times New Roman"/>
          <w:color w:val="FF0000"/>
          <w:szCs w:val="21"/>
        </w:rPr>
      </w:pPr>
    </w:p>
    <w:p w14:paraId="44DF0886" w14:textId="49A17F1B" w:rsidR="000F200E" w:rsidRPr="002016F0" w:rsidRDefault="00AA7971" w:rsidP="005D0AC3">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While the Shockley-</w:t>
      </w:r>
      <w:proofErr w:type="spellStart"/>
      <w:r>
        <w:rPr>
          <w:rFonts w:ascii="Calibri" w:eastAsia="Calibri" w:hAnsi="Calibri" w:cs="Times New Roman"/>
          <w:color w:val="FF0000"/>
          <w:szCs w:val="21"/>
        </w:rPr>
        <w:t>Quessier</w:t>
      </w:r>
      <w:proofErr w:type="spellEnd"/>
      <w:r>
        <w:rPr>
          <w:rFonts w:ascii="Calibri" w:eastAsia="Calibri" w:hAnsi="Calibri" w:cs="Times New Roman"/>
          <w:color w:val="FF0000"/>
          <w:szCs w:val="21"/>
        </w:rPr>
        <w:t xml:space="preserve"> limit holds true for single-junction PV cells</w:t>
      </w:r>
      <w:r w:rsidR="000E1099">
        <w:rPr>
          <w:rFonts w:ascii="Calibri" w:eastAsia="Calibri" w:hAnsi="Calibri" w:cs="Times New Roman"/>
          <w:color w:val="FF0000"/>
          <w:szCs w:val="21"/>
        </w:rPr>
        <w:t xml:space="preserve"> operating under sunlight</w:t>
      </w:r>
      <w:r>
        <w:rPr>
          <w:rFonts w:ascii="Calibri" w:eastAsia="Calibri" w:hAnsi="Calibri" w:cs="Times New Roman"/>
          <w:color w:val="FF0000"/>
          <w:szCs w:val="21"/>
        </w:rPr>
        <w:t xml:space="preserve">, it does not limit the efficiency of heat engines such as STPV systems.  STPV systems transform the broadband solar spectrum to a narrow thermal emission.  This limits </w:t>
      </w:r>
      <w:r w:rsidRPr="00AA7971">
        <w:rPr>
          <w:rFonts w:ascii="Calibri" w:eastAsia="Calibri" w:hAnsi="Calibri" w:cs="Times New Roman"/>
          <w:color w:val="FF0000"/>
          <w:szCs w:val="21"/>
        </w:rPr>
        <w:t>losses due to below-bandga</w:t>
      </w:r>
      <w:r>
        <w:rPr>
          <w:rFonts w:ascii="Calibri" w:eastAsia="Calibri" w:hAnsi="Calibri" w:cs="Times New Roman"/>
          <w:color w:val="FF0000"/>
          <w:szCs w:val="21"/>
        </w:rPr>
        <w:t xml:space="preserve">p radiation and thermalization, which make up a majority of the </w:t>
      </w:r>
      <w:r>
        <w:rPr>
          <w:rFonts w:ascii="Calibri" w:eastAsia="Calibri" w:hAnsi="Calibri" w:cs="Times New Roman"/>
          <w:color w:val="FF0000"/>
          <w:szCs w:val="21"/>
        </w:rPr>
        <w:t>Shockley-</w:t>
      </w:r>
      <w:proofErr w:type="spellStart"/>
      <w:r>
        <w:rPr>
          <w:rFonts w:ascii="Calibri" w:eastAsia="Calibri" w:hAnsi="Calibri" w:cs="Times New Roman"/>
          <w:color w:val="FF0000"/>
          <w:szCs w:val="21"/>
        </w:rPr>
        <w:t>Quessier</w:t>
      </w:r>
      <w:proofErr w:type="spellEnd"/>
      <w:r>
        <w:rPr>
          <w:rFonts w:ascii="Calibri" w:eastAsia="Calibri" w:hAnsi="Calibri" w:cs="Times New Roman"/>
          <w:color w:val="FF0000"/>
          <w:szCs w:val="21"/>
        </w:rPr>
        <w:t xml:space="preserve"> limit</w:t>
      </w:r>
      <w:r w:rsidR="000E1099">
        <w:rPr>
          <w:rFonts w:ascii="Calibri" w:eastAsia="Calibri" w:hAnsi="Calibri" w:cs="Times New Roman"/>
          <w:color w:val="FF0000"/>
          <w:szCs w:val="21"/>
        </w:rPr>
        <w:t xml:space="preserve"> for typical PV cells</w:t>
      </w:r>
      <w:r>
        <w:rPr>
          <w:rFonts w:ascii="Calibri" w:eastAsia="Calibri" w:hAnsi="Calibri" w:cs="Times New Roman"/>
          <w:color w:val="FF0000"/>
          <w:szCs w:val="21"/>
        </w:rPr>
        <w:t>.</w:t>
      </w:r>
      <w:r w:rsidR="000E1099">
        <w:rPr>
          <w:rFonts w:ascii="Calibri" w:eastAsia="Calibri" w:hAnsi="Calibri" w:cs="Times New Roman"/>
          <w:color w:val="FF0000"/>
          <w:szCs w:val="21"/>
        </w:rPr>
        <w:t xml:space="preserve">  The limit can still be applied to PV cells absorbing the narrowed emission from an STPV emitter, but it will be much higher than the case of traditional PV cells, and will allow for extremely high efficiency operation.</w:t>
      </w:r>
    </w:p>
    <w:p w14:paraId="4B311499" w14:textId="045EF0D6"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40120675" w14:textId="52779B93" w:rsidR="00660FD8" w:rsidRDefault="00660FD8" w:rsidP="00660FD8">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 xml:space="preserve">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w:t>
      </w:r>
      <w:r w:rsidRPr="00660FD8">
        <w:rPr>
          <w:rFonts w:ascii="Calibri" w:eastAsia="Calibri" w:hAnsi="Calibri" w:cs="Times New Roman"/>
          <w:szCs w:val="21"/>
        </w:rPr>
        <w:lastRenderedPageBreak/>
        <w:t>absorber temperature these boundary conditions determine the upper theoretical efficiency limit, which could be available.</w:t>
      </w:r>
      <w:r w:rsidR="0065735E">
        <w:rPr>
          <w:rFonts w:ascii="Calibri" w:eastAsia="Calibri" w:hAnsi="Calibri" w:cs="Times New Roman"/>
          <w:szCs w:val="21"/>
        </w:rPr>
        <w:t xml:space="preserve"> </w:t>
      </w:r>
      <w:r w:rsidR="0065735E" w:rsidRPr="0065735E">
        <w:rPr>
          <w:rFonts w:ascii="Calibri" w:eastAsia="Calibri" w:hAnsi="Calibri" w:cs="Times New Roman"/>
          <w:color w:val="FF0000"/>
          <w:szCs w:val="21"/>
        </w:rPr>
        <w:t>Many nanotextured emitting structure</w:t>
      </w:r>
    </w:p>
    <w:p w14:paraId="51984260" w14:textId="59372CE6" w:rsidR="0065735E" w:rsidRDefault="0065735E" w:rsidP="00660FD8">
      <w:pPr>
        <w:spacing w:after="0" w:line="240" w:lineRule="auto"/>
        <w:rPr>
          <w:rFonts w:ascii="Calibri" w:eastAsia="Calibri" w:hAnsi="Calibri" w:cs="Times New Roman"/>
          <w:color w:val="FF0000"/>
          <w:szCs w:val="21"/>
        </w:rPr>
      </w:pPr>
    </w:p>
    <w:p w14:paraId="34C24D18" w14:textId="5B3F89F4" w:rsidR="0065735E" w:rsidRPr="0065735E" w:rsidRDefault="0065735E" w:rsidP="00660FD8">
      <w:pPr>
        <w:spacing w:after="0" w:line="240" w:lineRule="auto"/>
        <w:rPr>
          <w:rFonts w:ascii="Calibri" w:eastAsia="Calibri" w:hAnsi="Calibri" w:cs="Times New Roman"/>
          <w:szCs w:val="21"/>
        </w:rPr>
      </w:pPr>
      <w:r>
        <w:rPr>
          <w:rFonts w:ascii="Calibri" w:eastAsia="Calibri" w:hAnsi="Calibri" w:cs="Times New Roman"/>
          <w:color w:val="FF0000"/>
          <w:szCs w:val="21"/>
        </w:rPr>
        <w:t>This information has been added to the paper.</w:t>
      </w:r>
    </w:p>
    <w:p w14:paraId="0E8E8F26" w14:textId="77777777" w:rsidR="002016F0" w:rsidRPr="00660FD8" w:rsidRDefault="002016F0" w:rsidP="00660FD8">
      <w:pPr>
        <w:spacing w:after="0" w:line="240" w:lineRule="auto"/>
        <w:rPr>
          <w:rFonts w:ascii="Calibri" w:eastAsia="Calibri" w:hAnsi="Calibri" w:cs="Times New Roman"/>
          <w:szCs w:val="21"/>
        </w:rPr>
      </w:pPr>
    </w:p>
    <w:p w14:paraId="637DCA13" w14:textId="11B0ED44" w:rsidR="00AA44E6" w:rsidRDefault="00660FD8" w:rsidP="002016F0">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 xml:space="preserve">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w:t>
      </w:r>
      <w:proofErr w:type="spellStart"/>
      <w:r w:rsidRPr="00660FD8">
        <w:rPr>
          <w:rFonts w:ascii="Calibri" w:eastAsia="Calibri" w:hAnsi="Calibri" w:cs="Times New Roman"/>
          <w:szCs w:val="21"/>
        </w:rPr>
        <w:t>Shockleys</w:t>
      </w:r>
      <w:proofErr w:type="spellEnd"/>
      <w:r w:rsidRPr="00660FD8">
        <w:rPr>
          <w:rFonts w:ascii="Calibri" w:eastAsia="Calibri" w:hAnsi="Calibri" w:cs="Times New Roman"/>
          <w:szCs w:val="21"/>
        </w:rPr>
        <w:t>/</w:t>
      </w:r>
      <w:proofErr w:type="spellStart"/>
      <w:r w:rsidRPr="00660FD8">
        <w:rPr>
          <w:rFonts w:ascii="Calibri" w:eastAsia="Calibri" w:hAnsi="Calibri" w:cs="Times New Roman"/>
          <w:szCs w:val="21"/>
        </w:rPr>
        <w:t>Queissers</w:t>
      </w:r>
      <w:proofErr w:type="spellEnd"/>
      <w:r w:rsidRPr="00660FD8">
        <w:rPr>
          <w:rFonts w:ascii="Calibri" w:eastAsia="Calibri" w:hAnsi="Calibri" w:cs="Times New Roman"/>
          <w:szCs w:val="21"/>
        </w:rPr>
        <w:t xml:space="preserve"> and Ross/Hsiao´s theory into account. Considering thermodynamic limit determining by radiant recombination the open circuit voltage is about 0.5 V below corresponding band gap energy (without light concentration). The available voltage at maximum power point is about further </w:t>
      </w:r>
      <w:proofErr w:type="spellStart"/>
      <w:r w:rsidRPr="00660FD8">
        <w:rPr>
          <w:rFonts w:ascii="Calibri" w:eastAsia="Calibri" w:hAnsi="Calibri" w:cs="Times New Roman"/>
          <w:szCs w:val="21"/>
        </w:rPr>
        <w:t>kT</w:t>
      </w:r>
      <w:proofErr w:type="spellEnd"/>
      <w:r w:rsidRPr="00660FD8">
        <w:rPr>
          <w:rFonts w:ascii="Calibri" w:eastAsia="Calibri" w:hAnsi="Calibri" w:cs="Times New Roman"/>
          <w:szCs w:val="21"/>
        </w:rPr>
        <w:t xml:space="preserve">/e lower. </w:t>
      </w:r>
      <w:proofErr w:type="gramStart"/>
      <w:r w:rsidRPr="00660FD8">
        <w:rPr>
          <w:rFonts w:ascii="Calibri" w:eastAsia="Calibri" w:hAnsi="Calibri" w:cs="Times New Roman"/>
          <w:szCs w:val="21"/>
        </w:rPr>
        <w:t>Additionally</w:t>
      </w:r>
      <w:proofErr w:type="gramEnd"/>
      <w:r w:rsidRPr="00660FD8">
        <w:rPr>
          <w:rFonts w:ascii="Calibri" w:eastAsia="Calibri" w:hAnsi="Calibri" w:cs="Times New Roman"/>
          <w:szCs w:val="21"/>
        </w:rPr>
        <w:t xml:space="preserve">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r w:rsidR="00907406">
        <w:rPr>
          <w:rFonts w:ascii="Calibri" w:eastAsia="Calibri" w:hAnsi="Calibri" w:cs="Times New Roman"/>
          <w:szCs w:val="21"/>
        </w:rPr>
        <w:t xml:space="preserve">  </w:t>
      </w:r>
      <w:r w:rsidR="00907406" w:rsidRPr="00907406">
        <w:rPr>
          <w:rFonts w:ascii="Calibri" w:eastAsia="Calibri" w:hAnsi="Calibri" w:cs="Times New Roman"/>
          <w:color w:val="FF0000"/>
          <w:szCs w:val="21"/>
        </w:rPr>
        <w:t>The spectral efficiency is given by</w:t>
      </w:r>
    </w:p>
    <w:p w14:paraId="4B8AF95B" w14:textId="77777777" w:rsidR="00907406" w:rsidRPr="00907406" w:rsidRDefault="00907406" w:rsidP="002016F0">
      <w:pPr>
        <w:spacing w:after="0" w:line="240" w:lineRule="auto"/>
        <w:rPr>
          <w:rFonts w:ascii="Calibri" w:eastAsia="Calibri" w:hAnsi="Calibri" w:cs="Times New Roman"/>
          <w:szCs w:val="21"/>
        </w:rPr>
      </w:pPr>
    </w:p>
    <w:p w14:paraId="6BBE18A3" w14:textId="792B2696" w:rsidR="00AA44E6" w:rsidRPr="002016F0" w:rsidRDefault="00C771A8"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Equation 5 in the paper does not attempt to calculate the total efficiency of a STPV system.  It only takes into account the specific losses due to thermal emission and the spectral mismatch between the emitted radiation and the PV cell.  This is a useful tool because it captures the efficiency of the absorbing and emitting surfaces of the STPV system</w:t>
      </w:r>
      <w:r w:rsidR="00472FED">
        <w:rPr>
          <w:rFonts w:ascii="Calibri" w:eastAsia="Calibri" w:hAnsi="Calibri" w:cs="Times New Roman"/>
          <w:color w:val="FF0000"/>
          <w:szCs w:val="21"/>
        </w:rPr>
        <w:t xml:space="preserve">, and </w:t>
      </w:r>
      <w:r>
        <w:rPr>
          <w:rFonts w:ascii="Calibri" w:eastAsia="Calibri" w:hAnsi="Calibri" w:cs="Times New Roman"/>
          <w:color w:val="FF0000"/>
          <w:szCs w:val="21"/>
        </w:rPr>
        <w:t xml:space="preserve">allows the surfaces to be optimized in isolation.  While it is true that the wavelength dependence of PV cell EQE </w:t>
      </w:r>
      <w:r w:rsidR="00E411A4">
        <w:rPr>
          <w:rFonts w:ascii="Calibri" w:eastAsia="Calibri" w:hAnsi="Calibri" w:cs="Times New Roman"/>
          <w:color w:val="FF0000"/>
          <w:szCs w:val="21"/>
        </w:rPr>
        <w:t xml:space="preserve">can have an effect on the optimum bandgap, this effect is small and does not significantly change the results of this equation.  The fill factor and </w:t>
      </w:r>
      <w:proofErr w:type="spellStart"/>
      <w:r w:rsidR="00E411A4">
        <w:rPr>
          <w:rFonts w:ascii="Calibri" w:eastAsia="Calibri" w:hAnsi="Calibri" w:cs="Times New Roman"/>
          <w:color w:val="FF0000"/>
          <w:szCs w:val="21"/>
        </w:rPr>
        <w:t>Voc</w:t>
      </w:r>
      <w:proofErr w:type="spellEnd"/>
      <w:r w:rsidR="00E411A4">
        <w:rPr>
          <w:rFonts w:ascii="Calibri" w:eastAsia="Calibri" w:hAnsi="Calibri" w:cs="Times New Roman"/>
          <w:color w:val="FF0000"/>
          <w:szCs w:val="21"/>
        </w:rPr>
        <w:t xml:space="preserve"> of the cell will certainly lower device efficiency, but do not </w:t>
      </w:r>
      <w:proofErr w:type="spellStart"/>
      <w:r w:rsidR="00E411A4">
        <w:rPr>
          <w:rFonts w:ascii="Calibri" w:eastAsia="Calibri" w:hAnsi="Calibri" w:cs="Times New Roman"/>
          <w:color w:val="FF0000"/>
          <w:szCs w:val="21"/>
        </w:rPr>
        <w:t>effect</w:t>
      </w:r>
      <w:proofErr w:type="spellEnd"/>
      <w:r w:rsidR="00E411A4">
        <w:rPr>
          <w:rFonts w:ascii="Calibri" w:eastAsia="Calibri" w:hAnsi="Calibri" w:cs="Times New Roman"/>
          <w:color w:val="FF0000"/>
          <w:szCs w:val="21"/>
        </w:rPr>
        <w:t xml:space="preserve"> the relative comparison between various absorbing and emitting surfaces that this equation is meant to show.</w:t>
      </w: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7C8B002C" w14:textId="2FF535A0" w:rsidR="00A94FF1" w:rsidRDefault="005B7DEE" w:rsidP="000A5803">
      <w:pPr>
        <w:spacing w:after="0" w:line="240" w:lineRule="auto"/>
        <w:rPr>
          <w:rFonts w:ascii="Calibri" w:eastAsia="Calibri" w:hAnsi="Calibri" w:cs="Times New Roman"/>
          <w:color w:val="FF0000"/>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 xml:space="preserve">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the direct solar illumination of solar cell is always much more effective than via an absorber of any kind whatsoever constructed.</w:t>
      </w:r>
      <w:r w:rsidR="00F20B8E">
        <w:rPr>
          <w:rFonts w:ascii="Calibri" w:eastAsia="Calibri" w:hAnsi="Calibri" w:cs="Times New Roman"/>
          <w:szCs w:val="21"/>
        </w:rPr>
        <w:t xml:space="preserve">  </w:t>
      </w:r>
      <w:r w:rsidR="000A5803" w:rsidRPr="000F200E">
        <w:rPr>
          <w:rFonts w:ascii="Calibri" w:eastAsia="Calibri" w:hAnsi="Calibri" w:cs="Times New Roman"/>
          <w:color w:val="FF0000"/>
          <w:szCs w:val="21"/>
        </w:rPr>
        <w:t>In the case of STPV systems, the emitting surface</w:t>
      </w:r>
    </w:p>
    <w:p w14:paraId="6D17102B" w14:textId="77777777" w:rsidR="00F20B8E" w:rsidRPr="00F20B8E" w:rsidRDefault="00F20B8E" w:rsidP="000A5803">
      <w:pPr>
        <w:spacing w:after="0" w:line="240" w:lineRule="auto"/>
        <w:rPr>
          <w:rFonts w:ascii="Calibri" w:eastAsia="Calibri" w:hAnsi="Calibri" w:cs="Times New Roman"/>
          <w:szCs w:val="21"/>
        </w:rPr>
      </w:pPr>
    </w:p>
    <w:p w14:paraId="5853554D" w14:textId="1B532358" w:rsidR="000A5803" w:rsidRPr="00740152" w:rsidRDefault="00740152" w:rsidP="000A5803">
      <w:pPr>
        <w:spacing w:after="0" w:line="240" w:lineRule="auto"/>
        <w:rPr>
          <w:rFonts w:ascii="Calibri" w:eastAsia="Calibri" w:hAnsi="Calibri" w:cs="Times New Roman"/>
          <w:color w:val="FF0000"/>
          <w:szCs w:val="21"/>
        </w:rPr>
      </w:pPr>
      <w:r w:rsidRPr="00740152">
        <w:rPr>
          <w:rFonts w:ascii="Calibri" w:eastAsia="Calibri" w:hAnsi="Calibri" w:cs="Times New Roman"/>
          <w:color w:val="FF0000"/>
          <w:szCs w:val="21"/>
        </w:rPr>
        <w:t>While it is true that the maximum thermal emission per unit area of the STPV emitter will be lower than that of the sun (because it is a blackbody at a lower temperature), the area of the emitter will be much higher than the absorber in a high-efficiency STPV system.</w:t>
      </w:r>
      <w:r w:rsidR="0070018A">
        <w:rPr>
          <w:rFonts w:ascii="Calibri" w:eastAsia="Calibri" w:hAnsi="Calibri" w:cs="Times New Roman"/>
          <w:color w:val="FF0000"/>
          <w:szCs w:val="21"/>
        </w:rPr>
        <w:t xml:space="preserve">  This will allow the STPV system to output more energy in total than the sun at a specific wavelength.  To accomplish this, good control of </w:t>
      </w:r>
      <w:r w:rsidR="0070018A">
        <w:rPr>
          <w:rFonts w:ascii="Calibri" w:eastAsia="Calibri" w:hAnsi="Calibri" w:cs="Times New Roman"/>
          <w:color w:val="FF0000"/>
          <w:szCs w:val="21"/>
        </w:rPr>
        <w:lastRenderedPageBreak/>
        <w:t>absorbing and emitting surfaces is required.</w:t>
      </w:r>
      <w:r w:rsidR="000D3940">
        <w:rPr>
          <w:rFonts w:ascii="Calibri" w:eastAsia="Calibri" w:hAnsi="Calibri" w:cs="Times New Roman"/>
          <w:color w:val="FF0000"/>
          <w:szCs w:val="21"/>
        </w:rPr>
        <w:t xml:space="preserve">  Additionally, because the output spectrum of the STPV system is well-matched to the PV cell, and thermalization losses are greatly reduced, there will be much less thermal energy absorbed by the PV cell.  This results in a lower PV cell operating temperature and a reduced requirement for cell cooling.</w:t>
      </w:r>
    </w:p>
    <w:p w14:paraId="7AD0E582" w14:textId="77777777" w:rsidR="00740152" w:rsidRDefault="00740152" w:rsidP="000A5803">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1057736D" w14:textId="489CA301" w:rsidR="0081683B"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The authors claim (page 4, line48) Carnot limits efficiency of solar thermal (ST) and solar </w:t>
      </w:r>
      <w:proofErr w:type="gramStart"/>
      <w:r w:rsidRPr="00660FD8">
        <w:rPr>
          <w:rFonts w:ascii="Calibri" w:eastAsia="Calibri" w:hAnsi="Calibri" w:cs="Times New Roman"/>
          <w:szCs w:val="21"/>
        </w:rPr>
        <w:t>thermophotovoltaics  (</w:t>
      </w:r>
      <w:proofErr w:type="gramEnd"/>
      <w:r w:rsidRPr="00660FD8">
        <w:rPr>
          <w:rFonts w:ascii="Calibri" w:eastAsia="Calibri" w:hAnsi="Calibri" w:cs="Times New Roman"/>
          <w:szCs w:val="21"/>
        </w:rPr>
        <w:t xml:space="preserve">STPV) systems and reference a maximum efficiency of 85,4% at an operating 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w:t>
      </w:r>
      <w:proofErr w:type="gramStart"/>
      <w:r w:rsidRPr="00660FD8">
        <w:rPr>
          <w:rFonts w:ascii="Calibri" w:eastAsia="Calibri" w:hAnsi="Calibri" w:cs="Times New Roman"/>
          <w:szCs w:val="21"/>
        </w:rPr>
        <w:t>So</w:t>
      </w:r>
      <w:proofErr w:type="gramEnd"/>
      <w:r w:rsidRPr="00660FD8">
        <w:rPr>
          <w:rFonts w:ascii="Calibri" w:eastAsia="Calibri" w:hAnsi="Calibri" w:cs="Times New Roman"/>
          <w:szCs w:val="21"/>
        </w:rPr>
        <w:t xml:space="preserve"> I firmly recommend a clear description which solar thermal systems author claim and which not. </w:t>
      </w:r>
      <w:r w:rsidR="000D3940">
        <w:rPr>
          <w:rFonts w:ascii="Calibri" w:eastAsia="Calibri" w:hAnsi="Calibri" w:cs="Times New Roman"/>
          <w:szCs w:val="21"/>
        </w:rPr>
        <w:t xml:space="preserve">  </w:t>
      </w:r>
      <w:r w:rsidR="000D3940" w:rsidRPr="000D3940">
        <w:rPr>
          <w:rFonts w:ascii="Calibri" w:eastAsia="Calibri" w:hAnsi="Calibri" w:cs="Times New Roman"/>
          <w:color w:val="FF0000"/>
          <w:szCs w:val="21"/>
        </w:rPr>
        <w:t xml:space="preserve">Solar thermal (ST) systems </w:t>
      </w:r>
      <w:r w:rsidR="000D3940">
        <w:rPr>
          <w:rFonts w:ascii="Calibri" w:eastAsia="Calibri" w:hAnsi="Calibri" w:cs="Times New Roman"/>
          <w:color w:val="FF0000"/>
          <w:szCs w:val="21"/>
        </w:rPr>
        <w:t>are solar powered devices that</w:t>
      </w:r>
    </w:p>
    <w:p w14:paraId="3C263A33" w14:textId="21939264" w:rsidR="000D3940" w:rsidRDefault="000D3940" w:rsidP="00660FD8">
      <w:pPr>
        <w:spacing w:after="0" w:line="240" w:lineRule="auto"/>
        <w:rPr>
          <w:rFonts w:ascii="Calibri" w:eastAsia="Calibri" w:hAnsi="Calibri" w:cs="Times New Roman"/>
          <w:color w:val="FF0000"/>
          <w:szCs w:val="21"/>
        </w:rPr>
      </w:pPr>
    </w:p>
    <w:p w14:paraId="3563D454" w14:textId="2FD74195" w:rsidR="000D3940" w:rsidRPr="009971A9" w:rsidRDefault="009971A9" w:rsidP="00660FD8">
      <w:pPr>
        <w:spacing w:after="0" w:line="240" w:lineRule="auto"/>
        <w:rPr>
          <w:rFonts w:ascii="Calibri" w:eastAsia="Calibri" w:hAnsi="Calibri" w:cs="Times New Roman"/>
          <w:color w:val="FF0000"/>
          <w:szCs w:val="21"/>
        </w:rPr>
      </w:pPr>
      <w:r w:rsidRPr="009971A9">
        <w:rPr>
          <w:rFonts w:ascii="Calibri" w:eastAsia="Calibri" w:hAnsi="Calibri" w:cs="Times New Roman"/>
          <w:color w:val="FF0000"/>
          <w:szCs w:val="21"/>
        </w:rPr>
        <w:t xml:space="preserve">These </w:t>
      </w:r>
      <w:r>
        <w:rPr>
          <w:rFonts w:ascii="Calibri" w:eastAsia="Calibri" w:hAnsi="Calibri" w:cs="Times New Roman"/>
          <w:color w:val="FF0000"/>
          <w:szCs w:val="21"/>
        </w:rPr>
        <w:t>ST systems on the market do have very impressive properties; however, they operate at relatively low temperatures.  This limits the overall system efficiency by keeping the Carnot efficiency low.  Increasing operating temperatures can allevia</w:t>
      </w:r>
      <w:r w:rsidR="003E0A7C">
        <w:rPr>
          <w:rFonts w:ascii="Calibri" w:eastAsia="Calibri" w:hAnsi="Calibri" w:cs="Times New Roman"/>
          <w:color w:val="FF0000"/>
          <w:szCs w:val="21"/>
        </w:rPr>
        <w:t>te this problem,</w:t>
      </w:r>
      <w:r>
        <w:rPr>
          <w:rFonts w:ascii="Calibri" w:eastAsia="Calibri" w:hAnsi="Calibri" w:cs="Times New Roman"/>
          <w:color w:val="FF0000"/>
          <w:szCs w:val="21"/>
        </w:rPr>
        <w:t xml:space="preserve"> but </w:t>
      </w:r>
      <w:r w:rsidR="003E0A7C">
        <w:rPr>
          <w:rFonts w:ascii="Calibri" w:eastAsia="Calibri" w:hAnsi="Calibri" w:cs="Times New Roman"/>
          <w:color w:val="FF0000"/>
          <w:szCs w:val="21"/>
        </w:rPr>
        <w:t>current ST technology with have very high thermal emission and low stability at increased temperatures.</w:t>
      </w:r>
    </w:p>
    <w:p w14:paraId="05F3C3B7" w14:textId="77777777" w:rsidR="00A94FF1" w:rsidRPr="00660FD8" w:rsidRDefault="00A94FF1" w:rsidP="00660FD8">
      <w:pPr>
        <w:spacing w:after="0" w:line="240" w:lineRule="auto"/>
        <w:rPr>
          <w:rFonts w:ascii="Calibri" w:eastAsia="Calibri" w:hAnsi="Calibri" w:cs="Times New Roman"/>
          <w:szCs w:val="21"/>
        </w:rPr>
      </w:pPr>
    </w:p>
    <w:p w14:paraId="73A7EFE9" w14:textId="04157644" w:rsidR="00660FD8" w:rsidRPr="00D57D27" w:rsidRDefault="000A53D3" w:rsidP="00660FD8">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(7) </w:t>
      </w:r>
      <w:r w:rsidRPr="000A53D3">
        <w:rPr>
          <w:rFonts w:ascii="Calibri" w:eastAsia="Calibri" w:hAnsi="Calibri" w:cs="Times New Roman"/>
          <w:szCs w:val="21"/>
          <w:u w:val="single"/>
        </w:rPr>
        <w:t xml:space="preserve">Comment #7: </w:t>
      </w:r>
      <w:proofErr w:type="gramStart"/>
      <w:r w:rsidR="00660FD8" w:rsidRPr="00660FD8">
        <w:rPr>
          <w:rFonts w:ascii="Calibri" w:eastAsia="Calibri" w:hAnsi="Calibri" w:cs="Times New Roman"/>
          <w:szCs w:val="21"/>
        </w:rPr>
        <w:t>Furthermore</w:t>
      </w:r>
      <w:proofErr w:type="gramEnd"/>
      <w:r w:rsidR="00660FD8" w:rsidRPr="00660FD8">
        <w:rPr>
          <w:rFonts w:ascii="Calibri" w:eastAsia="Calibri" w:hAnsi="Calibri" w:cs="Times New Roman"/>
          <w:szCs w:val="21"/>
        </w:rPr>
        <w:t xml:space="preserve"> the used term thermophotovoltaic, which is used in this manuscript for high temperature applications, should be clearly distinguished from systems well known as photovoltaic thermal hybrid collectors. These systems are already on the market. The actively cooled PV-modules use electrical and heat power. </w:t>
      </w:r>
      <w:proofErr w:type="spellStart"/>
      <w:r w:rsidR="00660FD8" w:rsidRPr="00660FD8">
        <w:rPr>
          <w:rFonts w:ascii="Calibri" w:eastAsia="Calibri" w:hAnsi="Calibri" w:cs="Times New Roman"/>
          <w:szCs w:val="21"/>
        </w:rPr>
        <w:t>Theses</w:t>
      </w:r>
      <w:proofErr w:type="spellEnd"/>
      <w:r w:rsidR="00660FD8" w:rsidRPr="00660FD8">
        <w:rPr>
          <w:rFonts w:ascii="Calibri" w:eastAsia="Calibri" w:hAnsi="Calibri" w:cs="Times New Roman"/>
          <w:szCs w:val="21"/>
        </w:rPr>
        <w:t xml:space="preserve"> systems should be mentioned in the introduction.</w:t>
      </w:r>
      <w:r w:rsidR="00D57D27">
        <w:rPr>
          <w:rFonts w:ascii="Calibri" w:eastAsia="Calibri" w:hAnsi="Calibri" w:cs="Times New Roman"/>
          <w:szCs w:val="21"/>
        </w:rPr>
        <w:t xml:space="preserve">  </w:t>
      </w:r>
      <w:r w:rsidR="00D57D27" w:rsidRPr="00D57D27">
        <w:rPr>
          <w:rFonts w:ascii="Calibri" w:eastAsia="Calibri" w:hAnsi="Calibri" w:cs="Times New Roman"/>
          <w:color w:val="FF0000"/>
          <w:szCs w:val="21"/>
        </w:rPr>
        <w:t>Recently, there has been strong research activity</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Default="00A47F19" w:rsidP="00660FD8">
      <w:pPr>
        <w:spacing w:after="0" w:line="240" w:lineRule="auto"/>
        <w:rPr>
          <w:rFonts w:ascii="Calibri" w:eastAsia="Calibri" w:hAnsi="Calibri" w:cs="Times New Roman"/>
          <w:szCs w:val="21"/>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about so-called large area fabrication. The mentioned techniques are extremely expensive related to the prepared area, not available for square meters and even less for production lines. To my opinion these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may have only academic interest or may applicable for small area applications if absorber costs are irrelevant in respect to other system costs. For </w:t>
      </w:r>
      <w:proofErr w:type="gramStart"/>
      <w:r w:rsidR="00660FD8" w:rsidRPr="00660FD8">
        <w:rPr>
          <w:rFonts w:ascii="Calibri" w:eastAsia="Calibri" w:hAnsi="Calibri" w:cs="Times New Roman"/>
          <w:szCs w:val="21"/>
        </w:rPr>
        <w:t>reliability</w:t>
      </w:r>
      <w:proofErr w:type="gramEnd"/>
      <w:r w:rsidR="00660FD8" w:rsidRPr="00660FD8">
        <w:rPr>
          <w:rFonts w:ascii="Calibri" w:eastAsia="Calibri" w:hAnsi="Calibri" w:cs="Times New Roman"/>
          <w:szCs w:val="21"/>
        </w:rPr>
        <w:t xml:space="preserve"> I suggest to communicate maximum area, expected specific costs or potential field of application for the presented techniques (interference lithography, laser writing, sintering and texturing.</w:t>
      </w:r>
    </w:p>
    <w:p w14:paraId="4330F09E"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proofErr w:type="spellStart"/>
      <w:r>
        <w:rPr>
          <w:rFonts w:ascii="Calibri" w:eastAsia="Calibri" w:hAnsi="Calibri" w:cs="Times New Roman"/>
          <w:color w:val="FF0000"/>
          <w:szCs w:val="21"/>
        </w:rPr>
        <w:t>Mool</w:t>
      </w:r>
      <w:proofErr w:type="spellEnd"/>
      <w:r>
        <w:rPr>
          <w:rFonts w:ascii="Calibri" w:eastAsia="Calibri" w:hAnsi="Calibri" w:cs="Times New Roman"/>
          <w:color w:val="FF0000"/>
          <w:szCs w:val="21"/>
        </w:rPr>
        <w:t xml:space="preserve"> will address this.</w:t>
      </w:r>
    </w:p>
    <w:p w14:paraId="478BA7A8" w14:textId="77777777" w:rsidR="0081683B" w:rsidRDefault="0081683B"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40844601" w14:textId="77777777" w:rsidR="00D53DBD" w:rsidRDefault="00DB6F12" w:rsidP="00D53DBD">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proofErr w:type="gramStart"/>
      <w:r w:rsidR="00660FD8" w:rsidRPr="00660FD8">
        <w:rPr>
          <w:rFonts w:ascii="Calibri" w:eastAsia="Calibri" w:hAnsi="Calibri" w:cs="Times New Roman"/>
          <w:szCs w:val="21"/>
        </w:rPr>
        <w:t>However</w:t>
      </w:r>
      <w:proofErr w:type="gramEnd"/>
      <w:r w:rsidR="00660FD8" w:rsidRPr="00660FD8">
        <w:rPr>
          <w:rFonts w:ascii="Calibri" w:eastAsia="Calibri" w:hAnsi="Calibri" w:cs="Times New Roman"/>
          <w:szCs w:val="21"/>
        </w:rPr>
        <w:t xml:space="preserve">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w:t>
      </w:r>
      <w:proofErr w:type="spellStart"/>
      <w:r w:rsidR="00660FD8" w:rsidRPr="00660FD8">
        <w:rPr>
          <w:rFonts w:ascii="Calibri" w:eastAsia="Calibri" w:hAnsi="Calibri" w:cs="Times New Roman"/>
          <w:szCs w:val="21"/>
        </w:rPr>
        <w:t>Acktar</w:t>
      </w:r>
      <w:proofErr w:type="spellEnd"/>
      <w:r w:rsidR="00660FD8" w:rsidRPr="00660FD8">
        <w:rPr>
          <w:rFonts w:ascii="Calibri" w:eastAsia="Calibri" w:hAnsi="Calibri" w:cs="Times New Roman"/>
          <w:szCs w:val="21"/>
        </w:rPr>
        <w:t xml:space="preserve">, which produce </w:t>
      </w:r>
      <w:r w:rsidR="00660FD8" w:rsidRPr="00660FD8">
        <w:rPr>
          <w:rFonts w:ascii="Calibri" w:eastAsia="Calibri" w:hAnsi="Calibri" w:cs="Times New Roman"/>
          <w:szCs w:val="21"/>
        </w:rPr>
        <w:lastRenderedPageBreak/>
        <w:t>absorbers with standard vacuum techniques.</w:t>
      </w:r>
      <w:r w:rsidR="00660FD8" w:rsidRPr="00AA7971">
        <w:rPr>
          <w:rFonts w:ascii="Calibri" w:eastAsia="Calibri" w:hAnsi="Calibri" w:cs="Times New Roman"/>
          <w:color w:val="FF0000"/>
          <w:szCs w:val="21"/>
        </w:rPr>
        <w:t xml:space="preserve"> </w:t>
      </w:r>
      <w:r w:rsidR="00660FD8" w:rsidRPr="00D53DBD">
        <w:rPr>
          <w:rFonts w:ascii="Calibri" w:eastAsia="Calibri" w:hAnsi="Calibri" w:cs="Times New Roman"/>
          <w:szCs w:val="21"/>
        </w:rPr>
        <w:t>The strong absorbance of the coating is based on a broad scaling range rough structure, similar to fractal structure.</w:t>
      </w:r>
      <w:r w:rsidR="00AA7971" w:rsidRPr="00D53DBD">
        <w:rPr>
          <w:rFonts w:ascii="Calibri" w:eastAsia="Calibri" w:hAnsi="Calibri" w:cs="Times New Roman"/>
          <w:szCs w:val="21"/>
        </w:rPr>
        <w:t xml:space="preserve">  Solar thermal (ST) systems are solar powered devices that </w:t>
      </w:r>
      <w:proofErr w:type="gramStart"/>
      <w:r w:rsidR="00AA7971" w:rsidRPr="00D53DBD">
        <w:rPr>
          <w:rFonts w:ascii="Calibri" w:eastAsia="Calibri" w:hAnsi="Calibri" w:cs="Times New Roman"/>
          <w:szCs w:val="21"/>
        </w:rPr>
        <w:t>generate</w:t>
      </w:r>
      <w:r w:rsidR="00D53DBD">
        <w:rPr>
          <w:rFonts w:ascii="Calibri" w:eastAsia="Calibri" w:hAnsi="Calibri" w:cs="Times New Roman"/>
          <w:szCs w:val="21"/>
        </w:rPr>
        <w:t xml:space="preserve">  </w:t>
      </w:r>
      <w:r w:rsidR="00D53DBD" w:rsidRPr="000D3940">
        <w:rPr>
          <w:rFonts w:ascii="Calibri" w:eastAsia="Calibri" w:hAnsi="Calibri" w:cs="Times New Roman"/>
          <w:color w:val="FF0000"/>
          <w:szCs w:val="21"/>
        </w:rPr>
        <w:t>Solar</w:t>
      </w:r>
      <w:proofErr w:type="gramEnd"/>
      <w:r w:rsidR="00D53DBD" w:rsidRPr="000D3940">
        <w:rPr>
          <w:rFonts w:ascii="Calibri" w:eastAsia="Calibri" w:hAnsi="Calibri" w:cs="Times New Roman"/>
          <w:color w:val="FF0000"/>
          <w:szCs w:val="21"/>
        </w:rPr>
        <w:t xml:space="preserve"> thermal (ST) systems </w:t>
      </w:r>
      <w:r w:rsidR="00D53DBD">
        <w:rPr>
          <w:rFonts w:ascii="Calibri" w:eastAsia="Calibri" w:hAnsi="Calibri" w:cs="Times New Roman"/>
          <w:color w:val="FF0000"/>
          <w:szCs w:val="21"/>
        </w:rPr>
        <w:t>are solar powered devices that</w:t>
      </w:r>
    </w:p>
    <w:p w14:paraId="2D7E7519" w14:textId="77777777" w:rsidR="00D53DBD" w:rsidRDefault="00D53DBD" w:rsidP="00D53DBD">
      <w:pPr>
        <w:spacing w:after="0" w:line="240" w:lineRule="auto"/>
        <w:rPr>
          <w:rFonts w:ascii="Calibri" w:eastAsia="Calibri" w:hAnsi="Calibri" w:cs="Times New Roman"/>
          <w:color w:val="FF0000"/>
          <w:szCs w:val="21"/>
        </w:rPr>
      </w:pPr>
    </w:p>
    <w:p w14:paraId="675F06AA" w14:textId="77777777" w:rsidR="00D53DBD" w:rsidRPr="009971A9" w:rsidRDefault="00D53DBD" w:rsidP="00D53DBD">
      <w:pPr>
        <w:spacing w:after="0" w:line="240" w:lineRule="auto"/>
        <w:rPr>
          <w:rFonts w:ascii="Calibri" w:eastAsia="Calibri" w:hAnsi="Calibri" w:cs="Times New Roman"/>
          <w:color w:val="FF0000"/>
          <w:szCs w:val="21"/>
        </w:rPr>
      </w:pPr>
      <w:r w:rsidRPr="009971A9">
        <w:rPr>
          <w:rFonts w:ascii="Calibri" w:eastAsia="Calibri" w:hAnsi="Calibri" w:cs="Times New Roman"/>
          <w:color w:val="FF0000"/>
          <w:szCs w:val="21"/>
        </w:rPr>
        <w:t xml:space="preserve">These </w:t>
      </w:r>
      <w:r>
        <w:rPr>
          <w:rFonts w:ascii="Calibri" w:eastAsia="Calibri" w:hAnsi="Calibri" w:cs="Times New Roman"/>
          <w:color w:val="FF0000"/>
          <w:szCs w:val="21"/>
        </w:rPr>
        <w:t>ST systems on the market do have very impressive properties; however, they operate at relatively low temperatures.  This limits the overall system efficiency by keeping the Carnot efficiency low.  Increasing operating temperatures can alleviate this problem, but current ST technology with have very high thermal emission and low stability at increased temperatures.</w:t>
      </w:r>
    </w:p>
    <w:p w14:paraId="56C64A0C" w14:textId="782F0FF6" w:rsidR="0081683B" w:rsidRPr="00852232" w:rsidRDefault="0081683B" w:rsidP="00D53DBD">
      <w:pPr>
        <w:spacing w:after="0" w:line="240" w:lineRule="auto"/>
        <w:rPr>
          <w:rFonts w:ascii="Calibri" w:eastAsia="Calibri" w:hAnsi="Calibri" w:cs="Times New Roman"/>
          <w:color w:val="FF0000"/>
          <w:szCs w:val="21"/>
        </w:rPr>
      </w:pPr>
      <w:bookmarkStart w:id="0" w:name="_GoBack"/>
      <w:bookmarkEnd w:id="0"/>
    </w:p>
    <w:p w14:paraId="1013A413" w14:textId="77777777" w:rsidR="00DB6F12" w:rsidRPr="00660FD8" w:rsidRDefault="00DB6F12" w:rsidP="00660FD8">
      <w:pPr>
        <w:spacing w:after="0" w:line="240" w:lineRule="auto"/>
        <w:rPr>
          <w:rFonts w:ascii="Calibri" w:eastAsia="Calibri" w:hAnsi="Calibri" w:cs="Times New Roman"/>
          <w:szCs w:val="21"/>
        </w:rPr>
      </w:pPr>
    </w:p>
    <w:p w14:paraId="5C8A2E17" w14:textId="7EDCEBAD"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 xml:space="preserve">Several times tungsten is referenced as absorber at high temperature (e.g. at 1700K, table 2, page 32). It was not mentioned that W and other metals with high melting points are very easily oxidized in air and their oxides evaporate even at low temperature.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all these concepts requires expensive vacuum systems.</w:t>
      </w:r>
      <w:r w:rsidR="00887051">
        <w:rPr>
          <w:rFonts w:ascii="Calibri" w:eastAsia="Calibri" w:hAnsi="Calibri" w:cs="Times New Roman"/>
          <w:szCs w:val="21"/>
        </w:rPr>
        <w:t xml:space="preserve"> </w:t>
      </w:r>
      <w:r w:rsidR="00887051" w:rsidRPr="00887051">
        <w:rPr>
          <w:rFonts w:ascii="Calibri" w:eastAsia="Calibri" w:hAnsi="Calibri" w:cs="Times New Roman"/>
          <w:color w:val="FF0000"/>
          <w:szCs w:val="21"/>
        </w:rPr>
        <w:t>Melting point depression and thermal mismatching between</w:t>
      </w:r>
    </w:p>
    <w:p w14:paraId="59E44806" w14:textId="77777777" w:rsidR="0081683B" w:rsidRPr="00660FD8" w:rsidRDefault="0081683B" w:rsidP="00660FD8">
      <w:pPr>
        <w:spacing w:after="0" w:line="240" w:lineRule="auto"/>
        <w:rPr>
          <w:rFonts w:ascii="Calibri" w:eastAsia="Calibri" w:hAnsi="Calibri" w:cs="Times New Roman"/>
          <w:szCs w:val="21"/>
        </w:rPr>
      </w:pP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09D95DFD" w14:textId="031B0699" w:rsidR="003C203A" w:rsidRPr="003C203A" w:rsidRDefault="003C203A">
      <w:pPr>
        <w:rPr>
          <w:color w:val="FF0000"/>
        </w:rPr>
      </w:pPr>
    </w:p>
    <w:sectPr w:rsidR="003C203A" w:rsidRPr="003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A53D3"/>
    <w:rsid w:val="000A5803"/>
    <w:rsid w:val="000D3940"/>
    <w:rsid w:val="000E1099"/>
    <w:rsid w:val="000F200E"/>
    <w:rsid w:val="001B59B7"/>
    <w:rsid w:val="002016F0"/>
    <w:rsid w:val="00221661"/>
    <w:rsid w:val="00232A47"/>
    <w:rsid w:val="00271774"/>
    <w:rsid w:val="00335C45"/>
    <w:rsid w:val="003C203A"/>
    <w:rsid w:val="003E0A7C"/>
    <w:rsid w:val="00472FED"/>
    <w:rsid w:val="005B7DEE"/>
    <w:rsid w:val="005D0AC3"/>
    <w:rsid w:val="0065735E"/>
    <w:rsid w:val="00660FD8"/>
    <w:rsid w:val="0070018A"/>
    <w:rsid w:val="007245BA"/>
    <w:rsid w:val="00740152"/>
    <w:rsid w:val="00780879"/>
    <w:rsid w:val="007844B6"/>
    <w:rsid w:val="0079135C"/>
    <w:rsid w:val="0081683B"/>
    <w:rsid w:val="00852232"/>
    <w:rsid w:val="0088480B"/>
    <w:rsid w:val="0088517B"/>
    <w:rsid w:val="00887051"/>
    <w:rsid w:val="00907406"/>
    <w:rsid w:val="00926BD3"/>
    <w:rsid w:val="00944654"/>
    <w:rsid w:val="00996EFC"/>
    <w:rsid w:val="009971A9"/>
    <w:rsid w:val="009C3345"/>
    <w:rsid w:val="009D400D"/>
    <w:rsid w:val="00A4336F"/>
    <w:rsid w:val="00A47F19"/>
    <w:rsid w:val="00A94FF1"/>
    <w:rsid w:val="00AA44E6"/>
    <w:rsid w:val="00AA7971"/>
    <w:rsid w:val="00AF1570"/>
    <w:rsid w:val="00C000E4"/>
    <w:rsid w:val="00C771A8"/>
    <w:rsid w:val="00D00AF6"/>
    <w:rsid w:val="00D36A16"/>
    <w:rsid w:val="00D53DBD"/>
    <w:rsid w:val="00D57D27"/>
    <w:rsid w:val="00D61685"/>
    <w:rsid w:val="00D67467"/>
    <w:rsid w:val="00DB6F12"/>
    <w:rsid w:val="00E411A4"/>
    <w:rsid w:val="00F20B8E"/>
    <w:rsid w:val="00F34E59"/>
    <w:rsid w:val="00F9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Jim</cp:lastModifiedBy>
  <cp:revision>24</cp:revision>
  <dcterms:created xsi:type="dcterms:W3CDTF">2017-08-24T13:48:00Z</dcterms:created>
  <dcterms:modified xsi:type="dcterms:W3CDTF">2017-08-30T00:18:00Z</dcterms:modified>
</cp:coreProperties>
</file>