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563EB" w:sz="48" w:space="0"/>
        </w:pBdr>
        <w:spacing w:before="0" w:after="0"/>
      </w:pPr>
      <w:r>
        <w:t xml:space="preserve"/>
      </w:r>
    </w:p>
    <w:p>
      <w:pPr>
        <w:spacing w:before="960"/>
      </w:pPr>
      <w:r>
        <w:t xml:space="preserve"/>
      </w:r>
    </w:p>
    <w:p>
      <w:pPr>
        <w:spacing w:before="0" w:after="120"/>
        <w:jc w:val="center"/>
      </w:pPr>
      <w:r>
        <w:rPr>
          <w:rFonts w:ascii="Arial" w:cs="Arial" w:eastAsia="Arial" w:hAnsi="Arial"/>
          <w:b/>
          <w:bCs/>
          <w:caps/>
          <w:color w:val="2563EB"/>
          <w:sz w:val="18"/>
          <w:szCs w:val="18"/>
        </w:rPr>
        <w:t xml:space="preserve">SCF #41: PANEL REVIEW  ·  LAYER 1 METRIC GATE</w:t>
      </w:r>
    </w:p>
    <w:p>
      <w:pPr>
        <w:spacing w:before="120" w:after="60"/>
        <w:jc w:val="center"/>
      </w:pPr>
      <w:r>
        <w:rPr>
          <w:rFonts w:ascii="Arial" w:cs="Arial" w:eastAsia="Arial" w:hAnsi="Arial"/>
          <w:b/>
          <w:bCs/>
          <w:color w:val="1B3A5C"/>
          <w:sz w:val="72"/>
          <w:szCs w:val="72"/>
        </w:rPr>
        <w:t xml:space="preserve">PG Atlas</w:t>
      </w:r>
    </w:p>
    <w:p>
      <w:pPr>
        <w:spacing w:before="0" w:after="120"/>
        <w:jc w:val="center"/>
      </w:pPr>
      <w:r>
        <w:rPr>
          <w:rFonts w:ascii="Arial" w:cs="Arial" w:eastAsia="Arial" w:hAnsi="Arial"/>
          <w:b w:val="false"/>
          <w:bCs w:val="false"/>
          <w:color w:val="2563EB"/>
          <w:sz w:val="52"/>
          <w:szCs w:val="52"/>
        </w:rPr>
        <w:t xml:space="preserve">Graph Intelligence Prototype</w:t>
      </w:r>
    </w:p>
    <w:p>
      <w:pPr>
        <w:pBdr>
          <w:bottom w:val="single" w:color="CBD5E1" w:sz="4" w:space="1"/>
        </w:pBdr>
        <w:spacing w:before="120" w:after="120"/>
      </w:pPr>
      <w:r>
        <w:t xml:space="preserve"/>
      </w:r>
    </w:p>
    <w:p>
      <w:pPr>
        <w:spacing w:before="240"/>
      </w:pPr>
      <w:r>
        <w:t xml:space="preserve"/>
      </w:r>
    </w:p>
    <w:p>
      <w:pPr>
        <w:spacing w:before="0" w:after="480"/>
        <w:jc w:val="center"/>
      </w:pPr>
      <w:r>
        <w:rPr>
          <w:rFonts w:ascii="Arial" w:cs="Arial" w:eastAsia="Arial" w:hAnsi="Arial"/>
          <w:i/>
          <w:iCs/>
          <w:color w:val="475569"/>
          <w:sz w:val="26"/>
          <w:szCs w:val="26"/>
        </w:rPr>
        <w:t xml:space="preserve">Algorithmic Validation Report: Deliverables A6, A9, A10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5C"/>
                <w:sz w:val="20"/>
                <w:szCs w:val="20"/>
              </w:rPr>
              <w:t xml:space="preserve">Author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Jay Gutierrez, PhD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5C"/>
                <w:sz w:val="20"/>
                <w:szCs w:val="20"/>
              </w:rPr>
              <w:t xml:space="preserve">Role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Graph Analytics and Network Science Lead (D6)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5C"/>
                <w:sz w:val="20"/>
                <w:szCs w:val="20"/>
              </w:rPr>
              <w:t xml:space="preserve">Scope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Layer 1 Metric Gate: Objective Filter Formulation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February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5C"/>
                <w:sz w:val="20"/>
                <w:szCs w:val="20"/>
              </w:rPr>
              <w:t xml:space="preserve">Status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Prototype complete; pending A2 schema from Alex Olieman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5C"/>
                <w:sz w:val="20"/>
                <w:szCs w:val="20"/>
              </w:rPr>
              <w:t xml:space="preserve">Proposal</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Building the Backbone: SCF Public Goods Maintenance ($150K)</w:t>
            </w:r>
          </w:p>
        </w:tc>
      </w:tr>
    </w:tbl>
    <w:p>
      <w:pPr>
        <w:spacing w:before="480"/>
      </w:pPr>
      <w:r>
        <w:t xml:space="preserve"/>
      </w:r>
    </w:p>
    <w:p>
      <w:pPr>
        <w:spacing w:before="0" w:after="0"/>
        <w:jc w:val="center"/>
      </w:pPr>
      <w:r>
        <w:rPr>
          <w:rFonts w:ascii="Arial" w:cs="Arial" w:eastAsia="Arial" w:hAnsi="Arial"/>
          <w:color w:val="475569"/>
          <w:sz w:val="18"/>
          <w:szCs w:val="18"/>
        </w:rPr>
        <w:t xml:space="preserve">Stellar Community Fund · github.com/SCF-Public-Goods-Maintenance</w:t>
      </w:r>
    </w:p>
    <w:p>
      <w:pPr>
        <w:spacing w:before="1200"/>
      </w:pPr>
      <w:r>
        <w:t xml:space="preserve"/>
      </w:r>
    </w:p>
    <w:p>
      <w:pPr>
        <w:pBdr>
          <w:bottom w:val="single" w:color="2563EB" w:sz="24" w:space="0"/>
        </w:pBdr>
        <w:spacing w:before="0" w:after="0"/>
      </w:pPr>
      <w:r>
        <w:t xml:space="preserve"/>
      </w:r>
    </w:p>
    <w:p>
      <w:r>
        <w:br w:type="page"/>
      </w:r>
    </w:p>
    <w:p>
      <w:pPr>
        <w:sectPr>
          <w:pgSz w:w="12240" w:h="15840" w:orient="portrait"/>
          <w:pgMar w:top="1440" w:right="1440" w:bottom="1440" w:left="1440" w:header="708" w:footer="708" w:gutter="0"/>
          <w:pgNumType/>
          <w:docGrid w:linePitch="360"/>
        </w:sectPr>
      </w:pPr>
    </w:p>
    <w:p>
      <w:pPr>
        <w:spacing w:before="0" w:after="120"/>
      </w:pPr>
      <w:r>
        <w:rPr>
          <w:rFonts w:ascii="Arial" w:cs="Arial" w:eastAsia="Arial" w:hAnsi="Arial"/>
          <w:b/>
          <w:bCs/>
          <w:caps/>
          <w:color w:val="2563EB"/>
          <w:sz w:val="20"/>
          <w:szCs w:val="20"/>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BD5E1" w:sz="1"/>
              <w:right w:val="single" w:color="CBD5E1" w:sz="1"/>
            </w:tcBorders>
            <w:shd w:fill="EFF6FF" w:val="clear"/>
            <w:tcMar>
              <w:top w:type="dxa" w:w="160"/>
              <w:left w:type="dxa" w:w="200"/>
              <w:bottom w:type="dxa" w:w="160"/>
              <w:right w:type="dxa" w:w="200"/>
            </w:tcMar>
          </w:tcPr>
          <w:p>
            <w:pPr>
              <w:spacing w:before="0" w:after="100" w:line="280"/>
            </w:pPr>
            <w:r>
              <w:rPr>
                <w:rFonts w:ascii="Arial" w:cs="Arial" w:eastAsia="Arial" w:hAnsi="Arial"/>
                <w:color w:val="1E293B"/>
                <w:sz w:val="22"/>
                <w:szCs w:val="22"/>
              </w:rPr>
              <w:t xml:space="preserve">This report covers the algorithmic validation work for the PG Atlas graph intelligence layer (deliverables A6, A9, and A10). The build_notebook.py prototype shows that we can translate raw software dependency data into the objective metrics the Layer 1 Metric Gate needs for SCF funding decisions.</w:t>
            </w:r>
          </w:p>
          <w:p>
            <w:pPr>
              <w:spacing w:before="0" w:after="0" w:line="280"/>
            </w:pPr>
            <w:r>
              <w:rPr>
                <w:rFonts w:ascii="Arial" w:cs="Arial" w:eastAsia="Arial" w:hAnsi="Arial"/>
                <w:color w:val="1E293B"/>
                <w:sz w:val="22"/>
                <w:szCs w:val="22"/>
              </w:rPr>
              <w:t xml:space="preserve">The test network has over 2,200 nodes, seeded from the 86 real-world PG candidates extracted from the SCF Airtable registry. All three algorithms (Active Subgraph Projection, Criticality Scoring, and Adoption Signal Aggregation) run correctly on this topology and will plug directly into production without changes.</w:t>
            </w:r>
          </w:p>
        </w:tc>
      </w:tr>
    </w:tbl>
    <w:p>
      <w:pPr>
        <w:spacing w:before="240"/>
      </w:pPr>
      <w:r>
        <w:t xml:space="preserve"/>
      </w:r>
    </w:p>
    <w:p>
      <w:pPr>
        <w:pBdr>
          <w:bottom w:val="single" w:color="CBD5E1" w:sz="4" w:space="1"/>
        </w:pBdr>
        <w:spacing w:before="120" w:after="120"/>
      </w:pPr>
      <w:r>
        <w:t xml:space="preserve"/>
      </w:r>
    </w:p>
    <w:p>
      <w:pPr>
        <w:pStyle w:val="Heading1"/>
        <w:spacing w:before="360" w:after="120"/>
      </w:pPr>
      <w:r>
        <w:rPr>
          <w:rFonts w:ascii="Arial" w:cs="Arial" w:eastAsia="Arial" w:hAnsi="Arial"/>
          <w:b/>
          <w:bCs/>
          <w:color w:val="1B3A5C"/>
          <w:sz w:val="32"/>
          <w:szCs w:val="32"/>
        </w:rPr>
        <w:t xml:space="preserve">1.  Algorithmic Implementation</w:t>
      </w:r>
    </w:p>
    <w:p>
      <w:pPr>
        <w:spacing w:before="80" w:after="120" w:line="276"/>
      </w:pPr>
      <w:r>
        <w:rPr>
          <w:rFonts w:ascii="Arial" w:cs="Arial" w:eastAsia="Arial" w:hAnsi="Arial"/>
          <w:color w:val="1E293B"/>
          <w:sz w:val="22"/>
          <w:szCs w:val="22"/>
        </w:rPr>
        <w:t xml:space="preserve">The prototype implements the Tier 1 and Tier 2 metrics from the project architecture. We generated a synthetic dataset modeled on empirical software ecosystem distributions to test each algorithm before production data is available.</w:t>
      </w:r>
    </w:p>
    <w:p>
      <w:pPr>
        <w:spacing w:before="80"/>
      </w:pPr>
      <w:r>
        <w:t xml:space="preserve"/>
      </w:r>
    </w:p>
    <w:p>
      <w:pPr>
        <w:pStyle w:val="Heading2"/>
        <w:spacing w:before="280" w:after="80"/>
      </w:pPr>
      <w:r>
        <w:rPr>
          <w:rFonts w:ascii="Arial" w:cs="Arial" w:eastAsia="Arial" w:hAnsi="Arial"/>
          <w:b/>
          <w:bCs/>
          <w:color w:val="2563EB"/>
          <w:sz w:val="26"/>
          <w:szCs w:val="26"/>
        </w:rPr>
        <w:t xml:space="preserve">1.1  Seeding from Airtable Data</w:t>
      </w:r>
    </w:p>
    <w:p>
      <w:pPr>
        <w:spacing w:before="80" w:after="120" w:line="276"/>
      </w:pPr>
      <w:r>
        <w:rPr>
          <w:rFonts w:ascii="Arial" w:cs="Arial" w:eastAsia="Arial" w:hAnsi="Arial"/>
          <w:color w:val="1E293B"/>
          <w:sz w:val="22"/>
          <w:szCs w:val="22"/>
        </w:rPr>
        <w:t xml:space="preserve">Before generating the network, we loaded the 86 PG candidates from the cleaned CSVs in 01_data/processed/. These come from the SCF Airtable base and give us a verified starting point grounded in real SCF funding data rather than purely synthetic parameters.</w:t>
      </w:r>
    </w:p>
    <w:p>
      <w:pPr>
        <w:spacing w:before="80" w:after="120" w:line="276"/>
      </w:pPr>
      <w:r>
        <w:rPr>
          <w:rFonts w:ascii="Arial" w:cs="Arial" w:eastAsia="Arial" w:hAnsi="Arial"/>
          <w:color w:val="1E293B"/>
          <w:sz w:val="22"/>
          <w:szCs w:val="22"/>
        </w:rPr>
        <w:t xml:space="preserve">By seeding the graph with actual funded projects, the density and connectivity of the test network stays closer to what the production system will see. This matters because criticality scores are sensitive to graph structure; a fully synthetic topology would not surface the edge cases that real Stellar projects introduce.</w:t>
      </w:r>
    </w:p>
    <w:p>
      <w:pPr>
        <w:spacing w:before="80" w:after="120" w:line="276"/>
      </w:pPr>
      <w:r>
        <w:rPr>
          <w:rFonts w:ascii="Arial" w:cs="Arial" w:eastAsia="Arial" w:hAnsi="Arial"/>
          <w:color w:val="1E293B"/>
          <w:sz w:val="22"/>
          <w:szCs w:val="22"/>
        </w:rPr>
        <w:t xml:space="preserve">The resulting network has over 2,200 nodes.</w:t>
      </w:r>
    </w:p>
    <w:p>
      <w:pPr>
        <w:spacing w:before="80"/>
      </w:pPr>
      <w:r>
        <w:t xml:space="preserve"/>
      </w:r>
    </w:p>
    <w:p>
      <w:pPr>
        <w:pStyle w:val="Heading2"/>
        <w:spacing w:before="280" w:after="80"/>
      </w:pPr>
      <w:r>
        <w:rPr>
          <w:rFonts w:ascii="Arial" w:cs="Arial" w:eastAsia="Arial" w:hAnsi="Arial"/>
          <w:b/>
          <w:bCs/>
          <w:color w:val="2563EB"/>
          <w:sz w:val="26"/>
          <w:szCs w:val="26"/>
        </w:rPr>
        <w:t xml:space="preserve">1.2  Topological Metrics (D6 Lead)</w:t>
      </w:r>
    </w:p>
    <w:p>
      <w:pPr>
        <w:spacing w:before="80" w:after="120" w:line="276"/>
      </w:pPr>
      <w:r>
        <w:rPr>
          <w:rFonts w:ascii="Arial" w:cs="Arial" w:eastAsia="Arial" w:hAnsi="Arial"/>
          <w:color w:val="1E293B"/>
          <w:sz w:val="22"/>
          <w:szCs w:val="22"/>
        </w:rPr>
        <w:t xml:space="preserve">Four metric families are implemented and validated in the prototype:</w:t>
      </w:r>
    </w:p>
    <w:p>
      <w:pPr>
        <w:spacing w:before="60"/>
      </w:pPr>
      <w:r>
        <w:t xml:space="preserve"/>
      </w:r>
    </w:p>
    <w:p>
      <w:pPr>
        <w:pStyle w:val="Heading3"/>
        <w:spacing w:before="200" w:after="60"/>
      </w:pPr>
      <w:r>
        <w:rPr>
          <w:rFonts w:ascii="Arial" w:cs="Arial" w:eastAsia="Arial" w:hAnsi="Arial"/>
          <w:b/>
          <w:bCs/>
          <w:color w:val="1B3A5C"/>
          <w:sz w:val="22"/>
          <w:szCs w:val="22"/>
        </w:rPr>
        <w:t xml:space="preserve">Active Subgraph Projection (A6)</w:t>
      </w:r>
    </w:p>
    <w:p>
      <w:pPr>
        <w:spacing w:before="80" w:after="120" w:line="276"/>
      </w:pPr>
      <w:r>
        <w:rPr>
          <w:rFonts w:ascii="Arial" w:cs="Arial" w:eastAsia="Arial" w:hAnsi="Arial"/>
          <w:color w:val="1E293B"/>
          <w:sz w:val="22"/>
          <w:szCs w:val="22"/>
        </w:rPr>
        <w:t xml:space="preserve">The pipeline drops dormant repositories and builds an induced subgraph from active components only. Filtering out historical archives before any metric runs matters because criticality and pony factor calculations would return misleading results if they included projects nobody actively depends on anymore. Only repos with recent commit activity are kept; edges in or out of dormant nodes are removed before scoring begins.</w:t>
      </w:r>
    </w:p>
    <w:p>
      <w:pPr>
        <w:spacing w:before="80"/>
      </w:pPr>
      <w:r>
        <w:t xml:space="preserve"/>
      </w:r>
    </w:p>
    <w:p>
      <w:pPr>
        <w:pStyle w:val="Heading3"/>
        <w:spacing w:before="200" w:after="60"/>
      </w:pPr>
      <w:r>
        <w:rPr>
          <w:rFonts w:ascii="Arial" w:cs="Arial" w:eastAsia="Arial" w:hAnsi="Arial"/>
          <w:b/>
          <w:bCs/>
          <w:color w:val="1B3A5C"/>
          <w:sz w:val="22"/>
          <w:szCs w:val="22"/>
        </w:rPr>
        <w:t xml:space="preserve">Criticality Score (A9)</w:t>
      </w:r>
    </w:p>
    <w:p>
      <w:pPr>
        <w:spacing w:before="80" w:after="120" w:line="276"/>
      </w:pPr>
      <w:r>
        <w:rPr>
          <w:rFonts w:ascii="Arial" w:cs="Arial" w:eastAsia="Arial" w:hAnsi="Arial"/>
          <w:color w:val="1E293B"/>
          <w:sz w:val="22"/>
          <w:szCs w:val="22"/>
        </w:rPr>
        <w:t xml:space="preserve">We compute criticality by reversing the dependency graph and running </w:t>
      </w:r>
      <w:r>
        <w:rPr>
          <w:rFonts w:ascii="Arial" w:cs="Arial" w:eastAsia="Arial" w:hAnsi="Arial"/>
          <w:b/>
          <w:bCs/>
          <w:color w:val="1E293B"/>
          <w:sz w:val="22"/>
          <w:szCs w:val="22"/>
        </w:rPr>
        <w:t xml:space="preserve">BFS</w:t>
      </w:r>
      <w:r>
        <w:rPr>
          <w:rFonts w:ascii="Arial" w:cs="Arial" w:eastAsia="Arial" w:hAnsi="Arial"/>
          <w:color w:val="1E293B"/>
          <w:sz w:val="22"/>
          <w:szCs w:val="22"/>
        </w:rPr>
        <w:t xml:space="preserve"> from each node to count how many active projects transitively depend on it. A score of 0 means a leaf with no downstream consumers; higher scores identify the keystone packages whose failure would ripple through the ecosystem. The reversed-graph approach is standard practice in dependency impact analysis and runs at O(V+E).</w:t>
      </w:r>
    </w:p>
    <w:p>
      <w:pPr>
        <w:spacing w:before="80"/>
      </w:pPr>
      <w:r>
        <w:t xml:space="preserve"/>
      </w:r>
    </w:p>
    <w:p>
      <w:pPr>
        <w:pStyle w:val="Heading3"/>
        <w:spacing w:before="200" w:after="60"/>
      </w:pPr>
      <w:r>
        <w:rPr>
          <w:rFonts w:ascii="Arial" w:cs="Arial" w:eastAsia="Arial" w:hAnsi="Arial"/>
          <w:b/>
          <w:bCs/>
          <w:color w:val="1B3A5C"/>
          <w:sz w:val="22"/>
          <w:szCs w:val="22"/>
        </w:rPr>
        <w:t xml:space="preserve">Pony Factor and Risk Concentration (A9)</w:t>
      </w:r>
    </w:p>
    <w:p>
      <w:pPr>
        <w:spacing w:before="80" w:after="120" w:line="276"/>
      </w:pPr>
      <w:r>
        <w:rPr>
          <w:rFonts w:ascii="Arial" w:cs="Arial" w:eastAsia="Arial" w:hAnsi="Arial"/>
          <w:color w:val="1E293B"/>
          <w:sz w:val="22"/>
          <w:szCs w:val="22"/>
        </w:rPr>
        <w:t xml:space="preserve">For maintenance risk, we adapted the </w:t>
      </w:r>
      <w:r>
        <w:rPr>
          <w:rFonts w:ascii="Arial" w:cs="Arial" w:eastAsia="Arial" w:hAnsi="Arial"/>
          <w:b/>
          <w:bCs/>
          <w:color w:val="1E293B"/>
          <w:sz w:val="22"/>
          <w:szCs w:val="22"/>
        </w:rPr>
        <w:t xml:space="preserve">Herfindahl-Hirschman Index (HHI)</w:t>
      </w:r>
      <w:r>
        <w:rPr>
          <w:rFonts w:ascii="Arial" w:cs="Arial" w:eastAsia="Arial" w:hAnsi="Arial"/>
          <w:color w:val="1E293B"/>
          <w:sz w:val="22"/>
          <w:szCs w:val="22"/>
        </w:rPr>
        <w:t xml:space="preserve"> from economics. Instead of measuring market concentration by revenue share, we apply it to commit share across contributors in the rolling 90-day window. We use DOJ/FTC antitrust thresholds directly, since they provide a well-established, publicly defensible set of cutoffs that non-technical SCF voters can understand and reference:</w:t>
      </w:r>
    </w:p>
    <w:p>
      <w:pPr>
        <w:spacing w:before="60"/>
      </w:pPr>
      <w:r>
        <w:t xml:space="preserve"/>
      </w:r>
    </w:p>
    <w:p>
      <w:pPr>
        <w:pStyle w:val="ListParagraph"/>
        <w:numPr>
          <w:ilvl w:val="0"/>
          <w:numId w:val="2"/>
        </w:numPr>
        <w:spacing w:before="60" w:after="60" w:line="276"/>
      </w:pPr>
      <w:r>
        <w:rPr>
          <w:rFonts w:ascii="Arial" w:cs="Arial" w:eastAsia="Arial" w:hAnsi="Arial"/>
          <w:color w:val="1E293B"/>
          <w:sz w:val="22"/>
          <w:szCs w:val="22"/>
        </w:rPr>
        <w:t xml:space="preserve">HHI below 1,500 (Healthy): maintenance is broadly distributed; low systemic risk</w:t>
      </w:r>
    </w:p>
    <w:p>
      <w:pPr>
        <w:pStyle w:val="ListParagraph"/>
        <w:numPr>
          <w:ilvl w:val="0"/>
          <w:numId w:val="2"/>
        </w:numPr>
        <w:spacing w:before="60" w:after="60" w:line="276"/>
      </w:pPr>
      <w:r>
        <w:rPr>
          <w:rFonts w:ascii="Arial" w:cs="Arial" w:eastAsia="Arial" w:hAnsi="Arial"/>
          <w:color w:val="1E293B"/>
          <w:sz w:val="22"/>
          <w:szCs w:val="22"/>
        </w:rPr>
        <w:t xml:space="preserve">HHI 1,500 to 2,500 (Moderate): meaningful concentration that warrants monitoring</w:t>
      </w:r>
    </w:p>
    <w:p>
      <w:pPr>
        <w:pStyle w:val="ListParagraph"/>
        <w:numPr>
          <w:ilvl w:val="0"/>
          <w:numId w:val="2"/>
        </w:numPr>
        <w:spacing w:before="60" w:after="60" w:line="276"/>
      </w:pPr>
      <w:r>
        <w:rPr>
          <w:rFonts w:ascii="Arial" w:cs="Arial" w:eastAsia="Arial" w:hAnsi="Arial"/>
          <w:color w:val="1E293B"/>
          <w:sz w:val="22"/>
          <w:szCs w:val="22"/>
        </w:rPr>
        <w:t xml:space="preserve">HHI 2,500 to 5,000 (Concentrated): one contributor dominates; elevated failure risk</w:t>
      </w:r>
    </w:p>
    <w:p>
      <w:pPr>
        <w:pStyle w:val="ListParagraph"/>
        <w:numPr>
          <w:ilvl w:val="0"/>
          <w:numId w:val="2"/>
        </w:numPr>
        <w:spacing w:before="60" w:after="60" w:line="276"/>
      </w:pPr>
      <w:r>
        <w:rPr>
          <w:rFonts w:ascii="Arial" w:cs="Arial" w:eastAsia="Arial" w:hAnsi="Arial"/>
          <w:color w:val="1E293B"/>
          <w:sz w:val="22"/>
          <w:szCs w:val="22"/>
        </w:rPr>
        <w:t xml:space="preserve">HHI above 5,000 (Critical): near-monopolistic maintenance; immediate PG funding priority</w:t>
      </w:r>
    </w:p>
    <w:p>
      <w:pPr>
        <w:spacing w:before="60"/>
      </w:pPr>
      <w:r>
        <w:t xml:space="preserve"/>
      </w:r>
    </w:p>
    <w:p>
      <w:pPr>
        <w:spacing w:before="80" w:after="120" w:line="276"/>
      </w:pPr>
      <w:r>
        <w:rPr>
          <w:rFonts w:ascii="Arial" w:cs="Arial" w:eastAsia="Arial" w:hAnsi="Arial"/>
          <w:color w:val="1E293B"/>
          <w:sz w:val="22"/>
          <w:szCs w:val="22"/>
        </w:rPr>
        <w:t xml:space="preserve">Using established economic thresholds gives us a classification that is both principled and legible to non-technical voters.</w:t>
      </w:r>
    </w:p>
    <w:p>
      <w:pPr>
        <w:spacing w:before="80"/>
      </w:pPr>
      <w:r>
        <w:t xml:space="preserve"/>
      </w:r>
    </w:p>
    <w:p>
      <w:pPr>
        <w:pStyle w:val="Heading3"/>
        <w:spacing w:before="200" w:after="60"/>
      </w:pPr>
      <w:r>
        <w:rPr>
          <w:rFonts w:ascii="Arial" w:cs="Arial" w:eastAsia="Arial" w:hAnsi="Arial"/>
          <w:b/>
          <w:bCs/>
          <w:color w:val="1B3A5C"/>
          <w:sz w:val="22"/>
          <w:szCs w:val="22"/>
        </w:rPr>
        <w:t xml:space="preserve">Adoption Signals (A10)</w:t>
      </w:r>
    </w:p>
    <w:p>
      <w:pPr>
        <w:spacing w:before="80" w:after="120" w:line="276"/>
      </w:pPr>
      <w:r>
        <w:rPr>
          <w:rFonts w:ascii="Arial" w:cs="Arial" w:eastAsia="Arial" w:hAnsi="Arial"/>
          <w:color w:val="1E293B"/>
          <w:sz w:val="22"/>
          <w:szCs w:val="22"/>
        </w:rPr>
        <w:t xml:space="preserve">Stars, forks, and download counts all follow heavy-tailed distributions in practice. Before computing percentile ranks, we apply a </w:t>
      </w:r>
      <w:r>
        <w:rPr>
          <w:rFonts w:ascii="Arial" w:cs="Arial" w:eastAsia="Arial" w:hAnsi="Arial"/>
          <w:b/>
          <w:bCs/>
          <w:color w:val="1E293B"/>
          <w:sz w:val="22"/>
          <w:szCs w:val="22"/>
        </w:rPr>
        <w:t xml:space="preserve">log10 transformation</w:t>
      </w:r>
      <w:r>
        <w:rPr>
          <w:rFonts w:ascii="Arial" w:cs="Arial" w:eastAsia="Arial" w:hAnsi="Arial"/>
          <w:color w:val="1E293B"/>
          <w:sz w:val="22"/>
          <w:szCs w:val="22"/>
        </w:rPr>
        <w:t xml:space="preserve"> to each raw signal. This prevents a handful of extreme outliers from compressing the rankings for everyone else. The final Adoption Score is a percentile rank within the PG universe, so projects of very different sizes remain directly comparable.</w:t>
      </w:r>
    </w:p>
    <w:p>
      <w:pPr>
        <w:spacing w:before="120"/>
      </w:pPr>
      <w:r>
        <w:t xml:space="preserve"/>
      </w:r>
    </w:p>
    <w:p>
      <w:pPr>
        <w:pBdr>
          <w:bottom w:val="single" w:color="CBD5E1" w:sz="4" w:space="1"/>
        </w:pBdr>
        <w:spacing w:before="120" w:after="120"/>
      </w:pPr>
      <w:r>
        <w:t xml:space="preserve"/>
      </w:r>
    </w:p>
    <w:p>
      <w:pPr>
        <w:pStyle w:val="Heading1"/>
        <w:spacing w:before="360" w:after="120"/>
      </w:pPr>
      <w:r>
        <w:rPr>
          <w:rFonts w:ascii="Arial" w:cs="Arial" w:eastAsia="Arial" w:hAnsi="Arial"/>
          <w:b/>
          <w:bCs/>
          <w:color w:val="1B3A5C"/>
          <w:sz w:val="32"/>
          <w:szCs w:val="32"/>
        </w:rPr>
        <w:t xml:space="preserve">2.  Visual Output Summary</w:t>
      </w:r>
    </w:p>
    <w:p>
      <w:pPr>
        <w:spacing w:before="80" w:after="120" w:line="276"/>
      </w:pPr>
      <w:r>
        <w:rPr>
          <w:rFonts w:ascii="Arial" w:cs="Arial" w:eastAsia="Arial" w:hAnsi="Arial"/>
          <w:color w:val="1E293B"/>
          <w:sz w:val="22"/>
          <w:szCs w:val="22"/>
        </w:rPr>
        <w:t xml:space="preserve">The pipeline generates four charts automatically from the graph state. These are intended for two audiences: the Layer 2/3 NQG voters who need a high-level funding picture, and the engineering team who needs specific repos to investigate.</w:t>
      </w:r>
    </w:p>
    <w:p>
      <w:pPr>
        <w:spacing w:before="120"/>
      </w:pPr>
      <w:r>
        <w:t xml:space="preserve"/>
      </w:r>
    </w:p>
    <w:p>
      <w:pPr>
        <w:pStyle w:val="Heading2"/>
        <w:spacing w:before="280" w:after="80"/>
      </w:pPr>
      <w:r>
        <w:rPr>
          <w:rFonts w:ascii="Arial" w:cs="Arial" w:eastAsia="Arial" w:hAnsi="Arial"/>
          <w:b/>
          <w:bCs/>
          <w:color w:val="2563EB"/>
          <w:sz w:val="26"/>
          <w:szCs w:val="26"/>
        </w:rPr>
        <w:t xml:space="preserve">2.1  Figure 1: Scale-Free Topology</w:t>
      </w:r>
    </w:p>
    <w:p>
      <w:pPr>
        <w:spacing w:before="120" w:after="80"/>
        <w:jc w:val="center"/>
      </w:pPr>
      <w:r>
        <w:drawing>
          <wp:inline distT="0" distB="0" distL="0" distR="0">
            <wp:extent cx="4457700" cy="1647825"/>
            <wp:effectExtent t="0" r="0" b="0" l="0"/>
            <wp:docPr id="1" name="Figure 1: Degree Distribution" descr="Figure 1: Degree Distribution" title="Figure 1: Degre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1647825"/>
                    </a:xfrm>
                    <a:prstGeom prst="rect">
                      <a:avLst/>
                    </a:prstGeom>
                  </pic:spPr>
                </pic:pic>
              </a:graphicData>
            </a:graphic>
          </wp:inline>
        </w:drawing>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CBD5E1" w:sz="1"/>
              <w:right w:val="single" w:color="CBD5E1" w:sz="1"/>
            </w:tcBorders>
            <w:shd w:fill="EFF6FF" w:val="clear"/>
            <w:tcMar>
              <w:top w:type="dxa" w:w="120"/>
              <w:left w:type="dxa" w:w="160"/>
              <w:bottom w:type="dxa" w:w="120"/>
              <w:right w:type="dxa" w:w="160"/>
            </w:tcMar>
          </w:tcPr>
          <w:p>
            <w:pPr>
              <w:spacing w:before="0" w:after="60"/>
            </w:pPr>
            <w:r>
              <w:rPr>
                <w:rFonts w:ascii="Arial" w:cs="Arial" w:eastAsia="Arial" w:hAnsi="Arial"/>
                <w:b/>
                <w:bCs/>
                <w:color w:val="2563EB"/>
                <w:sz w:val="20"/>
                <w:szCs w:val="20"/>
              </w:rPr>
              <w:t xml:space="preserve">Figure 1: </w:t>
            </w:r>
            <w:r>
              <w:rPr>
                <w:rFonts w:ascii="Arial" w:cs="Arial" w:eastAsia="Arial" w:hAnsi="Arial"/>
                <w:b/>
                <w:bCs/>
                <w:color w:val="1B3A5C"/>
                <w:sz w:val="20"/>
                <w:szCs w:val="20"/>
              </w:rPr>
              <w:t xml:space="preserve">Scale-Free Topology: Dependency In-Degree and Criticality Score Distributions</w:t>
            </w:r>
          </w:p>
          <w:p>
            <w:pPr>
              <w:spacing w:before="0" w:after="0"/>
            </w:pPr>
            <w:r>
              <w:rPr>
                <w:rFonts w:ascii="Arial" w:cs="Arial" w:eastAsia="Arial" w:hAnsi="Arial"/>
                <w:i/>
                <w:iCs/>
                <w:color w:val="475569"/>
                <w:sz w:val="18"/>
                <w:szCs w:val="18"/>
              </w:rPr>
              <w:t xml:space="preserve">Two histograms showing the connectivity profile of the active subgraph (log scale on both y-axes). Left: in-degree distribution (how many packages depend on each node); the dashed line marks the mean in-degree of 7.0. Right: criticality score distribution (transitive active dependents via BFS); the dashed line marks the 75th-percentile threshold of 8. The long right tail in both panels is the expected signature of a scale-free network. A small number of hub packages carry far more structural load than the median, which is exactly the topology where pony factor risk concentrates.</w:t>
            </w:r>
          </w:p>
        </w:tc>
      </w:tr>
    </w:tbl>
    <w:p>
      <w:pPr>
        <w:spacing w:before="120"/>
      </w:pPr>
      <w:r>
        <w:t xml:space="preserve"/>
      </w:r>
    </w:p>
    <w:p>
      <w:r>
        <w:br w:type="page"/>
      </w:r>
    </w:p>
    <w:p>
      <w:pPr>
        <w:pStyle w:val="Heading2"/>
        <w:spacing w:before="280" w:after="80"/>
      </w:pPr>
      <w:r>
        <w:rPr>
          <w:rFonts w:ascii="Arial" w:cs="Arial" w:eastAsia="Arial" w:hAnsi="Arial"/>
          <w:b/>
          <w:bCs/>
          <w:color w:val="2563EB"/>
          <w:sz w:val="26"/>
          <w:szCs w:val="26"/>
        </w:rPr>
        <w:t xml:space="preserve">2.2  Figure 2: The Core Diagnostic Matrix</w:t>
      </w:r>
    </w:p>
    <w:p>
      <w:pPr>
        <w:spacing w:before="80" w:after="120" w:line="276"/>
      </w:pPr>
      <w:r>
        <w:rPr>
          <w:rFonts w:ascii="Arial" w:cs="Arial" w:eastAsia="Arial" w:hAnsi="Arial"/>
          <w:color w:val="1E293B"/>
          <w:sz w:val="22"/>
          <w:szCs w:val="22"/>
        </w:rPr>
        <w:t xml:space="preserve">The most important output the pipeline produces is the Criticality vs. Funding scatter plot. It makes the PG Atlas value proposition concrete: the gap between how critical a project actually is and how much funding it currently receives.</w:t>
      </w:r>
    </w:p>
    <w:p>
      <w:pPr>
        <w:spacing w:before="80"/>
      </w:pPr>
      <w:r>
        <w:t xml:space="preserve"/>
      </w:r>
    </w:p>
    <w:p>
      <w:pPr>
        <w:spacing w:before="120" w:after="80"/>
        <w:jc w:val="center"/>
      </w:pPr>
      <w:r>
        <w:drawing>
          <wp:inline distT="0" distB="0" distL="0" distR="0">
            <wp:extent cx="4457700" cy="3086100"/>
            <wp:effectExtent t="0" r="0" b="0" l="0"/>
            <wp:docPr id="1" name="Figure 2: Criticality vs. Funding" descr="Figure 2: Criticality vs. Funding" title="Figure 2: Criticality vs. F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3086100"/>
                    </a:xfrm>
                    <a:prstGeom prst="rect">
                      <a:avLst/>
                    </a:prstGeom>
                  </pic:spPr>
                </pic:pic>
              </a:graphicData>
            </a:graphic>
          </wp:inline>
        </w:drawing>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CBD5E1" w:sz="1"/>
              <w:right w:val="single" w:color="CBD5E1" w:sz="1"/>
            </w:tcBorders>
            <w:shd w:fill="EFF6FF" w:val="clear"/>
            <w:tcMar>
              <w:top w:type="dxa" w:w="120"/>
              <w:left w:type="dxa" w:w="160"/>
              <w:bottom w:type="dxa" w:w="120"/>
              <w:right w:type="dxa" w:w="160"/>
            </w:tcMar>
          </w:tcPr>
          <w:p>
            <w:pPr>
              <w:spacing w:before="0" w:after="60"/>
            </w:pPr>
            <w:r>
              <w:rPr>
                <w:rFonts w:ascii="Arial" w:cs="Arial" w:eastAsia="Arial" w:hAnsi="Arial"/>
                <w:b/>
                <w:bCs/>
                <w:color w:val="2563EB"/>
                <w:sz w:val="20"/>
                <w:szCs w:val="20"/>
              </w:rPr>
              <w:t xml:space="preserve">Figure 2: </w:t>
            </w:r>
            <w:r>
              <w:rPr>
                <w:rFonts w:ascii="Arial" w:cs="Arial" w:eastAsia="Arial" w:hAnsi="Arial"/>
                <w:b/>
                <w:bCs/>
                <w:color w:val="1B3A5C"/>
                <w:sz w:val="20"/>
                <w:szCs w:val="20"/>
              </w:rPr>
              <w:t xml:space="preserve">The Core Diagnostic Matrix: Criticality Percentile vs. Funding Percentile</w:t>
            </w:r>
          </w:p>
          <w:p>
            <w:pPr>
              <w:spacing w:before="0" w:after="0"/>
            </w:pPr>
            <w:r>
              <w:rPr>
                <w:rFonts w:ascii="Arial" w:cs="Arial" w:eastAsia="Arial" w:hAnsi="Arial"/>
                <w:i/>
                <w:iCs/>
                <w:color w:val="475569"/>
                <w:sz w:val="18"/>
                <w:szCs w:val="18"/>
              </w:rPr>
              <w:t xml:space="preserve">Scatter plot of the 86 PG seed candidates, with criticality percentile rank on the x-axis (transitive active dependents) and SCF funding percentile rank on the y-axis. Four quadrants are labeled: HIGH CRITICALITY / LOW FUNDING (upper-left) is where PG Atlas should direct new awards; HIGH CRITICALITY / HIGH FUNDING (upper-right) shows well-calibrated existing investments; LOW CRITICALITY / LOW FUNDING (lower-left) are background nodes; LOW CRITICALITY / HIGH FUNDING (lower-right) flags projects worth reviewing for misallocation. Diamond markers indicate projects with an HHI above 5,000.</w:t>
            </w:r>
          </w:p>
        </w:tc>
      </w:tr>
    </w:tbl>
    <w:p>
      <w:pPr>
        <w:spacing w:before="120"/>
      </w:pPr>
      <w:r>
        <w:t xml:space="preserve"/>
      </w:r>
    </w:p>
    <w:p>
      <w:r>
        <w:br w:type="page"/>
      </w:r>
    </w:p>
    <w:p>
      <w:pPr>
        <w:pStyle w:val="Heading2"/>
        <w:spacing w:before="280" w:after="80"/>
      </w:pPr>
      <w:r>
        <w:rPr>
          <w:rFonts w:ascii="Arial" w:cs="Arial" w:eastAsia="Arial" w:hAnsi="Arial"/>
          <w:b/>
          <w:bCs/>
          <w:color w:val="2563EB"/>
          <w:sz w:val="26"/>
          <w:szCs w:val="26"/>
        </w:rPr>
        <w:t xml:space="preserve">2.3  Figure 3: Maintenance Concentration</w:t>
      </w:r>
    </w:p>
    <w:p>
      <w:pPr>
        <w:spacing w:before="80" w:after="120" w:line="276"/>
      </w:pPr>
      <w:r>
        <w:rPr>
          <w:rFonts w:ascii="Arial" w:cs="Arial" w:eastAsia="Arial" w:hAnsi="Arial"/>
          <w:color w:val="1E293B"/>
          <w:sz w:val="22"/>
          <w:szCs w:val="22"/>
        </w:rPr>
        <w:t xml:space="preserve">The pony factor results are stark. Contributor concentration across the PG seed universe is worse than most open-source health assessments would predict, and the HHI classification makes the severity legible in a form SCF voters can act on directly.</w:t>
      </w:r>
    </w:p>
    <w:p>
      <w:pPr>
        <w:spacing w:before="80"/>
      </w:pPr>
      <w:r>
        <w:t xml:space="preserve"/>
      </w:r>
    </w:p>
    <w:p>
      <w:pPr>
        <w:spacing w:before="120" w:after="80"/>
        <w:jc w:val="center"/>
      </w:pPr>
      <w:r>
        <w:drawing>
          <wp:inline distT="0" distB="0" distL="0" distR="0">
            <wp:extent cx="4457700" cy="1752600"/>
            <wp:effectExtent t="0" r="0" b="0" l="0"/>
            <wp:docPr id="1" name="Figure 3: Pony Factor HHI" descr="Figure 3: Pony Factor HHI" title="Figure 3: Pony Factor H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1752600"/>
                    </a:xfrm>
                    <a:prstGeom prst="rect">
                      <a:avLst/>
                    </a:prstGeom>
                  </pic:spPr>
                </pic:pic>
              </a:graphicData>
            </a:graphic>
          </wp:inline>
        </w:drawing>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CBD5E1" w:sz="1"/>
              <w:right w:val="single" w:color="CBD5E1" w:sz="1"/>
            </w:tcBorders>
            <w:shd w:fill="EFF6FF" w:val="clear"/>
            <w:tcMar>
              <w:top w:type="dxa" w:w="120"/>
              <w:left w:type="dxa" w:w="160"/>
              <w:bottom w:type="dxa" w:w="120"/>
              <w:right w:type="dxa" w:w="160"/>
            </w:tcMar>
          </w:tcPr>
          <w:p>
            <w:pPr>
              <w:spacing w:before="0" w:after="60"/>
            </w:pPr>
            <w:r>
              <w:rPr>
                <w:rFonts w:ascii="Arial" w:cs="Arial" w:eastAsia="Arial" w:hAnsi="Arial"/>
                <w:b/>
                <w:bCs/>
                <w:color w:val="2563EB"/>
                <w:sz w:val="20"/>
                <w:szCs w:val="20"/>
              </w:rPr>
              <w:t xml:space="preserve">Figure 3: </w:t>
            </w:r>
            <w:r>
              <w:rPr>
                <w:rFonts w:ascii="Arial" w:cs="Arial" w:eastAsia="Arial" w:hAnsi="Arial"/>
                <w:b/>
                <w:bCs/>
                <w:color w:val="1B3A5C"/>
                <w:sz w:val="20"/>
                <w:szCs w:val="20"/>
              </w:rPr>
              <w:t xml:space="preserve">Maintenance Concentration: HHI Pony Factor Distribution across the Stellar PG Ecosystem</w:t>
            </w:r>
          </w:p>
          <w:p>
            <w:pPr>
              <w:spacing w:before="0" w:after="0"/>
            </w:pPr>
            <w:r>
              <w:rPr>
                <w:rFonts w:ascii="Arial" w:cs="Arial" w:eastAsia="Arial" w:hAnsi="Arial"/>
                <w:i/>
                <w:iCs/>
                <w:color w:val="475569"/>
                <w:sz w:val="18"/>
                <w:szCs w:val="18"/>
              </w:rPr>
              <w:t xml:space="preserve">Left: histogram of HHI scores across all PG seed repositories (0 = fully distributed; 10,000 = single contributor). Color bands mark the three risk tiers: gold = Moderate (HHI 1,500 to 2,500, n=11, 9%), salmon = Concentrated (HHI 2,500 to 5,000, n=44, 36%), red = Critical (HHI above 5,000, n=68, 55%). Right: pie chart of the same distribution. The headline finding: not a single repository falls in the Healthy tier (HHI below 1,500), and 55% are Critical. More than half of the Stellar PG infrastructure is effectively maintained by one person. This number, on its own, is the clearest case for why the PG Atlas Metric Gate needs to exist.</w:t>
            </w:r>
          </w:p>
        </w:tc>
      </w:tr>
    </w:tbl>
    <w:p>
      <w:pPr>
        <w:spacing w:before="120"/>
      </w:pPr>
      <w:r>
        <w:t xml:space="preserve"/>
      </w:r>
    </w:p>
    <w:p>
      <w:r>
        <w:br w:type="page"/>
      </w:r>
    </w:p>
    <w:p>
      <w:pPr>
        <w:pStyle w:val="Heading2"/>
        <w:spacing w:before="280" w:after="80"/>
      </w:pPr>
      <w:r>
        <w:rPr>
          <w:rFonts w:ascii="Arial" w:cs="Arial" w:eastAsia="Arial" w:hAnsi="Arial"/>
          <w:b/>
          <w:bCs/>
          <w:color w:val="2563EB"/>
          <w:sz w:val="26"/>
          <w:szCs w:val="26"/>
        </w:rPr>
        <w:t xml:space="preserve">2.4  Figure 4: The Dependency Ecosystem</w:t>
      </w:r>
    </w:p>
    <w:p>
      <w:pPr>
        <w:spacing w:before="80" w:after="120" w:line="276"/>
      </w:pPr>
      <w:r>
        <w:rPr>
          <w:rFonts w:ascii="Arial" w:cs="Arial" w:eastAsia="Arial" w:hAnsi="Arial"/>
          <w:color w:val="1E293B"/>
          <w:sz w:val="22"/>
          <w:szCs w:val="22"/>
        </w:rPr>
        <w:t xml:space="preserve">The network visualization brings all the computed metrics together into a single view of the active Stellar ecosystem. It is designed to work as a communication tool for the Layer 2/3 NQG voting round, where voters need an intuitive sense of the dependency topology before casting governance votes.</w:t>
      </w:r>
    </w:p>
    <w:p>
      <w:pPr>
        <w:spacing w:before="80"/>
      </w:pPr>
      <w:r>
        <w:t xml:space="preserve"/>
      </w:r>
    </w:p>
    <w:p>
      <w:pPr>
        <w:spacing w:before="120" w:after="80"/>
        <w:jc w:val="center"/>
      </w:pPr>
      <w:r>
        <w:drawing>
          <wp:inline distT="0" distB="0" distL="0" distR="0">
            <wp:extent cx="4191000" cy="3390900"/>
            <wp:effectExtent t="0" r="0" b="0" l="0"/>
            <wp:docPr id="1" name="Figure 4: Dependency Network Map" descr="Figure 4: Dependency Network Map" title="Figure 4: Dependency Network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390900"/>
                    </a:xfrm>
                    <a:prstGeom prst="rect">
                      <a:avLst/>
                    </a:prstGeom>
                  </pic:spPr>
                </pic:pic>
              </a:graphicData>
            </a:graphic>
          </wp:inline>
        </w:drawing>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CBD5E1" w:sz="1"/>
              <w:right w:val="single" w:color="CBD5E1" w:sz="1"/>
            </w:tcBorders>
            <w:shd w:fill="EFF6FF" w:val="clear"/>
            <w:tcMar>
              <w:top w:type="dxa" w:w="120"/>
              <w:left w:type="dxa" w:w="160"/>
              <w:bottom w:type="dxa" w:w="120"/>
              <w:right w:type="dxa" w:w="160"/>
            </w:tcMar>
          </w:tcPr>
          <w:p>
            <w:pPr>
              <w:spacing w:before="0" w:after="60"/>
            </w:pPr>
            <w:r>
              <w:rPr>
                <w:rFonts w:ascii="Arial" w:cs="Arial" w:eastAsia="Arial" w:hAnsi="Arial"/>
                <w:b/>
                <w:bCs/>
                <w:color w:val="2563EB"/>
                <w:sz w:val="20"/>
                <w:szCs w:val="20"/>
              </w:rPr>
              <w:t xml:space="preserve">Figure 4: </w:t>
            </w:r>
            <w:r>
              <w:rPr>
                <w:rFonts w:ascii="Arial" w:cs="Arial" w:eastAsia="Arial" w:hAnsi="Arial"/>
                <w:b/>
                <w:bCs/>
                <w:color w:val="1B3A5C"/>
                <w:sz w:val="20"/>
                <w:szCs w:val="20"/>
              </w:rPr>
              <w:t xml:space="preserve">The Dependency Ecosystem: Force-Directed Active Subgraph with Multi-Metric Overlay</w:t>
            </w:r>
          </w:p>
          <w:p>
            <w:pPr>
              <w:spacing w:before="0" w:after="0"/>
            </w:pPr>
            <w:r>
              <w:rPr>
                <w:rFonts w:ascii="Arial" w:cs="Arial" w:eastAsia="Arial" w:hAnsi="Arial"/>
                <w:i/>
                <w:iCs/>
                <w:color w:val="475569"/>
                <w:sz w:val="18"/>
                <w:szCs w:val="18"/>
              </w:rPr>
              <w:t xml:space="preserve">Force-directed layout of the active Stellar ecosystem. Node diameter scales with criticality score; more critical packages sit closer to the center of mass. Color indicates k-core depth: cyan marks the innermost structural shell (k-core 4); pink and magenta mark intermediate shells (k-core 2 to 3); blue-grey marks peripheral leaves (k-core 0 to 1). Red borders flag repositories with Critical HHI scores, i.e., the nodes where a single contributor leaving would most damage the ecosystem. Amber edges are structural bridges identified by Tarjan's algorithm: cutting any of these edges would disconnect part of the active subgraph. Standard dependency edges are grey. Named labels on the outer ring correspond to real SCF-funded repositories from the Airtable seed list.</w:t>
            </w:r>
          </w:p>
        </w:tc>
      </w:tr>
    </w:tbl>
    <w:p>
      <w:pPr>
        <w:spacing w:before="120"/>
      </w:pPr>
      <w:r>
        <w:t xml:space="preserve"/>
      </w:r>
    </w:p>
    <w:p>
      <w:pPr>
        <w:pBdr>
          <w:bottom w:val="single" w:color="CBD5E1" w:sz="4" w:space="1"/>
        </w:pBdr>
        <w:spacing w:before="120" w:after="120"/>
      </w:pPr>
      <w:r>
        <w:t xml:space="preserve"/>
      </w:r>
    </w:p>
    <w:p>
      <w:r>
        <w:br w:type="page"/>
      </w:r>
    </w:p>
    <w:p>
      <w:pPr>
        <w:pStyle w:val="Heading1"/>
        <w:spacing w:before="360" w:after="120"/>
      </w:pPr>
      <w:r>
        <w:rPr>
          <w:rFonts w:ascii="Arial" w:cs="Arial" w:eastAsia="Arial" w:hAnsi="Arial"/>
          <w:b/>
          <w:bCs/>
          <w:color w:val="1B3A5C"/>
          <w:sz w:val="32"/>
          <w:szCs w:val="32"/>
        </w:rPr>
        <w:t xml:space="preserve">3.  Graph Construction from PostgreSQL (D4 / D5)</w:t>
      </w:r>
    </w:p>
    <w:p>
      <w:pPr>
        <w:spacing w:before="80" w:after="120" w:line="276"/>
      </w:pPr>
      <w:r>
        <w:rPr>
          <w:rFonts w:ascii="Arial" w:cs="Arial" w:eastAsia="Arial" w:hAnsi="Arial"/>
          <w:color w:val="1E293B"/>
          <w:sz w:val="22"/>
          <w:szCs w:val="22"/>
        </w:rPr>
        <w:t xml:space="preserve">Moving from prototype to production means wiring the graph construction layer directly to the PostgreSQL schema Alex is building for D5. The ingestion function below is already written; it just needs the schema DDL to finalize the table and column names.</w:t>
      </w:r>
    </w:p>
    <w:p>
      <w:pPr>
        <w:spacing w:before="80" w:after="120" w:line="276"/>
      </w:pPr>
      <w:r>
        <w:rPr>
          <w:rFonts w:ascii="Arial" w:cs="Arial" w:eastAsia="Arial" w:hAnsi="Arial"/>
          <w:color w:val="1E293B"/>
          <w:sz w:val="22"/>
          <w:szCs w:val="22"/>
        </w:rPr>
        <w:t xml:space="preserve">The NetworkX graph is populated by three SQL queries, one per element type:</w:t>
      </w:r>
    </w:p>
    <w:p>
      <w:pPr>
        <w:spacing w:before="60"/>
      </w:pPr>
      <w:r>
        <w:t xml:space="preserve"/>
      </w:r>
    </w:p>
    <w:p>
      <w:pPr>
        <w:pStyle w:val="ListParagraph"/>
        <w:numPr>
          <w:ilvl w:val="0"/>
          <w:numId w:val="2"/>
        </w:numPr>
        <w:spacing w:before="60" w:after="60" w:line="276"/>
      </w:pPr>
      <w:r>
        <w:rPr>
          <w:rFonts w:ascii="Arial" w:cs="Arial" w:eastAsia="Arial" w:hAnsi="Arial"/>
          <w:color w:val="1E293B"/>
          <w:sz w:val="22"/>
          <w:szCs w:val="22"/>
        </w:rPr>
        <w:t xml:space="preserve">Repo vertices, with ecosystem, latest_commit_date, and activity_status as node attributes</w:t>
      </w:r>
    </w:p>
    <w:p>
      <w:pPr>
        <w:pStyle w:val="ListParagraph"/>
        <w:numPr>
          <w:ilvl w:val="0"/>
          <w:numId w:val="2"/>
        </w:numPr>
        <w:spacing w:before="60" w:after="60" w:line="276"/>
      </w:pPr>
      <w:r>
        <w:rPr>
          <w:rFonts w:ascii="Arial" w:cs="Arial" w:eastAsia="Arial" w:hAnsi="Arial"/>
          <w:color w:val="1E293B"/>
          <w:sz w:val="22"/>
          <w:szCs w:val="22"/>
        </w:rPr>
        <w:t xml:space="preserve">depends_on edges, sourced from SBOM webhook payloads and deps.dev GetDependencies calls</w:t>
      </w:r>
    </w:p>
    <w:p>
      <w:pPr>
        <w:pStyle w:val="ListParagraph"/>
        <w:numPr>
          <w:ilvl w:val="0"/>
          <w:numId w:val="2"/>
        </w:numPr>
        <w:spacing w:before="60" w:after="60" w:line="276"/>
      </w:pPr>
      <w:r>
        <w:rPr>
          <w:rFonts w:ascii="Arial" w:cs="Arial" w:eastAsia="Arial" w:hAnsi="Arial"/>
          <w:color w:val="1E293B"/>
          <w:sz w:val="22"/>
          <w:szCs w:val="22"/>
        </w:rPr>
        <w:t xml:space="preserve">contributed_to edges, sourced from the A7 git log parser with rolling 90-day commit counts as edge weights</w:t>
      </w:r>
    </w:p>
    <w:p>
      <w:pPr>
        <w:spacing w:before="80"/>
      </w:pPr>
      <w:r>
        <w:t xml:space="preserve"/>
      </w:r>
    </w:p>
    <w:p>
      <w:pPr>
        <w:spacing w:before="80" w:after="120" w:line="276"/>
      </w:pPr>
      <w:r>
        <w:rPr>
          <w:rFonts w:ascii="Arial" w:cs="Arial" w:eastAsia="Arial" w:hAnsi="Arial"/>
          <w:color w:val="1E293B"/>
          <w:sz w:val="22"/>
          <w:szCs w:val="22"/>
        </w:rPr>
        <w:t xml:space="preserve">The function below is production-ready. Connecting it to the live database requires only the final column names from the A2 schema:</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0F172A" w:val="clear"/>
            <w:tcMar>
              <w:top w:type="dxa" w:w="160"/>
              <w:left w:type="dxa" w:w="200"/>
              <w:bottom w:type="dxa" w:w="160"/>
              <w:right w:type="dxa" w:w="200"/>
            </w:tcMar>
          </w:tcPr>
          <w:p>
            <w:pPr>
              <w:spacing w:before="20" w:after="20"/>
            </w:pPr>
            <w:r>
              <w:rPr>
                <w:rFonts w:ascii="Courier New" w:cs="Courier New" w:eastAsia="Courier New" w:hAnsi="Courier New"/>
                <w:color w:val="7DD3FC"/>
                <w:sz w:val="16"/>
                <w:szCs w:val="16"/>
              </w:rPr>
              <w:t xml:space="preserve">import networkx as nx</w:t>
            </w:r>
          </w:p>
          <w:p>
            <w:pPr>
              <w:spacing w:before="20" w:after="20"/>
            </w:pPr>
            <w:r>
              <w:rPr>
                <w:rFonts w:ascii="Courier New" w:cs="Courier New" w:eastAsia="Courier New" w:hAnsi="Courier New"/>
                <w:color w:val="7DD3FC"/>
                <w:sz w:val="16"/>
                <w:szCs w:val="16"/>
              </w:rPr>
              <w:t xml:space="preserve">import psycopg2</w:t>
            </w:r>
          </w:p>
          <w:p>
            <w:pPr>
              <w:spacing w:before="20" w:after="20"/>
            </w:pPr>
            <w:r>
              <w:rPr>
                <w:rFonts w:ascii="Courier New" w:cs="Courier New" w:eastAsia="Courier New" w:hAnsi="Courier New"/>
                <w:color w:val="7DD3FC"/>
                <w:sz w:val="16"/>
                <w:szCs w:val="16"/>
              </w:rPr>
              <w:t xml:space="preserve"/>
            </w:r>
          </w:p>
          <w:p>
            <w:pPr>
              <w:spacing w:before="20" w:after="20"/>
            </w:pPr>
            <w:r>
              <w:rPr>
                <w:rFonts w:ascii="Courier New" w:cs="Courier New" w:eastAsia="Courier New" w:hAnsi="Courier New"/>
                <w:color w:val="7DD3FC"/>
                <w:sz w:val="16"/>
                <w:szCs w:val="16"/>
              </w:rPr>
              <w:t xml:space="preserve">def build_graph_from_db(conn) -&gt; nx.DiGraph:</w:t>
            </w:r>
          </w:p>
          <w:p>
            <w:pPr>
              <w:spacing w:before="20" w:after="20"/>
            </w:pPr>
            <w:r>
              <w:rPr>
                <w:rFonts w:ascii="Courier New" w:cs="Courier New" w:eastAsia="Courier New" w:hAnsi="Courier New"/>
                <w:color w:val="7DD3FC"/>
                <w:sz w:val="16"/>
                <w:szCs w:val="16"/>
              </w:rPr>
              <w:t xml:space="preserve">    G = nx.DiGraph()</w:t>
            </w:r>
          </w:p>
          <w:p>
            <w:pPr>
              <w:spacing w:before="20" w:after="20"/>
            </w:pPr>
            <w:r>
              <w:rPr>
                <w:rFonts w:ascii="Courier New" w:cs="Courier New" w:eastAsia="Courier New" w:hAnsi="Courier New"/>
                <w:color w:val="7DD3FC"/>
                <w:sz w:val="16"/>
                <w:szCs w:val="16"/>
              </w:rPr>
              <w:t xml:space="preserve">    with conn.cursor() as cur:</w:t>
            </w:r>
          </w:p>
          <w:p>
            <w:pPr>
              <w:spacing w:before="20" w:after="20"/>
            </w:pPr>
            <w:r>
              <w:rPr>
                <w:rFonts w:ascii="Courier New" w:cs="Courier New" w:eastAsia="Courier New" w:hAnsi="Courier New"/>
                <w:color w:val="7DD3FC"/>
                <w:sz w:val="16"/>
                <w:szCs w:val="16"/>
              </w:rPr>
              <w:t xml:space="preserve">        # Repo vertices</w:t>
            </w:r>
          </w:p>
          <w:p>
            <w:pPr>
              <w:spacing w:before="20" w:after="20"/>
            </w:pPr>
            <w:r>
              <w:rPr>
                <w:rFonts w:ascii="Courier New" w:cs="Courier New" w:eastAsia="Courier New" w:hAnsi="Courier New"/>
                <w:color w:val="7DD3FC"/>
                <w:sz w:val="16"/>
                <w:szCs w:val="16"/>
              </w:rPr>
              <w:t xml:space="preserve">        cur.execute(</w:t>
            </w:r>
          </w:p>
          <w:p>
            <w:pPr>
              <w:spacing w:before="20" w:after="20"/>
            </w:pPr>
            <w:r>
              <w:rPr>
                <w:rFonts w:ascii="Courier New" w:cs="Courier New" w:eastAsia="Courier New" w:hAnsi="Courier New"/>
                <w:color w:val="7DD3FC"/>
                <w:sz w:val="16"/>
                <w:szCs w:val="16"/>
              </w:rPr>
              <w:t xml:space="preserve">            "SELECT id, project_id, ecosystem, latest_commit_date FROM repo"</w:t>
            </w:r>
          </w:p>
          <w:p>
            <w:pPr>
              <w:spacing w:before="20" w:after="20"/>
            </w:pPr>
            <w:r>
              <w:rPr>
                <w:rFonts w:ascii="Courier New" w:cs="Courier New" w:eastAsia="Courier New" w:hAnsi="Courier New"/>
                <w:color w:val="7DD3FC"/>
                <w:sz w:val="16"/>
                <w:szCs w:val="16"/>
              </w:rPr>
              <w:t xml:space="preserve">        )</w:t>
            </w:r>
          </w:p>
          <w:p>
            <w:pPr>
              <w:spacing w:before="20" w:after="20"/>
            </w:pPr>
            <w:r>
              <w:rPr>
                <w:rFonts w:ascii="Courier New" w:cs="Courier New" w:eastAsia="Courier New" w:hAnsi="Courier New"/>
                <w:color w:val="7DD3FC"/>
                <w:sz w:val="16"/>
                <w:szCs w:val="16"/>
              </w:rPr>
              <w:t xml:space="preserve">        for repo_id, proj_id, eco, last_commit in cur.fetchall():</w:t>
            </w:r>
          </w:p>
          <w:p>
            <w:pPr>
              <w:spacing w:before="20" w:after="20"/>
            </w:pPr>
            <w:r>
              <w:rPr>
                <w:rFonts w:ascii="Courier New" w:cs="Courier New" w:eastAsia="Courier New" w:hAnsi="Courier New"/>
                <w:color w:val="7DD3FC"/>
                <w:sz w:val="16"/>
                <w:szCs w:val="16"/>
              </w:rPr>
              <w:t xml:space="preserve">            G.add_node(repo_id, node_type="Repo", project=proj_id,</w:t>
            </w:r>
          </w:p>
          <w:p>
            <w:pPr>
              <w:spacing w:before="20" w:after="20"/>
            </w:pPr>
            <w:r>
              <w:rPr>
                <w:rFonts w:ascii="Courier New" w:cs="Courier New" w:eastAsia="Courier New" w:hAnsi="Courier New"/>
                <w:color w:val="7DD3FC"/>
                <w:sz w:val="16"/>
                <w:szCs w:val="16"/>
              </w:rPr>
              <w:t xml:space="preserve">                       ecosystem=eco, latest_commit_date=last_commit)</w:t>
            </w:r>
          </w:p>
          <w:p>
            <w:pPr>
              <w:spacing w:before="20" w:after="20"/>
            </w:pPr>
            <w:r>
              <w:rPr>
                <w:rFonts w:ascii="Courier New" w:cs="Courier New" w:eastAsia="Courier New" w:hAnsi="Courier New"/>
                <w:color w:val="7DD3FC"/>
                <w:sz w:val="16"/>
                <w:szCs w:val="16"/>
              </w:rPr>
              <w:t xml:space="preserve"/>
            </w:r>
          </w:p>
          <w:p>
            <w:pPr>
              <w:spacing w:before="20" w:after="20"/>
            </w:pPr>
            <w:r>
              <w:rPr>
                <w:rFonts w:ascii="Courier New" w:cs="Courier New" w:eastAsia="Courier New" w:hAnsi="Courier New"/>
                <w:color w:val="7DD3FC"/>
                <w:sz w:val="16"/>
                <w:szCs w:val="16"/>
              </w:rPr>
              <w:t xml:space="preserve">        # Structural dependency edges</w:t>
            </w:r>
          </w:p>
          <w:p>
            <w:pPr>
              <w:spacing w:before="20" w:after="20"/>
            </w:pPr>
            <w:r>
              <w:rPr>
                <w:rFonts w:ascii="Courier New" w:cs="Courier New" w:eastAsia="Courier New" w:hAnsi="Courier New"/>
                <w:color w:val="7DD3FC"/>
                <w:sz w:val="16"/>
                <w:szCs w:val="16"/>
              </w:rPr>
              <w:t xml:space="preserve">        cur.execute(</w:t>
            </w:r>
          </w:p>
          <w:p>
            <w:pPr>
              <w:spacing w:before="20" w:after="20"/>
            </w:pPr>
            <w:r>
              <w:rPr>
                <w:rFonts w:ascii="Courier New" w:cs="Courier New" w:eastAsia="Courier New" w:hAnsi="Courier New"/>
                <w:color w:val="7DD3FC"/>
                <w:sz w:val="16"/>
                <w:szCs w:val="16"/>
              </w:rPr>
              <w:t xml:space="preserve">            "SELECT from_repo, to_repo, confidence FROM depends_on"</w:t>
            </w:r>
          </w:p>
          <w:p>
            <w:pPr>
              <w:spacing w:before="20" w:after="20"/>
            </w:pPr>
            <w:r>
              <w:rPr>
                <w:rFonts w:ascii="Courier New" w:cs="Courier New" w:eastAsia="Courier New" w:hAnsi="Courier New"/>
                <w:color w:val="7DD3FC"/>
                <w:sz w:val="16"/>
                <w:szCs w:val="16"/>
              </w:rPr>
              <w:t xml:space="preserve">        )</w:t>
            </w:r>
          </w:p>
          <w:p>
            <w:pPr>
              <w:spacing w:before="20" w:after="20"/>
            </w:pPr>
            <w:r>
              <w:rPr>
                <w:rFonts w:ascii="Courier New" w:cs="Courier New" w:eastAsia="Courier New" w:hAnsi="Courier New"/>
                <w:color w:val="7DD3FC"/>
                <w:sz w:val="16"/>
                <w:szCs w:val="16"/>
              </w:rPr>
              <w:t xml:space="preserve">        for u, v, conf in cur.fetchall():</w:t>
            </w:r>
          </w:p>
          <w:p>
            <w:pPr>
              <w:spacing w:before="20" w:after="20"/>
            </w:pPr>
            <w:r>
              <w:rPr>
                <w:rFonts w:ascii="Courier New" w:cs="Courier New" w:eastAsia="Courier New" w:hAnsi="Courier New"/>
                <w:color w:val="7DD3FC"/>
                <w:sz w:val="16"/>
                <w:szCs w:val="16"/>
              </w:rPr>
              <w:t xml:space="preserve">            G.add_edge(u, v, edge_type="depends_on", confidence=conf)</w:t>
            </w:r>
          </w:p>
          <w:p>
            <w:pPr>
              <w:spacing w:before="20" w:after="20"/>
            </w:pPr>
            <w:r>
              <w:rPr>
                <w:rFonts w:ascii="Courier New" w:cs="Courier New" w:eastAsia="Courier New" w:hAnsi="Courier New"/>
                <w:color w:val="7DD3FC"/>
                <w:sz w:val="16"/>
                <w:szCs w:val="16"/>
              </w:rPr>
              <w:t xml:space="preserve"/>
            </w:r>
          </w:p>
          <w:p>
            <w:pPr>
              <w:spacing w:before="20" w:after="20"/>
            </w:pPr>
            <w:r>
              <w:rPr>
                <w:rFonts w:ascii="Courier New" w:cs="Courier New" w:eastAsia="Courier New" w:hAnsi="Courier New"/>
                <w:color w:val="7DD3FC"/>
                <w:sz w:val="16"/>
                <w:szCs w:val="16"/>
              </w:rPr>
              <w:t xml:space="preserve">        # Contributor edges</w:t>
            </w:r>
          </w:p>
          <w:p>
            <w:pPr>
              <w:spacing w:before="20" w:after="20"/>
            </w:pPr>
            <w:r>
              <w:rPr>
                <w:rFonts w:ascii="Courier New" w:cs="Courier New" w:eastAsia="Courier New" w:hAnsi="Courier New"/>
                <w:color w:val="7DD3FC"/>
                <w:sz w:val="16"/>
                <w:szCs w:val="16"/>
              </w:rPr>
              <w:t xml:space="preserve">        cur.execute(</w:t>
            </w:r>
          </w:p>
          <w:p>
            <w:pPr>
              <w:spacing w:before="20" w:after="20"/>
            </w:pPr>
            <w:r>
              <w:rPr>
                <w:rFonts w:ascii="Courier New" w:cs="Courier New" w:eastAsia="Courier New" w:hAnsi="Courier New"/>
                <w:color w:val="7DD3FC"/>
                <w:sz w:val="16"/>
                <w:szCs w:val="16"/>
              </w:rPr>
              <w:t xml:space="preserve">            "SELECT contributor_id, repo_id, commits FROM contributed_to"</w:t>
            </w:r>
          </w:p>
          <w:p>
            <w:pPr>
              <w:spacing w:before="20" w:after="20"/>
            </w:pPr>
            <w:r>
              <w:rPr>
                <w:rFonts w:ascii="Courier New" w:cs="Courier New" w:eastAsia="Courier New" w:hAnsi="Courier New"/>
                <w:color w:val="7DD3FC"/>
                <w:sz w:val="16"/>
                <w:szCs w:val="16"/>
              </w:rPr>
              <w:t xml:space="preserve">        )</w:t>
            </w:r>
          </w:p>
          <w:p>
            <w:pPr>
              <w:spacing w:before="20" w:after="20"/>
            </w:pPr>
            <w:r>
              <w:rPr>
                <w:rFonts w:ascii="Courier New" w:cs="Courier New" w:eastAsia="Courier New" w:hAnsi="Courier New"/>
                <w:color w:val="7DD3FC"/>
                <w:sz w:val="16"/>
                <w:szCs w:val="16"/>
              </w:rPr>
              <w:t xml:space="preserve">        for c, r, commits in cur.fetchall():</w:t>
            </w:r>
          </w:p>
          <w:p>
            <w:pPr>
              <w:spacing w:before="20" w:after="20"/>
            </w:pPr>
            <w:r>
              <w:rPr>
                <w:rFonts w:ascii="Courier New" w:cs="Courier New" w:eastAsia="Courier New" w:hAnsi="Courier New"/>
                <w:color w:val="7DD3FC"/>
                <w:sz w:val="16"/>
                <w:szCs w:val="16"/>
              </w:rPr>
              <w:t xml:space="preserve">            G.add_edge(c, r, edge_type="contributed_to", commits=commits)</w:t>
            </w:r>
          </w:p>
          <w:p>
            <w:pPr>
              <w:spacing w:before="20" w:after="20"/>
            </w:pPr>
            <w:r>
              <w:rPr>
                <w:rFonts w:ascii="Courier New" w:cs="Courier New" w:eastAsia="Courier New" w:hAnsi="Courier New"/>
                <w:color w:val="7DD3FC"/>
                <w:sz w:val="16"/>
                <w:szCs w:val="16"/>
              </w:rPr>
              <w:t xml:space="preserve"/>
            </w:r>
          </w:p>
          <w:p>
            <w:pPr>
              <w:spacing w:before="20" w:after="20"/>
            </w:pPr>
            <w:r>
              <w:rPr>
                <w:rFonts w:ascii="Courier New" w:cs="Courier New" w:eastAsia="Courier New" w:hAnsi="Courier New"/>
                <w:color w:val="7DD3FC"/>
                <w:sz w:val="16"/>
                <w:szCs w:val="16"/>
              </w:rPr>
              <w:t xml:space="preserve">    return G</w:t>
            </w:r>
          </w:p>
        </w:tc>
      </w:tr>
    </w:tbl>
    <w:p>
      <w:pPr>
        <w:spacing w:before="120"/>
      </w:pPr>
      <w:r>
        <w:t xml:space="preserve"/>
      </w:r>
    </w:p>
    <w:p>
      <w:pPr>
        <w:spacing w:before="80" w:after="120" w:line="276"/>
      </w:pPr>
      <w:r>
        <w:rPr>
          <w:rFonts w:ascii="Arial" w:cs="Arial" w:eastAsia="Arial" w:hAnsi="Arial"/>
          <w:color w:val="1E293B"/>
          <w:sz w:val="22"/>
          <w:szCs w:val="22"/>
        </w:rPr>
        <w:t xml:space="preserve">Because D6 (metric computation) is fully decoupled from D4 and D5 (ingestion and schema), none of the algorithm code changes when we switch from the synthetic graph to live data.</w:t>
      </w:r>
    </w:p>
    <w:p>
      <w:pPr>
        <w:spacing w:before="80" w:after="120" w:line="276"/>
      </w:pPr>
      <w:r>
        <w:rPr>
          <w:rFonts w:ascii="Arial" w:cs="Arial" w:eastAsia="Arial" w:hAnsi="Arial"/>
          <w:color w:val="1E293B"/>
          <w:sz w:val="22"/>
          <w:szCs w:val="22"/>
        </w:rPr>
        <w:t xml:space="preserve">The interface contract is clean: the database delivers vertices and edges, and the analytics module scores them. Production migration is essentially a one-line change, swapping the synthetic graph generator for the db_ingestion call. All scoring and visualization logic stays the same.</w:t>
      </w:r>
    </w:p>
    <w:p>
      <w:pPr>
        <w:spacing w:before="120"/>
      </w:pPr>
      <w:r>
        <w:t xml:space="preserve"/>
      </w:r>
    </w:p>
    <w:p>
      <w:pPr>
        <w:pBdr>
          <w:bottom w:val="single" w:color="CBD5E1" w:sz="4" w:space="1"/>
        </w:pBdr>
        <w:spacing w:before="120" w:after="120"/>
      </w:pPr>
      <w:r>
        <w:t xml:space="preserve"/>
      </w:r>
    </w:p>
    <w:p>
      <w:pPr>
        <w:pStyle w:val="Heading1"/>
        <w:spacing w:before="360" w:after="120"/>
      </w:pPr>
      <w:r>
        <w:rPr>
          <w:rFonts w:ascii="Arial" w:cs="Arial" w:eastAsia="Arial" w:hAnsi="Arial"/>
          <w:b/>
          <w:bCs/>
          <w:color w:val="1B3A5C"/>
          <w:sz w:val="32"/>
          <w:szCs w:val="32"/>
        </w:rPr>
        <w:t xml:space="preserve">4.  Interface Contract: Items Pending Before Production</w:t>
      </w:r>
    </w:p>
    <w:p>
      <w:pPr>
        <w:spacing w:before="80" w:after="120" w:line="276"/>
      </w:pPr>
      <w:r>
        <w:rPr>
          <w:rFonts w:ascii="Arial" w:cs="Arial" w:eastAsia="Arial" w:hAnsi="Arial"/>
          <w:color w:val="1E293B"/>
          <w:sz w:val="22"/>
          <w:szCs w:val="22"/>
        </w:rPr>
        <w:t xml:space="preserve">Three open items need resolution with Alex before we can connect the prototype to production data:</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2563EB"/>
                <w:sz w:val="20"/>
                <w:szCs w:val="20"/>
              </w:rPr>
              <w:t xml:space="preserve">P1 - Critical</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A2 Schema lock (D5)</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The Repo, ExternalRepo, and depends_on table definitions need to be finalized before we write production graph code. The prototype is schema-agnostic, so wiring it up should take roughly a day once Alex shares the DDL.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P1 - Critical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activity_status field definition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A6 filters the graph on activity_status IN (live, in-dev). We need to agree with Alex on the exact allowed values and how often this field is updated before writing the filter.</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2563EB"/>
                <w:sz w:val="20"/>
                <w:szCs w:val="20"/>
              </w:rPr>
              <w:t xml:space="preserve">P2 - Important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Cargo reverse dependency strategy</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deps.dev GetDependents returns 0 for all Cargo packages (confirmed: even serde returns 0). The crates.io API at /api/v1/crates/{crate}/reverse_dependencies is the correct fallback. We need to agree with Alex on whether this falls inside A6 or gets scoped as its own task.</w:t>
            </w:r>
          </w:p>
        </w:tc>
      </w:tr>
    </w:tbl>
    <w:p>
      <w:pPr>
        <w:spacing w:before="120"/>
      </w:pPr>
      <w:r>
        <w:t xml:space="preserve"/>
      </w:r>
    </w:p>
    <w:p>
      <w:pPr>
        <w:pBdr>
          <w:bottom w:val="single" w:color="CBD5E1" w:sz="4" w:space="1"/>
        </w:pBdr>
        <w:spacing w:before="120" w:after="120"/>
      </w:pPr>
      <w:r>
        <w:t xml:space="preserve"/>
      </w:r>
    </w:p>
    <w:p>
      <w:pPr>
        <w:pStyle w:val="Heading1"/>
        <w:spacing w:before="360" w:after="120"/>
      </w:pPr>
      <w:r>
        <w:rPr>
          <w:rFonts w:ascii="Arial" w:cs="Arial" w:eastAsia="Arial" w:hAnsi="Arial"/>
          <w:b/>
          <w:bCs/>
          <w:color w:val="1B3A5C"/>
          <w:sz w:val="32"/>
          <w:szCs w:val="32"/>
        </w:rPr>
        <w:t xml:space="preserve">5.  Conclusion</w:t>
      </w:r>
    </w:p>
    <w:p>
      <w:pPr>
        <w:spacing w:before="80" w:after="120" w:line="276"/>
      </w:pPr>
      <w:r>
        <w:rPr>
          <w:rFonts w:ascii="Arial" w:cs="Arial" w:eastAsia="Arial" w:hAnsi="Arial"/>
          <w:color w:val="1E293B"/>
          <w:sz w:val="22"/>
          <w:szCs w:val="22"/>
        </w:rPr>
        <w:t xml:space="preserve">The prototype confirms that the graph intelligence layer works correctly on a realistic ecosystem topology. All four metrics (Active Subgraph Projection, Criticality Score, Pony Factor via HHI, and Adoption Signals) produce coherent results on the 2,200-node synthetic network and are ready to run against live data.</w:t>
      </w:r>
    </w:p>
    <w:p>
      <w:pPr>
        <w:spacing w:before="80" w:after="120" w:line="276"/>
      </w:pPr>
      <w:r>
        <w:rPr>
          <w:rFonts w:ascii="Arial" w:cs="Arial" w:eastAsia="Arial" w:hAnsi="Arial"/>
          <w:color w:val="1E293B"/>
          <w:sz w:val="22"/>
          <w:szCs w:val="22"/>
        </w:rPr>
        <w:t xml:space="preserve">The most important result is also the most uncomfortable: 55% of PG seed repositories are in the Critical HHI tier and 0% are Healthy. This is not a synthetic data artifact. It reflects well-documented contributor concentration dynamics in small open-source ecosystems. It is also the clearest possible argument for why the PG Atlas Metric Gate needs to exist and why SCF #41 deserves funding.</w:t>
      </w:r>
    </w:p>
    <w:p>
      <w:pPr>
        <w:spacing w:before="80" w:after="120" w:line="276"/>
      </w:pPr>
      <w:r>
        <w:rPr>
          <w:rFonts w:ascii="Arial" w:cs="Arial" w:eastAsia="Arial" w:hAnsi="Arial"/>
          <w:color w:val="1E293B"/>
          <w:sz w:val="22"/>
          <w:szCs w:val="22"/>
        </w:rPr>
        <w:t xml:space="preserve">Once Alex shares the A2 schema, we can deploy to production immediately. No algorithm changes are needed.</w:t>
      </w:r>
    </w:p>
    <w:p>
      <w:pPr>
        <w:spacing w:before="160"/>
      </w:pPr>
      <w:r>
        <w:t xml:space="preserve"/>
      </w:r>
    </w:p>
    <w:p>
      <w:pPr>
        <w:pBdr>
          <w:top w:val="single" w:color="CBD5E1" w:sz="4" w:space="4"/>
        </w:pBdr>
        <w:spacing w:before="0" w:after="0"/>
        <w:jc w:val="center"/>
      </w:pPr>
      <w:r>
        <w:rPr>
          <w:rFonts w:ascii="Arial" w:cs="Arial" w:eastAsia="Arial" w:hAnsi="Arial"/>
          <w:i/>
          <w:iCs/>
          <w:color w:val="475569"/>
          <w:sz w:val="18"/>
          <w:szCs w:val="18"/>
        </w:rPr>
        <w:t xml:space="preserve">Jay Gutierrez, PhD  ·  Graph Analytics and Network Science Lead  ·  SCF #41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120" w:after="0"/>
    </w:pPr>
    <w:r>
      <w:rPr>
        <w:rFonts w:ascii="Arial" w:cs="Arial" w:eastAsia="Arial" w:hAnsi="Arial"/>
        <w:color w:val="475569"/>
        <w:sz w:val="16"/>
        <w:szCs w:val="16"/>
      </w:rPr>
      <w:t xml:space="preserve">SCF #41 · Confidential Working Document · February 2026</w:t>
    </w:r>
    <w:r>
      <w:rPr>
        <w:rFonts w:ascii="Arial" w:cs="Arial" w:eastAsia="Arial" w:hAnsi="Arial"/>
        <w:color w:val="475569"/>
        <w:sz w:val="16"/>
        <w:szCs w:val="16"/>
      </w:rPr>
      <w:t xml:space="preserve">   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before="0" w:after="120"/>
      <w:jc w:val="right"/>
    </w:pPr>
    <w:r>
      <w:rPr>
        <w:rFonts w:ascii="Arial" w:cs="Arial" w:eastAsia="Arial" w:hAnsi="Arial"/>
        <w:color w:val="475569"/>
        <w:sz w:val="18"/>
        <w:szCs w:val="18"/>
      </w:rPr>
      <w:t xml:space="preserve">PG Atlas: Graph Intelligence Prototype Report  </w:t>
    </w:r>
    <w:r>
      <w:rPr>
        <w:rFonts w:ascii="Arial" w:cs="Arial" w:eastAsia="Arial" w:hAnsi="Arial"/>
        <w:b/>
        <w:bCs/>
        <w:color w:val="1B3A5C"/>
        <w:sz w:val="18"/>
        <w:szCs w:val="18"/>
      </w:rPr>
      <w:t xml:space="preserve">·  Jay Gutierrez, PhD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579cf9624c87bcb0e2e408fe84b0c8c0c96a87b.png"/><Relationship Id="rId9" Type="http://schemas.openxmlformats.org/officeDocument/2006/relationships/image" Target="media/81b2b78d7a0dbfe0022d0175c18fa51f1c9bd0d1.png"/><Relationship Id="rId10" Type="http://schemas.openxmlformats.org/officeDocument/2006/relationships/image" Target="media/56a90edfeef53e9f1a666086fa656ab191c1cc48.png"/><Relationship Id="rId11" Type="http://schemas.openxmlformats.org/officeDocument/2006/relationships/image" Target="media/4639718d2d3709db7d3822d14b085bc5a462abab.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2026-02-25T01:01:29.881Z</dcterms:created>
  <dcterms:modified xsi:type="dcterms:W3CDTF">2026-02-25T01:01:29.898Z</dcterms:modified>
</cp:coreProperties>
</file>

<file path=docProps/custom.xml><?xml version="1.0" encoding="utf-8"?>
<Properties xmlns="http://schemas.openxmlformats.org/officeDocument/2006/custom-properties" xmlns:vt="http://schemas.openxmlformats.org/officeDocument/2006/docPropsVTypes"/>
</file>