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BM Plex Mono" w:cs="IBM Plex Mono" w:eastAsia="IBM Plex Mono" w:hAnsi="IBM Plex Mono"/>
          <w:b/>
          <w:bCs/>
          <w:color w:val="0E2A47"/>
          <w:spacing w:val="40"/>
          <w:sz w:val="17"/>
          <w:szCs w:val="17"/>
        </w:rPr>
        <w:t>GRAPH OF LIFE   |   EVOFORECAST                                        DECISION BRIEF · 21 JUL 2026</w:t>
      </w:r>
      <w:r>
        <w:rPr>
          <w:rFonts w:ascii="IBM Plex Mono" w:cs="IBM Plex Mono" w:eastAsia="IBM Plex Mono" w:hAnsi="IBM Plex Mono"/>
          <w:color w:val="D7DEE2"/>
          <w:sz w:val="17"/>
          <w:szCs w:val="17"/>
        </w:rPr>
      </w:r>
      <w:r>
        <w:rPr>
          <w:rFonts w:ascii="IBM Plex Mono" w:cs="IBM Plex Mono" w:eastAsia="IBM Plex Mono" w:hAnsi="IBM Plex Mono"/>
          <w:b/>
          <w:bCs/>
          <w:color w:val="0E7A70"/>
          <w:spacing w:val="40"/>
          <w:sz w:val="17"/>
          <w:szCs w:val="17"/>
        </w:rPr>
      </w:r>
      <w:r>
        <w:rPr>
          <w:rFonts w:ascii="IBM Plex Mono" w:cs="IBM Plex Mono" w:eastAsia="IBM Plex Mono" w:hAnsi="IBM Plex Mono"/>
          <w:color w:val="5C6E78"/>
          <w:sz w:val="13"/>
          <w:szCs w:val="13"/>
        </w:rPr>
      </w:r>
    </w:p>
    <w:p>
      <w:pPr>
        <w:pBdr>
          <w:bottom w:val="single" w:color="1AA89B" w:sz="12" w:space="4"/>
        </w:pBdr>
        <w:spacing w:after="160"/>
      </w:pPr>
      <w:r>
        <w:t xml:space="preserve"/>
      </w:r>
    </w:p>
    <w:p>
      <w:pPr>
        <w:spacing w:after="100"/>
      </w:pPr>
      <w:r>
        <w:rPr>
          <w:rFonts w:ascii="IBM Plex Sans" w:cs="IBM Plex Sans" w:eastAsia="IBM Plex Sans" w:hAnsi="IBM Plex Sans"/>
          <w:b/>
          <w:bCs/>
          <w:color w:val="0E2A47"/>
          <w:sz w:val="40"/>
          <w:szCs w:val="40"/>
        </w:rPr>
        <w:t>Rehearse the experiment before you commit to it</w:t>
      </w:r>
    </w:p>
    <w:p>
      <w:pPr>
        <w:spacing w:after="170"/>
      </w:pPr>
      <w:r>
        <w:rPr>
          <w:rFonts w:ascii="IBM Plex Sans" w:cs="IBM Plex Sans" w:eastAsia="IBM Plex Sans" w:hAnsi="IBM Plex Sans"/>
          <w:color w:val="243B4A"/>
          <w:sz w:val="22"/>
          <w:szCs w:val="22"/>
        </w:rPr>
        <w:t xml:space="preserve">A synthetic wind tunnel for evolution-prediction programmes. It runs the whole study in software where the true outcome is known by construction, hides that outcome, takes blind forecasts from competing measurement designs, and scores them before the first real sample is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E2A47" w:val="clear"/>
            <w:tcMar>
              <w:top w:type="dxa" w:w="130"/>
              <w:left w:type="dxa" w:w="150"/>
              <w:bottom w:type="dxa" w:w="130"/>
              <w:right w:type="dxa" w:w="150"/>
            </w:tcMar>
          </w:tcPr>
          <w:p>
            <w:pPr>
              <w:spacing w:after="30"/>
            </w:pPr>
            <w:r>
              <w:rPr>
                <w:rFonts w:ascii="IBM Plex Mono" w:cs="IBM Plex Mono" w:eastAsia="IBM Plex Mono" w:hAnsi="IBM Plex Mono"/>
                <w:b/>
                <w:bCs/>
                <w:color w:val="3AD6A3"/>
                <w:sz w:val="26"/>
                <w:szCs w:val="26"/>
              </w:rPr>
              <w:t>5,600 / 5,600</w:t>
              <w:br/>
              <w:t>simulated runs completed successfully</w:t>
            </w:r>
          </w:p>
        </w:tc>
        <w:tc>
          <w:tcPr>
            <w:tcW w:type="dxa" w:w="3120"/>
            <w:shd w:fill="0E2A47" w:val="clear"/>
            <w:tcMar>
              <w:top w:type="dxa" w:w="130"/>
              <w:left w:type="dxa" w:w="150"/>
              <w:bottom w:type="dxa" w:w="130"/>
              <w:right w:type="dxa" w:w="150"/>
            </w:tcMar>
          </w:tcPr>
          <w:p>
            <w:pPr>
              <w:spacing w:after="30"/>
            </w:pPr>
            <w:r>
              <w:rPr>
                <w:rFonts w:ascii="IBM Plex Mono" w:cs="IBM Plex Mono" w:eastAsia="IBM Plex Mono" w:hAnsi="IBM Plex Mono"/>
                <w:b/>
                <w:bCs/>
                <w:color w:val="3AD6A3"/>
                <w:sz w:val="26"/>
                <w:szCs w:val="26"/>
              </w:rPr>
              <w:t xml:space="preserve">0 / 60</w:t>
            </w:r>
          </w:p>
          <w:p>
            <w:r>
              <w:rPr>
                <w:rFonts w:ascii="IBM Plex Sans" w:cs="IBM Plex Sans" w:eastAsia="IBM Plex Sans" w:hAnsi="IBM Plex Sans"/>
                <w:color w:val="EAF1F1"/>
                <w:sz w:val="14"/>
                <w:szCs w:val="14"/>
              </w:rPr>
              <w:t xml:space="preserve">forward-looking cells cleared the gate</w:t>
            </w:r>
          </w:p>
        </w:tc>
        <w:tc>
          <w:tcPr>
            <w:tcW w:type="dxa" w:w="3120"/>
            <w:shd w:fill="0E2A47" w:val="clear"/>
            <w:tcMar>
              <w:top w:type="dxa" w:w="130"/>
              <w:left w:type="dxa" w:w="150"/>
              <w:bottom w:type="dxa" w:w="130"/>
              <w:right w:type="dxa" w:w="150"/>
            </w:tcMar>
          </w:tcPr>
          <w:p>
            <w:pPr>
              <w:spacing w:after="30"/>
            </w:pPr>
            <w:r>
              <w:rPr>
                <w:rFonts w:ascii="IBM Plex Mono" w:cs="IBM Plex Mono" w:eastAsia="IBM Plex Mono" w:hAnsi="IBM Plex Mono"/>
                <w:b/>
                <w:bCs/>
                <w:color w:val="3AD6A3"/>
                <w:sz w:val="26"/>
                <w:szCs w:val="26"/>
              </w:rPr>
              <w:t xml:space="preserve">0 / 120</w:t>
            </w:r>
          </w:p>
          <w:p>
            <w:r>
              <w:rPr>
                <w:rFonts w:ascii="IBM Plex Sans" w:cs="IBM Plex Sans" w:eastAsia="IBM Plex Sans" w:hAnsi="IBM Plex Sans"/>
                <w:color w:val="EAF1F1"/>
                <w:sz w:val="14"/>
                <w:szCs w:val="14"/>
              </w:rPr>
              <w:t xml:space="preserve">experiment plans robustly best</w:t>
            </w:r>
          </w:p>
        </w:tc>
      </w:tr>
    </w:tbl>
    <w:p>
      <w:pPr>
        <w:spacing w:after="60"/>
      </w:pPr>
      <w:r>
        <w:t xml:space="preserve"/>
      </w:r>
    </w:p>
    <w:p>
      <w:pPr>
        <w:keepNext/>
        <w:pBdr>
          <w:top w:val="single" w:color="D7DEE2" w:sz="6" w:space="6"/>
        </w:pBdr>
        <w:spacing w:after="90" w:before="200"/>
      </w:pPr>
      <w:r>
        <w:rPr>
          <w:rFonts w:ascii="IBM Plex Sans" w:cs="IBM Plex Sans" w:eastAsia="IBM Plex Sans" w:hAnsi="IBM Plex Sans"/>
          <w:b/>
          <w:bCs/>
          <w:color w:val="0E2A47"/>
          <w:sz w:val="23"/>
          <w:szCs w:val="23"/>
        </w:rPr>
        <w:t xml:space="preserve">The risk that sits upstream of every model</w:t>
      </w:r>
    </w:p>
    <w:p>
      <w:pPr>
        <w:spacing w:after="110" w:line="264"/>
      </w:pPr>
      <w:r>
        <w:rPr>
          <w:rFonts w:ascii="IBM Plex Sans" w:cs="IBM Plex Sans" w:eastAsia="IBM Plex Sans" w:hAnsi="IBM Plex Sans"/>
          <w:color w:val="243B4A"/>
          <w:sz w:val="19"/>
          <w:szCs w:val="19"/>
        </w:rPr>
        <w:t>A programme can buy more sequencing, more time points, and more replicates while leaving two forecasting designs indistinguishable. Averages hide the failure that matters. A model can post a strong mean error and still miss often enough to fail at the moment of decision. This artifact uses tens of millions of US dollars as illustrative programme scale. At that scale, waiting for field data can lock the design before the comparison is resolved. This design problem is cheapest to solve before anyone collects a sample.</w:t>
      </w:r>
    </w:p>
    <w:p>
      <w:pPr>
        <w:keepNext/>
        <w:pBdr>
          <w:top w:val="single" w:color="D7DEE2" w:sz="6" w:space="6"/>
        </w:pBdr>
        <w:spacing w:after="90" w:before="200"/>
      </w:pPr>
      <w:r>
        <w:rPr>
          <w:rFonts w:ascii="IBM Plex Sans" w:cs="IBM Plex Sans" w:eastAsia="IBM Plex Sans" w:hAnsi="IBM Plex Sans"/>
          <w:b/>
          <w:bCs/>
          <w:color w:val="0E2A47"/>
          <w:sz w:val="23"/>
          <w:szCs w:val="23"/>
        </w:rPr>
        <w:t xml:space="preserve">What the engine does</w:t>
      </w:r>
    </w:p>
    <w:p>
      <w:pPr>
        <w:spacing w:after="110" w:line="264"/>
      </w:pPr>
      <w:r>
        <w:rPr>
          <w:rFonts w:ascii="IBM Plex Sans" w:cs="IBM Plex Sans" w:eastAsia="IBM Plex Sans" w:hAnsi="IBM Plex Sans"/>
          <w:color w:val="243B4A"/>
          <w:sz w:val="19"/>
          <w:szCs w:val="19"/>
        </w:rPr>
        <w:t>The engine builds a simulated world where the true evolutionary outcome is fixed by construction, then seals it. Competing measurement designs receive registered data packages and modeled-resource allowances. They deposit forecasts before reveal. The harness then scores every deposit on the same footing, covering accuracy, calibration of stated uncertainty, and whether design rankings survive perturbation.</w:t>
      </w:r>
    </w:p>
    <w:p>
      <w:pPr>
        <w:spacing w:after="110" w:line="264"/>
      </w:pPr>
      <w:r>
        <w:rPr>
          <w:rFonts w:ascii="IBM Plex Sans" w:cs="IBM Plex Sans" w:eastAsia="IBM Plex Sans" w:hAnsi="IBM Plex Sans"/>
          <w:color w:val="243B4A"/>
          <w:sz w:val="19"/>
          <w:szCs w:val="19"/>
        </w:rPr>
        <w:t>It returns three answers that become irrecoverable once collection begins. It shows whether rival designs can be told apart at an affordable sample size. It reveals which added measurement makes those designs distinguishable, a property called identifiability. It also returns a redesign decision when the evidence remains weak. A round that ends in redesign has done its job.</w:t>
      </w:r>
    </w:p>
    <w:p>
      <w:pPr>
        <w:keepNext/>
        <w:pBdr>
          <w:top w:val="single" w:color="D7DEE2" w:sz="6" w:space="6"/>
        </w:pBdr>
        <w:spacing w:after="90" w:before="200"/>
      </w:pPr>
      <w:r>
        <w:rPr>
          <w:rFonts w:ascii="IBM Plex Sans" w:cs="IBM Plex Sans" w:eastAsia="IBM Plex Sans" w:hAnsi="IBM Plex Sans"/>
          <w:b/>
          <w:bCs/>
          <w:color w:val="0E2A47"/>
          <w:sz w:val="23"/>
          <w:szCs w:val="23"/>
        </w:rPr>
        <w:t xml:space="preserve">What the current evidence shows</w:t>
      </w:r>
    </w:p>
    <w:p>
      <w:pPr>
        <w:spacing w:after="110" w:line="264"/>
      </w:pPr>
      <w:r>
        <w:rPr>
          <w:rFonts w:ascii="IBM Plex Sans" w:cs="IBM Plex Sans" w:eastAsia="IBM Plex Sans" w:hAnsi="IBM Plex Sans"/>
          <w:color w:val="243B4A"/>
          <w:sz w:val="19"/>
          <w:szCs w:val="19"/>
        </w:rPr>
        <w:t>The frozen round completed 5,600 of 5,600 simulated runs successfully. The genome-plus-phenome track, which combines genetic information with measured traits, improved mean accuracy by 47.5 percent over the pedigree baseline, aggregated across 35 contexts. Its nominal 90 percent interval covered 80 percent of held-out values. The feedback track added 0.0 percent beyond genome plus phenome. Zero of 60 forward-looking cells reached the 50 percent combined gate. One of 80 cells reached it, a day-90 nowcast at 52.5 percent. Zero of 80 were robust. Zero of 120 experiment plans were robustly best. The favorable control returned +17.0 percent and the matched adverse control returned -9.2 percent. Both are marker-encoded software controls.</w:t>
      </w:r>
    </w:p>
    <w:p>
      <w:pPr>
        <w:pBdr>
          <w:left w:val="single" w:color="0F8059" w:sz="18" w:space="10"/>
        </w:pBdr>
        <w:spacing w:after="120"/>
        <w:ind w:left="160"/>
      </w:pPr>
      <w:r>
        <w:rPr>
          <w:rFonts w:ascii="IBM Plex Sans" w:cs="IBM Plex Sans" w:eastAsia="IBM Plex Sans" w:hAnsi="IBM Plex Sans"/>
          <w:b/>
          <w:bCs/>
          <w:color w:val="0E2A47"/>
          <w:sz w:val="19"/>
          <w:szCs w:val="19"/>
        </w:rPr>
        <w:t>The clean run gives a clear instruction. Delay scale-up and design a stronger test.</w:t>
      </w:r>
    </w:p>
    <w:p>
      <w:pPr>
        <w:keepNext/>
        <w:pBdr>
          <w:top w:val="single" w:color="D7DEE2" w:sz="6" w:space="6"/>
        </w:pBdr>
        <w:spacing w:after="90" w:before="200"/>
      </w:pPr>
      <w:r>
        <w:rPr>
          <w:rFonts w:ascii="IBM Plex Sans" w:cs="IBM Plex Sans" w:eastAsia="IBM Plex Sans" w:hAnsi="IBM Plex Sans"/>
          <w:b/>
          <w:bCs/>
          <w:color w:val="0E2A47"/>
          <w:sz w:val="23"/>
          <w:szCs w:val="23"/>
        </w:rPr>
        <w:t>Why this result can support a decision</w:t>
      </w:r>
    </w:p>
    <w:p>
      <w:pPr>
        <w:spacing w:after="110" w:line="264"/>
      </w:pPr>
      <w:r>
        <w:rPr>
          <w:rFonts w:ascii="IBM Plex Sans" w:cs="IBM Plex Sans" w:eastAsia="IBM Plex Sans" w:hAnsi="IBM Plex Sans"/>
          <w:color w:val="243B4A"/>
          <w:sz w:val="19"/>
          <w:szCs w:val="19"/>
        </w:rPr>
        <w:t>Every displayed statistic points to a frozen source row and a recorded SHA-256 fingerprint. The browser is a lookup surface. Forecasting, model fitting, simulation, scoring, and access to latent truth stay upstream. The favorable and adverse controls move in opposite directions, showing that the workflow can expose failure.</w:t>
      </w:r>
    </w:p>
    <w:p>
      <w:pPr>
        <w:spacing w:after="110" w:line="264"/>
      </w:pPr>
      <w:r>
        <w:rPr>
          <w:rFonts w:ascii="IBM Plex Sans" w:cs="IBM Plex Sans" w:eastAsia="IBM Plex Sans" w:hAnsi="IBM Plex Sans"/>
          <w:color w:val="243B4A"/>
          <w:sz w:val="19"/>
          <w:szCs w:val="19"/>
        </w:rPr>
        <w:t>SLiM 5.2 is the registered trajectory engine for this round. The surrounding harness is engine-agnostic, and other evolutionary simulators are under evaluation. Ecological network work in a population context is a development direction for later rounds.</w:t>
      </w:r>
    </w:p>
    <w:p>
      <w:pPr>
        <w:keepNext/>
        <w:pBdr>
          <w:top w:val="single" w:color="D7DEE2" w:sz="6" w:space="6"/>
        </w:pBdr>
        <w:spacing w:after="90" w:before="200"/>
      </w:pPr>
      <w:r>
        <w:rPr>
          <w:rFonts w:ascii="IBM Plex Sans" w:cs="IBM Plex Sans" w:eastAsia="IBM Plex Sans" w:hAnsi="IBM Plex Sans"/>
          <w:b/>
          <w:bCs/>
          <w:color w:val="0E2A47"/>
          <w:sz w:val="23"/>
          <w:szCs w:val="23"/>
        </w:rPr>
        <w:t xml:space="preserve">Where it plugs into a resilience portfolio</w:t>
      </w:r>
    </w:p>
    <w:p>
      <w:pPr>
        <w:spacing w:after="110" w:line="264"/>
      </w:pPr>
      <w:r>
        <w:rPr>
          <w:rFonts w:ascii="IBM Plex Sans" w:cs="IBM Plex Sans" w:eastAsia="IBM Plex Sans" w:hAnsi="IBM Plex Sans"/>
          <w:color w:val="243B4A"/>
          <w:sz w:val="19"/>
          <w:szCs w:val="19"/>
        </w:rPr>
        <w:t>The wind tunnel is an early design stage ahead of field seasons, facilities, and staff. Before several teams commit to a shared measurement standard, it can show whether that standard would let them distinguish their forecasts.</w:t>
      </w:r>
    </w:p>
    <w:p>
      <w:pPr>
        <w:spacing w:after="110" w:line="264"/>
      </w:pPr>
      <w:r>
        <w:rPr>
          <w:rFonts w:ascii="IBM Plex Sans" w:cs="IBM Plex Sans" w:eastAsia="IBM Plex Sans" w:hAnsi="IBM Plex Sans"/>
          <w:color w:val="243B4A"/>
          <w:sz w:val="19"/>
          <w:szCs w:val="19"/>
        </w:rPr>
        <w:t>A new interactive view exposes all 32 registered trajectories in one Study E persistence cell. Each vessel starts with the same 80 grazers and eight immutable founders. All retain grazers through day 90, while standing selection produces different population and founder histories. That distribution makes the forecasting problem tangible. The broader instrument then compares modeled resource use with forecast value and shows when a data layer changes accuracy, identifiability, or both.</w:t>
      </w:r>
    </w:p>
    <w:p>
      <w:pPr>
        <w:keepNext/>
        <w:pBdr>
          <w:top w:val="single" w:color="D7DEE2" w:sz="6" w:space="6"/>
        </w:pBdr>
        <w:spacing w:after="90" w:before="200"/>
      </w:pPr>
      <w:r>
        <w:rPr>
          <w:rFonts w:ascii="IBM Plex Sans" w:cs="IBM Plex Sans" w:eastAsia="IBM Plex Sans" w:hAnsi="IBM Plex Sans"/>
          <w:b/>
          <w:bCs/>
          <w:color w:val="0E2A47"/>
          <w:sz w:val="23"/>
          <w:szCs w:val="23"/>
        </w:rPr>
        <w:t xml:space="preserve">The bounded next step</w:t>
      </w:r>
    </w:p>
    <w:p>
      <w:pPr>
        <w:spacing w:after="110" w:line="264"/>
      </w:pPr>
      <w:r>
        <w:rPr>
          <w:rFonts w:ascii="IBM Plex Sans" w:cs="IBM Plex Sans" w:eastAsia="IBM Plex Sans" w:hAnsi="IBM Plex Sans"/>
          <w:color w:val="243B4A"/>
          <w:sz w:val="19"/>
          <w:szCs w:val="19"/>
        </w:rPr>
        <w:t>One candidate keystone organism. One contained stressor. One spendable budget in US dollars. One outcome sealed until scoring. Rehearse the design, then run the smallest real round that can estimate calibration and forecast accuracy under an independent reveal. A later contained round can test whether a targeted intervention improves resilience. Interacting species, spatial structure, small model ecosystems, and molecular layers expand after the forecast layer earns trust.</w:t>
      </w:r>
    </w:p>
    <w:p>
      <w:pPr>
        <w:keepNext/>
        <w:pBdr>
          <w:top w:val="single" w:color="D7DEE2" w:sz="6" w:space="6"/>
        </w:pBdr>
        <w:spacing w:after="90" w:before="200"/>
      </w:pPr>
      <w:r>
        <w:rPr>
          <w:rFonts w:ascii="IBM Plex Sans" w:cs="IBM Plex Sans" w:eastAsia="IBM Plex Sans" w:hAnsi="IBM Plex Sans"/>
          <w:b/>
          <w:bCs/>
          <w:color w:val="0E2A47"/>
          <w:sz w:val="23"/>
          <w:szCs w:val="23"/>
        </w:rPr>
        <w:t xml:space="preserve">What we would need from you</w:t>
      </w:r>
    </w:p>
    <w:p>
      <w:pPr>
        <w:pStyle w:val="ListParagraph"/>
        <w:numPr>
          <w:ilvl w:val="0"/>
          <w:numId w:val="2"/>
        </w:numPr>
        <w:spacing w:after="60" w:line="258"/>
      </w:pPr>
      <w:r>
        <w:rPr>
          <w:rFonts w:ascii="IBM Plex Sans" w:cs="IBM Plex Sans" w:eastAsia="IBM Plex Sans" w:hAnsi="IBM Plex Sans"/>
          <w:color w:val="243B4A"/>
          <w:sz w:val="19"/>
          <w:szCs w:val="19"/>
        </w:rPr>
        <w:t xml:space="preserve">A candidate keystone organism and the resilience outcome that would count as success for it.</w:t>
      </w:r>
    </w:p>
    <w:p>
      <w:pPr>
        <w:pStyle w:val="ListParagraph"/>
        <w:numPr>
          <w:ilvl w:val="0"/>
          <w:numId w:val="2"/>
        </w:numPr>
        <w:spacing w:after="60" w:line="258"/>
      </w:pPr>
      <w:r>
        <w:rPr>
          <w:rFonts w:ascii="IBM Plex Sans" w:cs="IBM Plex Sans" w:eastAsia="IBM Plex Sans" w:hAnsi="IBM Plex Sans"/>
          <w:color w:val="243B4A"/>
          <w:sz w:val="19"/>
          <w:szCs w:val="19"/>
        </w:rPr>
        <w:t xml:space="preserve">A budget ceiling for one real round, so the rehearsal only tests designs that could actually be run.</w:t>
      </w:r>
    </w:p>
    <w:p>
      <w:pPr>
        <w:pStyle w:val="ListParagraph"/>
        <w:numPr>
          <w:ilvl w:val="0"/>
          <w:numId w:val="2"/>
        </w:numPr>
        <w:spacing w:after="60" w:line="258"/>
      </w:pPr>
      <w:r>
        <w:rPr>
          <w:rFonts w:ascii="IBM Plex Sans" w:cs="IBM Plex Sans" w:eastAsia="IBM Plex Sans" w:hAnsi="IBM Plex Sans"/>
          <w:color w:val="243B4A"/>
          <w:sz w:val="19"/>
          <w:szCs w:val="19"/>
        </w:rPr>
        <w:t xml:space="preserve">One held-out challenge, or the authority to hold one out and keep it sealed until reveal.</w:t>
      </w:r>
    </w:p>
    <w:p>
      <w:pPr>
        <w:pStyle w:val="ListParagraph"/>
        <w:numPr>
          <w:ilvl w:val="0"/>
          <w:numId w:val="2"/>
        </w:numPr>
        <w:spacing w:after="60" w:line="258"/>
      </w:pPr>
      <w:r>
        <w:rPr>
          <w:rFonts w:ascii="IBM Plex Sans" w:cs="IBM Plex Sans" w:eastAsia="IBM Plex Sans" w:hAnsi="IBM Plex Sans"/>
          <w:color w:val="243B4A"/>
          <w:sz w:val="19"/>
          <w:szCs w:val="19"/>
        </w:rPr>
        <w:t xml:space="preserve">A technical reviewer permitted to inspect the deposit protocol, the controls, and the frozen record.</w:t>
      </w:r>
    </w:p>
    <w:p>
      <w:pPr>
        <w:pStyle w:val="ListParagraph"/>
        <w:numPr>
          <w:ilvl w:val="0"/>
          <w:numId w:val="2"/>
        </w:numPr>
        <w:spacing w:after="60" w:line="258"/>
      </w:pPr>
      <w:r>
        <w:rPr>
          <w:rFonts w:ascii="IBM Plex Sans" w:cs="IBM Plex Sans" w:eastAsia="IBM Plex Sans" w:hAnsi="IBM Plex Sans"/>
          <w:color w:val="243B4A"/>
          <w:sz w:val="19"/>
          <w:szCs w:val="19"/>
        </w:rPr>
        <w:t xml:space="preserve">The gate values you would accept as pass or fail, agreed and written down before the round starts.</w:t>
      </w:r>
    </w:p>
    <w:p>
      <w:pPr>
        <w:spacing w:after="90" w:before="150"/>
      </w:pPr>
      <w:r>
        <w:rPr>
          <w:rFonts w:ascii="IBM Plex Mono" w:cs="IBM Plex Mono" w:eastAsia="IBM Plex Mono" w:hAnsi="IBM Plex Mono"/>
          <w:b/>
          <w:bCs/>
          <w:color w:val="0E7A70"/>
          <w:spacing w:val="20"/>
          <w:sz w:val="15"/>
          <w:szCs w:val="15"/>
        </w:rPr>
        <w:t xml:space="preserve">WALK THE FROZEN ROUND  </w:t>
      </w:r>
      <w:hyperlink w:history="1" r:id="rId2ltabe9_4p1uhmufeekkd">
        <w:r>
          <w:rPr>
            <w:rFonts w:ascii="IBM Plex Mono" w:cs="IBM Plex Mono" w:eastAsia="IBM Plex Mono" w:hAnsi="IBM Plex Mono"/>
            <w:b/>
            <w:bCs/>
            <w:color w:val="1AA89B"/>
            <w:sz w:val="15"/>
            <w:szCs w:val="15"/>
            <w:u w:val="single"/>
          </w:rPr>
          <w:t xml:space="preserve">jaygut.github.io/evoforecast-before-the-experiment</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C2442A" w:sz="18"/>
            </w:tcBorders>
            <w:shd w:fill="E9E1CC" w:val="clear"/>
            <w:tcMar>
              <w:top w:type="dxa" w:w="120"/>
              <w:left w:type="dxa" w:w="150"/>
              <w:bottom w:type="dxa" w:w="120"/>
              <w:right w:type="dxa" w:w="150"/>
            </w:tcMar>
          </w:tcPr>
          <w:p>
            <w:r>
              <w:rPr>
                <w:rFonts w:ascii="IBM Plex Sans" w:cs="IBM Plex Sans" w:eastAsia="IBM Plex Sans" w:hAnsi="IBM Plex Sans"/>
                <w:b/>
                <w:bCs/>
                <w:color w:val="0E2A47"/>
                <w:sz w:val="17"/>
                <w:szCs w:val="17"/>
              </w:rPr>
              <w:t>Claim boundary. All evidence is synthetic and within-model. Real-organism forecast skill, real DNA predictive value, out-of-distribution transfer, and intervention efficacy await empirical testing. Independent review precedes any operational, partnership, or funding claim.</w:t>
            </w:r>
            <w:r>
              <w:rPr>
                <w:rFonts w:ascii="IBM Plex Sans" w:cs="IBM Plex Sans" w:eastAsia="IBM Plex Sans" w:hAnsi="IBM Plex Sans"/>
                <w:color w:val="243B4A"/>
                <w:sz w:val="17"/>
                <w:szCs w:val="17"/>
              </w:rPr>
            </w:r>
          </w:p>
        </w:tc>
      </w:tr>
    </w:tbl>
    <w:tbl>
      <w:tblPr>
        <w:tblW w:type="auto" w:w="0"/>
        <w:tblLook w:firstColumn="1" w:firstRow="1" w:lastColumn="0" w:lastRow="0" w:noHBand="0" w:noVBand="1" w:val="04A0"/>
      </w:tblPr>
      <w:tblGrid>
        <w:gridCol w:w="4896"/>
        <w:gridCol w:w="4896"/>
      </w:tblGrid>
      <w:tr>
        <w:tc>
          <w:tcPr>
            <w:tcW w:type="dxa" w:w="4896"/>
          </w:tcPr>
          <w:p>
            <w:r>
              <w:t>Jay Gutierrez, PhD</w:t>
              <w:br/>
              <w:t>Built through GraphOfLife across ecological network science, graph intelligence, evolutionary forecasting, nature-finance translation, and structural-risk publishing.</w:t>
            </w:r>
          </w:p>
        </w:tc>
        <w:tc>
          <w:tcPr>
            <w:tcW w:type="dxa" w:w="4896"/>
          </w:tcPr>
          <w:p>
            <w:r>
              <w:t>CONTACT</w:t>
              <w:br/>
              <w:t>jg@graphoflife.com</w:t>
              <w:br/>
              <w:t>biome-translator.emergent.host</w:t>
            </w:r>
          </w:p>
        </w:tc>
      </w:tr>
    </w:tbl>
    <w:sectPr>
      <w:pgSz w:w="12240" w:h="15840" w:orient="portrait"/>
      <w:pgMar w:top="1008" w:right="1224" w:bottom="863"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243B4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ltabe9_4p1uhmufeekkd" Type="http://schemas.openxmlformats.org/officeDocument/2006/relationships/hyperlink" Target="https://jaygut.github.io/evoforecast-before-the-experiment/"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EvoForecast decision brief</dc:title>
  <dc:creator>Graph of Life</dc:creator>
  <cp:lastModifiedBy>Un-named</cp:lastModifiedBy>
  <cp:revision>1</cp:revision>
  <dcterms:created xsi:type="dcterms:W3CDTF">2026-07-21T04:01:38.475Z</dcterms:created>
  <dcterms:modified xsi:type="dcterms:W3CDTF">2026-07-21T04:01:38Z</dcterms:modified>
</cp:coreProperties>
</file>

<file path=docProps/custom.xml><?xml version="1.0" encoding="utf-8"?>
<Properties xmlns="http://schemas.openxmlformats.org/officeDocument/2006/custom-properties" xmlns:vt="http://schemas.openxmlformats.org/officeDocument/2006/docPropsVTypes"/>
</file>