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IBM Plex Mono" w:cs="IBM Plex Mono" w:eastAsia="IBM Plex Mono" w:hAnsi="IBM Plex Mono"/>
          <w:b/>
          <w:bCs/>
          <w:color w:val="0E2A47"/>
          <w:spacing w:val="40"/>
          <w:sz w:val="17"/>
          <w:szCs w:val="17"/>
        </w:rPr>
        <w:t xml:space="preserve">GRAPH OF LIFE</w:t>
      </w:r>
      <w:r>
        <w:rPr>
          <w:rFonts w:ascii="IBM Plex Mono" w:cs="IBM Plex Mono" w:eastAsia="IBM Plex Mono" w:hAnsi="IBM Plex Mono"/>
          <w:color w:val="D7DEE2"/>
          <w:sz w:val="17"/>
          <w:szCs w:val="17"/>
        </w:rPr>
        <w:t xml:space="preserve">   |   </w:t>
      </w:r>
      <w:r>
        <w:rPr>
          <w:rFonts w:ascii="IBM Plex Mono" w:cs="IBM Plex Mono" w:eastAsia="IBM Plex Mono" w:hAnsi="IBM Plex Mono"/>
          <w:b/>
          <w:bCs/>
          <w:color w:val="0E7A70"/>
          <w:spacing w:val="40"/>
          <w:sz w:val="17"/>
          <w:szCs w:val="17"/>
        </w:rPr>
        <w:t xml:space="preserve">EVOFORECAST</w:t>
      </w:r>
      <w:r>
        <w:rPr>
          <w:rFonts w:ascii="IBM Plex Mono" w:cs="IBM Plex Mono" w:eastAsia="IBM Plex Mono" w:hAnsi="IBM Plex Mono"/>
          <w:color w:val="5C6E78"/>
          <w:sz w:val="13"/>
          <w:szCs w:val="13"/>
        </w:rPr>
        <w:t xml:space="preserve">                                        DECISION BRIEF · 20 JUL 2026</w:t>
      </w:r>
    </w:p>
    <w:p>
      <w:pPr>
        <w:pBdr>
          <w:bottom w:val="single" w:color="1AA89B" w:sz="12" w:space="4"/>
        </w:pBdr>
        <w:spacing w:after="160"/>
      </w:pPr>
      <w:r>
        <w:t xml:space="preserve"/>
      </w:r>
    </w:p>
    <w:p>
      <w:pPr>
        <w:spacing w:after="100"/>
      </w:pPr>
      <w:r>
        <w:rPr>
          <w:rFonts w:ascii="IBM Plex Sans" w:cs="IBM Plex Sans" w:eastAsia="IBM Plex Sans" w:hAnsi="IBM Plex Sans"/>
          <w:b/>
          <w:bCs/>
          <w:color w:val="0E2A47"/>
          <w:sz w:val="40"/>
          <w:szCs w:val="40"/>
        </w:rPr>
        <w:t xml:space="preserve">Rehearse the experiment before you fund it</w:t>
      </w:r>
    </w:p>
    <w:p>
      <w:pPr>
        <w:spacing w:after="170"/>
      </w:pPr>
      <w:r>
        <w:rPr>
          <w:rFonts w:ascii="IBM Plex Sans" w:cs="IBM Plex Sans" w:eastAsia="IBM Plex Sans" w:hAnsi="IBM Plex Sans"/>
          <w:color w:val="243B4A"/>
          <w:sz w:val="22"/>
          <w:szCs w:val="22"/>
        </w:rPr>
        <w:t xml:space="preserve">A synthetic wind tunnel for evolution-prediction programmes. It runs the whole study in software where the true outcome is known by construction, hides that outcome, takes blind forecasts from competing measurement designs, and scores them before the first real sample is collected.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5,600 / 5,600</w:t>
            </w:r>
          </w:p>
          <w:p>
            <w:r>
              <w:rPr>
                <w:rFonts w:ascii="IBM Plex Sans" w:cs="IBM Plex Sans" w:eastAsia="IBM Plex Sans" w:hAnsi="IBM Plex Sans"/>
                <w:color w:val="EAF1F1"/>
                <w:sz w:val="14"/>
                <w:szCs w:val="14"/>
              </w:rPr>
              <w:t xml:space="preserve">simulated runs completed, none failed</w:t>
            </w:r>
          </w:p>
        </w:tc>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0 / 60</w:t>
            </w:r>
          </w:p>
          <w:p>
            <w:r>
              <w:rPr>
                <w:rFonts w:ascii="IBM Plex Sans" w:cs="IBM Plex Sans" w:eastAsia="IBM Plex Sans" w:hAnsi="IBM Plex Sans"/>
                <w:color w:val="EAF1F1"/>
                <w:sz w:val="14"/>
                <w:szCs w:val="14"/>
              </w:rPr>
              <w:t xml:space="preserve">forward-looking cells cleared the gate</w:t>
            </w:r>
          </w:p>
        </w:tc>
        <w:tc>
          <w:tcPr>
            <w:tcW w:type="dxa" w:w="3120"/>
            <w:shd w:fill="0E2A47" w:val="clear"/>
            <w:tcMar>
              <w:top w:type="dxa" w:w="130"/>
              <w:left w:type="dxa" w:w="150"/>
              <w:bottom w:type="dxa" w:w="130"/>
              <w:right w:type="dxa" w:w="150"/>
            </w:tcMar>
          </w:tcPr>
          <w:p>
            <w:pPr>
              <w:spacing w:after="30"/>
            </w:pPr>
            <w:r>
              <w:rPr>
                <w:rFonts w:ascii="IBM Plex Mono" w:cs="IBM Plex Mono" w:eastAsia="IBM Plex Mono" w:hAnsi="IBM Plex Mono"/>
                <w:b/>
                <w:bCs/>
                <w:color w:val="3AD6A3"/>
                <w:sz w:val="26"/>
                <w:szCs w:val="26"/>
              </w:rPr>
              <w:t xml:space="preserve">0 / 120</w:t>
            </w:r>
          </w:p>
          <w:p>
            <w:r>
              <w:rPr>
                <w:rFonts w:ascii="IBM Plex Sans" w:cs="IBM Plex Sans" w:eastAsia="IBM Plex Sans" w:hAnsi="IBM Plex Sans"/>
                <w:color w:val="EAF1F1"/>
                <w:sz w:val="14"/>
                <w:szCs w:val="14"/>
              </w:rPr>
              <w:t xml:space="preserve">experiment plans robustly best</w:t>
            </w:r>
          </w:p>
        </w:tc>
      </w:tr>
    </w:tbl>
    <w:p>
      <w:pPr>
        <w:spacing w:after="60"/>
      </w:pPr>
      <w:r>
        <w:t xml:space="preserve"/>
      </w:r>
    </w:p>
    <w:p>
      <w:pPr>
        <w:pBdr>
          <w:top w:val="single" w:color="D7DEE2" w:sz="6" w:space="6"/>
        </w:pBdr>
        <w:spacing w:after="90" w:before="200"/>
      </w:pPr>
      <w:r>
        <w:rPr>
          <w:rFonts w:ascii="IBM Plex Sans" w:cs="IBM Plex Sans" w:eastAsia="IBM Plex Sans" w:hAnsi="IBM Plex Sans"/>
          <w:b/>
          <w:bCs/>
          <w:color w:val="0E2A47"/>
          <w:sz w:val="23"/>
          <w:szCs w:val="23"/>
        </w:rPr>
        <w:t xml:space="preserve">The risk that sits upstream of every model</w:t>
      </w:r>
    </w:p>
    <w:p>
      <w:pPr>
        <w:spacing w:after="110" w:line="264"/>
      </w:pPr>
      <w:r>
        <w:rPr>
          <w:rFonts w:ascii="IBM Plex Sans" w:cs="IBM Plex Sans" w:eastAsia="IBM Plex Sans" w:hAnsi="IBM Plex Sans"/>
          <w:color w:val="243B4A"/>
          <w:sz w:val="19"/>
          <w:szCs w:val="19"/>
        </w:rPr>
        <w:t xml:space="preserve">A programme can buy more sequencing, more time points, and more replicates, and still be unable to say which forecasting design is better. Averages hide the failure that matters. A model can post a strong mean error and still miss often enough that anyone acting on it is wrong at the moment of decision. By the time field data arrive, tens of millions of dollars are committed and the comparison is no longer available to make. This is a design problem, and it is cheapest to solve before anyone collects a sample.</w:t>
      </w:r>
    </w:p>
    <w:p>
      <w:pPr>
        <w:pBdr>
          <w:top w:val="single" w:color="D7DEE2" w:sz="6" w:space="6"/>
        </w:pBdr>
        <w:spacing w:after="90" w:before="200"/>
      </w:pPr>
      <w:r>
        <w:rPr>
          <w:rFonts w:ascii="IBM Plex Sans" w:cs="IBM Plex Sans" w:eastAsia="IBM Plex Sans" w:hAnsi="IBM Plex Sans"/>
          <w:b/>
          <w:bCs/>
          <w:color w:val="0E2A47"/>
          <w:sz w:val="23"/>
          <w:szCs w:val="23"/>
        </w:rPr>
        <w:t xml:space="preserve">What the engine does</w:t>
      </w:r>
    </w:p>
    <w:p>
      <w:pPr>
        <w:spacing w:after="110" w:line="264"/>
      </w:pPr>
      <w:r>
        <w:rPr>
          <w:rFonts w:ascii="IBM Plex Sans" w:cs="IBM Plex Sans" w:eastAsia="IBM Plex Sans" w:hAnsi="IBM Plex Sans"/>
          <w:color w:val="243B4A"/>
          <w:sz w:val="19"/>
          <w:szCs w:val="19"/>
        </w:rPr>
        <w:t xml:space="preserve">The engine builds a simulated world where the true evolutionary outcome is fixed by construction, then hides it. Competing measurement designs, each with a defined budget and data package, produce forecasts and deposit them into a sealed record. Only then does the engine reveal the truth and score every deposit on the same footing, covering accuracy, calibration of stated uncertainty, and whether the ranking between designs survives perturbation.</w:t>
      </w:r>
    </w:p>
    <w:p>
      <w:pPr>
        <w:spacing w:after="110" w:line="264"/>
      </w:pPr>
      <w:r>
        <w:rPr>
          <w:rFonts w:ascii="IBM Plex Sans" w:cs="IBM Plex Sans" w:eastAsia="IBM Plex Sans" w:hAnsi="IBM Plex Sans"/>
          <w:color w:val="243B4A"/>
          <w:sz w:val="19"/>
          <w:szCs w:val="19"/>
        </w:rPr>
        <w:t xml:space="preserve">It returns three answers money cannot buy back later. Whether rival designs can be told apart at the sample size a programme can actually afford. Which added measurement buys identifiability and which is expensive ornament. And when the honest reading is not ready, redesign. A round that ends in redesign has done its job.</w:t>
      </w:r>
    </w:p>
    <w:p>
      <w:pPr>
        <w:pBdr>
          <w:top w:val="single" w:color="D7DEE2" w:sz="6" w:space="6"/>
        </w:pBdr>
        <w:spacing w:after="90" w:before="200"/>
      </w:pPr>
      <w:r>
        <w:rPr>
          <w:rFonts w:ascii="IBM Plex Sans" w:cs="IBM Plex Sans" w:eastAsia="IBM Plex Sans" w:hAnsi="IBM Plex Sans"/>
          <w:b/>
          <w:bCs/>
          <w:color w:val="0E2A47"/>
          <w:sz w:val="23"/>
          <w:szCs w:val="23"/>
        </w:rPr>
        <w:t xml:space="preserve">What the current evidence shows</w:t>
      </w:r>
    </w:p>
    <w:p>
      <w:pPr>
        <w:spacing w:after="110" w:line="264"/>
      </w:pPr>
      <w:r>
        <w:rPr>
          <w:rFonts w:ascii="IBM Plex Sans" w:cs="IBM Plex Sans" w:eastAsia="IBM Plex Sans" w:hAnsi="IBM Plex Sans"/>
          <w:color w:val="243B4A"/>
          <w:sz w:val="19"/>
          <w:szCs w:val="19"/>
        </w:rPr>
        <w:t xml:space="preserve">The frozen round completed 5,600 of 5,600 simulated runs with no failures, and every prediction was deposited before reveal. The richest measurement track improved mean accuracy 47.5 percent over the simplest baseline, aggregated across 35 contexts. Its nominal 90 percent interval covered only 80 percent of held-out values. Adding a feedback track on top of genome plus phenome bought nothing. Zero of 60 forward-looking cells reached the 50 percent combined gate. Zero of 80 were robust. Zero of 120 experiment plans were robustly best. The positive control recovered a planted signal at +17.0 percent, and the matched adverse control came back empty at -9.2 percent. Both are marker-encoded software controls.</w:t>
      </w:r>
    </w:p>
    <w:p>
      <w:pPr>
        <w:pBdr>
          <w:left w:val="single" w:color="0F8059" w:sz="18" w:space="10"/>
        </w:pBdr>
        <w:spacing w:after="120"/>
        <w:ind w:left="160"/>
      </w:pPr>
      <w:r>
        <w:rPr>
          <w:rFonts w:ascii="IBM Plex Sans" w:cs="IBM Plex Sans" w:eastAsia="IBM Plex Sans" w:hAnsi="IBM Plex Sans"/>
          <w:b/>
          <w:bCs/>
          <w:color w:val="0E2A47"/>
          <w:sz w:val="19"/>
          <w:szCs w:val="19"/>
        </w:rPr>
        <w:t xml:space="preserve">That is a clean run reporting do not scale yet. Buying that verdict for the price of compute is the point.</w:t>
      </w:r>
    </w:p>
    <w:p>
      <w:pPr>
        <w:pBdr>
          <w:top w:val="single" w:color="D7DEE2" w:sz="6" w:space="6"/>
        </w:pBdr>
        <w:spacing w:after="90" w:before="200"/>
      </w:pPr>
      <w:r>
        <w:rPr>
          <w:rFonts w:ascii="IBM Plex Sans" w:cs="IBM Plex Sans" w:eastAsia="IBM Plex Sans" w:hAnsi="IBM Plex Sans"/>
          <w:b/>
          <w:bCs/>
          <w:color w:val="0E2A47"/>
          <w:sz w:val="23"/>
          <w:szCs w:val="23"/>
        </w:rPr>
        <w:t xml:space="preserve">Why this is decision-grade</w:t>
      </w:r>
    </w:p>
    <w:p>
      <w:pPr>
        <w:spacing w:after="110" w:line="264"/>
      </w:pPr>
      <w:r>
        <w:rPr>
          <w:rFonts w:ascii="IBM Plex Sans" w:cs="IBM Plex Sans" w:eastAsia="IBM Plex Sans" w:hAnsi="IBM Plex Sans"/>
          <w:color w:val="243B4A"/>
          <w:sz w:val="19"/>
          <w:szCs w:val="19"/>
        </w:rPr>
        <w:t xml:space="preserve">Every number traces to a run identifier, a configuration, and a deposit timestamp. No code path that writes a forecast can also read the truth. Reported artifacts are lookup-only, so each figure is a retrieval from a frozen record rather than a fresh computation with fresh degrees of freedom. Controls are allowed to come back empty, and one did, which is direct evidence the scoring does not manufacture signal.</w:t>
      </w:r>
    </w:p>
    <w:p>
      <w:pPr>
        <w:spacing w:after="110" w:line="264"/>
      </w:pPr>
      <w:r>
        <w:rPr>
          <w:rFonts w:ascii="IBM Plex Sans" w:cs="IBM Plex Sans" w:eastAsia="IBM Plex Sans" w:hAnsi="IBM Plex Sans"/>
          <w:color w:val="243B4A"/>
          <w:sz w:val="19"/>
          <w:szCs w:val="19"/>
        </w:rPr>
        <w:t xml:space="preserve">On engine direction, SLiM 5.2 is the registered trajectory engine for this round. The harness is engine-agnostic and other evolutionary simulators are under evaluation. Ecological network dynamics are being developed in a population context, so eco-evolutionary feedback is represented rather than assumed away.</w:t>
      </w:r>
    </w:p>
    <w:p>
      <w:pPr>
        <w:pBdr>
          <w:top w:val="single" w:color="D7DEE2" w:sz="6" w:space="6"/>
        </w:pBdr>
        <w:spacing w:after="90" w:before="200"/>
      </w:pPr>
      <w:r>
        <w:rPr>
          <w:rFonts w:ascii="IBM Plex Sans" w:cs="IBM Plex Sans" w:eastAsia="IBM Plex Sans" w:hAnsi="IBM Plex Sans"/>
          <w:b/>
          <w:bCs/>
          <w:color w:val="0E2A47"/>
          <w:sz w:val="23"/>
          <w:szCs w:val="23"/>
        </w:rPr>
        <w:t xml:space="preserve">Where it plugs into a resilience portfolio</w:t>
      </w:r>
    </w:p>
    <w:p>
      <w:pPr>
        <w:spacing w:after="110" w:line="264"/>
      </w:pPr>
      <w:r>
        <w:rPr>
          <w:rFonts w:ascii="IBM Plex Sans" w:cs="IBM Plex Sans" w:eastAsia="IBM Plex Sans" w:hAnsi="IBM Plex Sans"/>
          <w:color w:val="243B4A"/>
          <w:sz w:val="19"/>
          <w:szCs w:val="19"/>
        </w:rPr>
        <w:t xml:space="preserve">The wind tunnel is a cheap front stage sitting ahead of the stages that cost field seasons, facilities, and staff. Before a portfolio commits several teams to a shared measurement standard, the wind tunnel can show whether that standard would let anyone tell the teams apart on results.</w:t>
      </w:r>
    </w:p>
    <w:p>
      <w:pPr>
        <w:spacing w:after="110" w:line="264"/>
      </w:pPr>
      <w:r>
        <w:rPr>
          <w:rFonts w:ascii="IBM Plex Sans" w:cs="IBM Plex Sans" w:eastAsia="IBM Plex Sans" w:hAnsi="IBM Plex Sans"/>
          <w:color w:val="243B4A"/>
          <w:sz w:val="19"/>
          <w:szCs w:val="19"/>
        </w:rPr>
        <w:t xml:space="preserve">It also prices measurement. When a data layer moves accuracy without moving identifiability, funding it becomes a choice made with the number in hand. For keystone-leverage work, the same loop asks whether an intervention on one organism produces a change the programme can forecast in advance or only recognise afterwards. And because every design is scored against one held-out challenge under one protocol, work from different groups arrives comparable rather than merely adjacent.</w:t>
      </w:r>
    </w:p>
    <w:p>
      <w:pPr>
        <w:pBdr>
          <w:top w:val="single" w:color="D7DEE2" w:sz="6" w:space="6"/>
        </w:pBdr>
        <w:spacing w:after="90" w:before="200"/>
      </w:pPr>
      <w:r>
        <w:rPr>
          <w:rFonts w:ascii="IBM Plex Sans" w:cs="IBM Plex Sans" w:eastAsia="IBM Plex Sans" w:hAnsi="IBM Plex Sans"/>
          <w:b/>
          <w:bCs/>
          <w:color w:val="0E2A47"/>
          <w:sz w:val="23"/>
          <w:szCs w:val="23"/>
        </w:rPr>
        <w:t xml:space="preserve">The bounded next step</w:t>
      </w:r>
    </w:p>
    <w:p>
      <w:pPr>
        <w:spacing w:after="110" w:line="264"/>
      </w:pPr>
      <w:r>
        <w:rPr>
          <w:rFonts w:ascii="IBM Plex Sans" w:cs="IBM Plex Sans" w:eastAsia="IBM Plex Sans" w:hAnsi="IBM Plex Sans"/>
          <w:color w:val="243B4A"/>
          <w:sz w:val="19"/>
          <w:szCs w:val="19"/>
        </w:rPr>
        <w:t xml:space="preserve">One candidate keystone organism. One spendable budget. One held-out challenge. Rehearse the design in the wind tunnel, then run the smallest real round that can estimate calibration and forecast accuracy under an independent reveal. Only after that round clears every gate does the design stage up to a network of interacting species around the keystone, adding genetic backgrounds, controlled conditions, spatial structure, and small controlled model ecosystems. Molecular layers expand last, after the cheaper layers have earned their place.</w:t>
      </w:r>
    </w:p>
    <w:p>
      <w:pPr>
        <w:pBdr>
          <w:top w:val="single" w:color="D7DEE2" w:sz="6" w:space="6"/>
        </w:pBdr>
        <w:spacing w:after="90" w:before="200"/>
      </w:pPr>
      <w:r>
        <w:rPr>
          <w:rFonts w:ascii="IBM Plex Sans" w:cs="IBM Plex Sans" w:eastAsia="IBM Plex Sans" w:hAnsi="IBM Plex Sans"/>
          <w:b/>
          <w:bCs/>
          <w:color w:val="0E2A47"/>
          <w:sz w:val="23"/>
          <w:szCs w:val="23"/>
        </w:rPr>
        <w:t xml:space="preserve">What we would need from you</w:t>
      </w:r>
    </w:p>
    <w:p>
      <w:pPr>
        <w:pStyle w:val="ListParagraph"/>
        <w:numPr>
          <w:ilvl w:val="0"/>
          <w:numId w:val="2"/>
        </w:numPr>
        <w:spacing w:after="60" w:line="258"/>
      </w:pPr>
      <w:r>
        <w:rPr>
          <w:rFonts w:ascii="IBM Plex Sans" w:cs="IBM Plex Sans" w:eastAsia="IBM Plex Sans" w:hAnsi="IBM Plex Sans"/>
          <w:color w:val="243B4A"/>
          <w:sz w:val="19"/>
          <w:szCs w:val="19"/>
        </w:rPr>
        <w:t xml:space="preserve">A candidate keystone organism and the resilience outcome that would count as success for it.</w:t>
      </w:r>
    </w:p>
    <w:p>
      <w:pPr>
        <w:pStyle w:val="ListParagraph"/>
        <w:numPr>
          <w:ilvl w:val="0"/>
          <w:numId w:val="2"/>
        </w:numPr>
        <w:spacing w:after="60" w:line="258"/>
      </w:pPr>
      <w:r>
        <w:rPr>
          <w:rFonts w:ascii="IBM Plex Sans" w:cs="IBM Plex Sans" w:eastAsia="IBM Plex Sans" w:hAnsi="IBM Plex Sans"/>
          <w:color w:val="243B4A"/>
          <w:sz w:val="19"/>
          <w:szCs w:val="19"/>
        </w:rPr>
        <w:t xml:space="preserve">A budget ceiling for one real round, so the rehearsal only tests designs that could actually be run.</w:t>
      </w:r>
    </w:p>
    <w:p>
      <w:pPr>
        <w:pStyle w:val="ListParagraph"/>
        <w:numPr>
          <w:ilvl w:val="0"/>
          <w:numId w:val="2"/>
        </w:numPr>
        <w:spacing w:after="60" w:line="258"/>
      </w:pPr>
      <w:r>
        <w:rPr>
          <w:rFonts w:ascii="IBM Plex Sans" w:cs="IBM Plex Sans" w:eastAsia="IBM Plex Sans" w:hAnsi="IBM Plex Sans"/>
          <w:color w:val="243B4A"/>
          <w:sz w:val="19"/>
          <w:szCs w:val="19"/>
        </w:rPr>
        <w:t xml:space="preserve">One held-out challenge, or the authority to hold one out and keep it sealed until reveal.</w:t>
      </w:r>
    </w:p>
    <w:p>
      <w:pPr>
        <w:pStyle w:val="ListParagraph"/>
        <w:numPr>
          <w:ilvl w:val="0"/>
          <w:numId w:val="2"/>
        </w:numPr>
        <w:spacing w:after="60" w:line="258"/>
      </w:pPr>
      <w:r>
        <w:rPr>
          <w:rFonts w:ascii="IBM Plex Sans" w:cs="IBM Plex Sans" w:eastAsia="IBM Plex Sans" w:hAnsi="IBM Plex Sans"/>
          <w:color w:val="243B4A"/>
          <w:sz w:val="19"/>
          <w:szCs w:val="19"/>
        </w:rPr>
        <w:t xml:space="preserve">A technical reviewer permitted to inspect the deposit protocol, the controls, and the frozen record.</w:t>
      </w:r>
    </w:p>
    <w:p>
      <w:pPr>
        <w:pStyle w:val="ListParagraph"/>
        <w:numPr>
          <w:ilvl w:val="0"/>
          <w:numId w:val="2"/>
        </w:numPr>
        <w:spacing w:after="60" w:line="258"/>
      </w:pPr>
      <w:r>
        <w:rPr>
          <w:rFonts w:ascii="IBM Plex Sans" w:cs="IBM Plex Sans" w:eastAsia="IBM Plex Sans" w:hAnsi="IBM Plex Sans"/>
          <w:color w:val="243B4A"/>
          <w:sz w:val="19"/>
          <w:szCs w:val="19"/>
        </w:rPr>
        <w:t xml:space="preserve">The gate values you would accept as pass or fail, agreed and written down before the round starts.</w:t>
      </w:r>
    </w:p>
    <w:p>
      <w:pPr>
        <w:spacing w:after="90" w:before="150"/>
      </w:pPr>
      <w:r>
        <w:rPr>
          <w:rFonts w:ascii="IBM Plex Mono" w:cs="IBM Plex Mono" w:eastAsia="IBM Plex Mono" w:hAnsi="IBM Plex Mono"/>
          <w:b/>
          <w:bCs/>
          <w:color w:val="0E7A70"/>
          <w:spacing w:val="20"/>
          <w:sz w:val="15"/>
          <w:szCs w:val="15"/>
        </w:rPr>
        <w:t xml:space="preserve">WALK THE FROZEN ROUND  </w:t>
      </w:r>
      <w:hyperlink w:history="1" r:id="rId2ltabe9_4p1uhmufeekkd">
        <w:r>
          <w:rPr>
            <w:rFonts w:ascii="IBM Plex Mono" w:cs="IBM Plex Mono" w:eastAsia="IBM Plex Mono" w:hAnsi="IBM Plex Mono"/>
            <w:b/>
            <w:bCs/>
            <w:color w:val="1AA89B"/>
            <w:sz w:val="15"/>
            <w:szCs w:val="15"/>
            <w:u w:val="single"/>
          </w:rPr>
          <w:t xml:space="preserve">jaygut.github.io/evoforecast-before-the-experiment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left w:val="single" w:color="C2442A" w:sz="18"/>
            </w:tcBorders>
            <w:shd w:fill="E9E1CC" w:val="clear"/>
            <w:tcMar>
              <w:top w:type="dxa" w:w="120"/>
              <w:left w:type="dxa" w:w="150"/>
              <w:bottom w:type="dxa" w:w="120"/>
              <w:right w:type="dxa" w:w="150"/>
            </w:tcMar>
          </w:tcPr>
          <w:p>
            <w:r>
              <w:rPr>
                <w:rFonts w:ascii="IBM Plex Sans" w:cs="IBM Plex Sans" w:eastAsia="IBM Plex Sans" w:hAnsi="IBM Plex Sans"/>
                <w:b/>
                <w:bCs/>
                <w:color w:val="0E2A47"/>
                <w:sz w:val="17"/>
                <w:szCs w:val="17"/>
              </w:rPr>
              <w:t xml:space="preserve">Claim boundary. </w:t>
            </w:r>
            <w:r>
              <w:rPr>
                <w:rFonts w:ascii="IBM Plex Sans" w:cs="IBM Plex Sans" w:eastAsia="IBM Plex Sans" w:hAnsi="IBM Plex Sans"/>
                <w:color w:val="243B4A"/>
                <w:sz w:val="17"/>
                <w:szCs w:val="17"/>
              </w:rPr>
              <w:t xml:space="preserve">All evidence here is synthetic and within-model. It shows no real-organism forecast skill, no real DNA predictive value, and no out-of-distribution transfer, and it implies no endorsement, partnership, or funding relationship.</w:t>
            </w:r>
          </w:p>
        </w:tc>
      </w:tr>
    </w:tbl>
    <w:p>
      <w:pPr>
        <w:pBdr>
          <w:top w:val="single" w:color="D7DEE2" w:sz="6" w:space="8"/>
        </w:pBdr>
        <w:spacing w:after="0" w:before="170"/>
      </w:pPr>
      <w:r>
        <w:rPr>
          <w:rFonts w:ascii="IBM Plex Sans" w:cs="IBM Plex Sans" w:eastAsia="IBM Plex Sans" w:hAnsi="IBM Plex Sans"/>
          <w:b/>
          <w:bCs/>
          <w:color w:val="0E2A47"/>
          <w:sz w:val="18"/>
          <w:szCs w:val="18"/>
        </w:rPr>
        <w:t xml:space="preserve">Built by Jay Gutierrez, PhD</w:t>
      </w:r>
    </w:p>
    <w:p>
      <w:pPr>
        <w:spacing w:after="40"/>
      </w:pPr>
      <w:r>
        <w:rPr>
          <w:rFonts w:ascii="IBM Plex Sans" w:cs="IBM Plex Sans" w:eastAsia="IBM Plex Sans" w:hAnsi="IBM Plex Sans"/>
          <w:color w:val="5C6E78"/>
          <w:sz w:val="17"/>
          <w:szCs w:val="17"/>
        </w:rPr>
        <w:t xml:space="preserve">Ecological network science, graph intelligence, and nature-finance translation, publishing the work defining the ecological structural-risk category.</w:t>
      </w:r>
    </w:p>
    <w:p>
      <w:hyperlink w:history="1" r:id="rIdvnblaqu1bkqdz0cxxwqq1">
        <w:r>
          <w:rPr>
            <w:rFonts w:ascii="IBM Plex Mono" w:cs="IBM Plex Mono" w:eastAsia="IBM Plex Mono" w:hAnsi="IBM Plex Mono"/>
            <w:color w:val="0E7A70"/>
            <w:sz w:val="16"/>
            <w:szCs w:val="16"/>
            <w:u w:val="single"/>
          </w:rPr>
          <w:t xml:space="preserve">jg@graphoflife.com</w:t>
        </w:r>
      </w:hyperlink>
      <w:r>
        <w:rPr>
          <w:rFonts w:ascii="IBM Plex Mono" w:cs="IBM Plex Mono" w:eastAsia="IBM Plex Mono" w:hAnsi="IBM Plex Mono"/>
          <w:color w:val="5C6E78"/>
          <w:sz w:val="16"/>
          <w:szCs w:val="16"/>
        </w:rPr>
        <w:t xml:space="preserve">   ·   </w:t>
      </w:r>
      <w:hyperlink w:history="1" r:id="rIdjoabqnutnjy9d8wycgquv">
        <w:r>
          <w:rPr>
            <w:rFonts w:ascii="IBM Plex Mono" w:cs="IBM Plex Mono" w:eastAsia="IBM Plex Mono" w:hAnsi="IBM Plex Mono"/>
            <w:color w:val="0E7A70"/>
            <w:sz w:val="16"/>
            <w:szCs w:val="16"/>
            <w:u w:val="single"/>
          </w:rPr>
          <w:t xml:space="preserve">biome-translator.emergent.host</w:t>
        </w:r>
      </w:hyperlink>
    </w:p>
    <w:sectPr>
      <w:pgSz w:w="12240" w:h="15840" w:orient="portrait"/>
      <w:pgMar w:top="1008" w:right="1224" w:bottom="863"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43B4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ltabe9_4p1uhmufeekkd" Type="http://schemas.openxmlformats.org/officeDocument/2006/relationships/hyperlink" Target="https://jaygut.github.io/evoforecast-before-the-experiment/" TargetMode="External"/><Relationship Id="rIdvnblaqu1bkqdz0cxxwqq1" Type="http://schemas.openxmlformats.org/officeDocument/2006/relationships/hyperlink" Target="mailto:jg@graphoflife.com" TargetMode="External"/><Relationship Id="rIdjoabqnutnjy9d8wycgquv" Type="http://schemas.openxmlformats.org/officeDocument/2006/relationships/hyperlink" Target="https://biome-translator.emergent.ho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EvoForecast decision brief</dc:title>
  <dc:creator>Graph of Life</dc:creator>
  <cp:lastModifiedBy>Un-named</cp:lastModifiedBy>
  <cp:revision>1</cp:revision>
  <dcterms:created xsi:type="dcterms:W3CDTF">2026-07-21T04:01:38.475Z</dcterms:created>
  <dcterms:modified xsi:type="dcterms:W3CDTF">2026-07-21T04:01:38.476Z</dcterms:modified>
</cp:coreProperties>
</file>

<file path=docProps/custom.xml><?xml version="1.0" encoding="utf-8"?>
<Properties xmlns="http://schemas.openxmlformats.org/officeDocument/2006/custom-properties" xmlns:vt="http://schemas.openxmlformats.org/officeDocument/2006/docPropsVTypes"/>
</file>