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IBM Plex Mono" w:cs="IBM Plex Mono" w:eastAsia="IBM Plex Mono" w:hAnsi="IBM Plex Mono"/>
          <w:b/>
          <w:bCs/>
          <w:color w:val="0E2A47"/>
          <w:spacing w:val="40"/>
          <w:sz w:val="17"/>
          <w:szCs w:val="17"/>
        </w:rPr>
        <w:t xml:space="preserve">GRAPH OF LIFE</w:t>
      </w:r>
      <w:r>
        <w:rPr>
          <w:rFonts w:ascii="IBM Plex Mono" w:cs="IBM Plex Mono" w:eastAsia="IBM Plex Mono" w:hAnsi="IBM Plex Mono"/>
          <w:color w:val="D7DEE2"/>
          <w:sz w:val="17"/>
          <w:szCs w:val="17"/>
        </w:rPr>
        <w:t xml:space="preserve">   |   </w:t>
      </w:r>
      <w:r>
        <w:rPr>
          <w:rFonts w:ascii="IBM Plex Mono" w:cs="IBM Plex Mono" w:eastAsia="IBM Plex Mono" w:hAnsi="IBM Plex Mono"/>
          <w:b/>
          <w:bCs/>
          <w:color w:val="0E7A70"/>
          <w:spacing w:val="40"/>
          <w:sz w:val="17"/>
          <w:szCs w:val="17"/>
        </w:rPr>
        <w:t xml:space="preserve">EVOFORECAST</w:t>
      </w:r>
      <w:r>
        <w:rPr>
          <w:rFonts w:ascii="IBM Plex Mono" w:cs="IBM Plex Mono" w:eastAsia="IBM Plex Mono" w:hAnsi="IBM Plex Mono"/>
          <w:color w:val="5C6E78"/>
          <w:sz w:val="13"/>
          <w:szCs w:val="13"/>
        </w:rPr>
        <w:t xml:space="preserve">                                        DECISION BRIEF · 20 JUL 2026</w:t>
      </w:r>
    </w:p>
    <w:p>
      <w:pPr>
        <w:pBdr>
          <w:bottom w:val="single" w:color="1AA89B" w:sz="12" w:space="4"/>
        </w:pBdr>
        <w:spacing w:after="160"/>
      </w:pPr>
      <w:r>
        <w:t xml:space="preserve"/>
      </w:r>
    </w:p>
    <w:p>
      <w:pPr>
        <w:spacing w:after="100"/>
      </w:pPr>
      <w:r>
        <w:rPr>
          <w:rFonts w:ascii="IBM Plex Sans" w:cs="IBM Plex Sans" w:eastAsia="IBM Plex Sans" w:hAnsi="IBM Plex Sans"/>
          <w:b/>
          <w:bCs/>
          <w:color w:val="0E2A47"/>
          <w:sz w:val="40"/>
          <w:szCs w:val="40"/>
        </w:rPr>
        <w:t>Rehearse the experiment before you commit to it</w:t>
      </w:r>
    </w:p>
    <w:p>
      <w:pPr>
        <w:spacing w:after="170"/>
      </w:pPr>
      <w:r>
        <w:rPr>
          <w:rFonts w:ascii="IBM Plex Sans" w:cs="IBM Plex Sans" w:eastAsia="IBM Plex Sans" w:hAnsi="IBM Plex Sans"/>
          <w:color w:val="243B4A"/>
          <w:sz w:val="22"/>
          <w:szCs w:val="22"/>
        </w:rPr>
        <w:t xml:space="preserve">A synthetic wind tunnel for evolution-prediction programmes. It runs the whole study in software where the true outcome is known by construction, hides that outcome, takes blind forecasts from competing measurement designs, and scores them before the first real sample is collected.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0E2A47" w:val="clear"/>
            <w:tcMar>
              <w:top w:type="dxa" w:w="130"/>
              <w:left w:type="dxa" w:w="150"/>
              <w:bottom w:type="dxa" w:w="130"/>
              <w:right w:type="dxa" w:w="150"/>
            </w:tcMar>
          </w:tcPr>
          <w:p>
            <w:pPr>
              <w:spacing w:after="30"/>
            </w:pPr>
            <w:r>
              <w:rPr>
                <w:rFonts w:ascii="IBM Plex Mono" w:cs="IBM Plex Mono" w:eastAsia="IBM Plex Mono" w:hAnsi="IBM Plex Mono"/>
                <w:b/>
                <w:bCs/>
                <w:color w:val="3AD6A3"/>
                <w:sz w:val="26"/>
                <w:szCs w:val="26"/>
              </w:rPr>
              <w:t xml:space="preserve">5,600 / 5,600</w:t>
            </w:r>
          </w:p>
          <w:p>
            <w:r>
              <w:rPr>
                <w:rFonts w:ascii="IBM Plex Sans" w:cs="IBM Plex Sans" w:eastAsia="IBM Plex Sans" w:hAnsi="IBM Plex Sans"/>
                <w:color w:val="EAF1F1"/>
                <w:sz w:val="14"/>
                <w:szCs w:val="14"/>
              </w:rPr>
              <w:t xml:space="preserve">simulated runs completed, none failed</w:t>
            </w:r>
          </w:p>
        </w:tc>
        <w:tc>
          <w:tcPr>
            <w:tcW w:type="dxa" w:w="3120"/>
            <w:shd w:fill="0E2A47" w:val="clear"/>
            <w:tcMar>
              <w:top w:type="dxa" w:w="130"/>
              <w:left w:type="dxa" w:w="150"/>
              <w:bottom w:type="dxa" w:w="130"/>
              <w:right w:type="dxa" w:w="150"/>
            </w:tcMar>
          </w:tcPr>
          <w:p>
            <w:pPr>
              <w:spacing w:after="30"/>
            </w:pPr>
            <w:r>
              <w:rPr>
                <w:rFonts w:ascii="IBM Plex Mono" w:cs="IBM Plex Mono" w:eastAsia="IBM Plex Mono" w:hAnsi="IBM Plex Mono"/>
                <w:b/>
                <w:bCs/>
                <w:color w:val="3AD6A3"/>
                <w:sz w:val="26"/>
                <w:szCs w:val="26"/>
              </w:rPr>
              <w:t xml:space="preserve">0 / 60</w:t>
            </w:r>
          </w:p>
          <w:p>
            <w:r>
              <w:rPr>
                <w:rFonts w:ascii="IBM Plex Sans" w:cs="IBM Plex Sans" w:eastAsia="IBM Plex Sans" w:hAnsi="IBM Plex Sans"/>
                <w:color w:val="EAF1F1"/>
                <w:sz w:val="14"/>
                <w:szCs w:val="14"/>
              </w:rPr>
              <w:t xml:space="preserve">forward-looking cells cleared the gate</w:t>
            </w:r>
          </w:p>
        </w:tc>
        <w:tc>
          <w:tcPr>
            <w:tcW w:type="dxa" w:w="3120"/>
            <w:shd w:fill="0E2A47" w:val="clear"/>
            <w:tcMar>
              <w:top w:type="dxa" w:w="130"/>
              <w:left w:type="dxa" w:w="150"/>
              <w:bottom w:type="dxa" w:w="130"/>
              <w:right w:type="dxa" w:w="150"/>
            </w:tcMar>
          </w:tcPr>
          <w:p>
            <w:pPr>
              <w:spacing w:after="30"/>
            </w:pPr>
            <w:r>
              <w:rPr>
                <w:rFonts w:ascii="IBM Plex Mono" w:cs="IBM Plex Mono" w:eastAsia="IBM Plex Mono" w:hAnsi="IBM Plex Mono"/>
                <w:b/>
                <w:bCs/>
                <w:color w:val="3AD6A3"/>
                <w:sz w:val="26"/>
                <w:szCs w:val="26"/>
              </w:rPr>
              <w:t xml:space="preserve">0 / 120</w:t>
            </w:r>
          </w:p>
          <w:p>
            <w:r>
              <w:rPr>
                <w:rFonts w:ascii="IBM Plex Sans" w:cs="IBM Plex Sans" w:eastAsia="IBM Plex Sans" w:hAnsi="IBM Plex Sans"/>
                <w:color w:val="EAF1F1"/>
                <w:sz w:val="14"/>
                <w:szCs w:val="14"/>
              </w:rPr>
              <w:t xml:space="preserve">experiment plans robustly best</w:t>
            </w:r>
          </w:p>
        </w:tc>
      </w:tr>
    </w:tbl>
    <w:p>
      <w:pPr>
        <w:spacing w:after="60"/>
      </w:pPr>
      <w:r>
        <w:t xml:space="preserve"/>
      </w:r>
    </w:p>
    <w:p>
      <w:pPr>
        <w:keepNext/>
        <w:pBdr>
          <w:top w:val="single" w:color="D7DEE2" w:sz="6" w:space="6"/>
        </w:pBdr>
        <w:spacing w:after="90" w:before="200"/>
      </w:pPr>
      <w:r>
        <w:rPr>
          <w:rFonts w:ascii="IBM Plex Sans" w:cs="IBM Plex Sans" w:eastAsia="IBM Plex Sans" w:hAnsi="IBM Plex Sans"/>
          <w:b/>
          <w:bCs/>
          <w:color w:val="0E2A47"/>
          <w:sz w:val="23"/>
          <w:szCs w:val="23"/>
        </w:rPr>
        <w:t xml:space="preserve">The risk that sits upstream of every model</w:t>
      </w:r>
    </w:p>
    <w:p>
      <w:pPr>
        <w:spacing w:after="110" w:line="264"/>
      </w:pPr>
      <w:r>
        <w:rPr>
          <w:rFonts w:ascii="IBM Plex Sans" w:cs="IBM Plex Sans" w:eastAsia="IBM Plex Sans" w:hAnsi="IBM Plex Sans"/>
          <w:color w:val="243B4A"/>
          <w:sz w:val="19"/>
          <w:szCs w:val="19"/>
        </w:rPr>
        <w:t>A programme can buy more sequencing, more time points, and more replicates, and still be unable to say which forecasting design is better. Averages hide the failure that matters. A model can post a strong mean error and still miss often enough that anyone acting on it is wrong at the moment of decision. This artifact uses tens of millions of US dollars only as an illustrative programme scale. At that scale, waiting for field data can leave the design locked before the comparison is resolved. This is a design problem, and it is cheapest to solve before anyone collects a sample.</w:t>
      </w:r>
    </w:p>
    <w:p>
      <w:pPr>
        <w:keepNext/>
        <w:pBdr>
          <w:top w:val="single" w:color="D7DEE2" w:sz="6" w:space="6"/>
        </w:pBdr>
        <w:spacing w:after="90" w:before="200"/>
      </w:pPr>
      <w:r>
        <w:rPr>
          <w:rFonts w:ascii="IBM Plex Sans" w:cs="IBM Plex Sans" w:eastAsia="IBM Plex Sans" w:hAnsi="IBM Plex Sans"/>
          <w:b/>
          <w:bCs/>
          <w:color w:val="0E2A47"/>
          <w:sz w:val="23"/>
          <w:szCs w:val="23"/>
        </w:rPr>
        <w:t xml:space="preserve">What the engine does</w:t>
      </w:r>
    </w:p>
    <w:p>
      <w:pPr>
        <w:spacing w:after="110" w:line="264"/>
      </w:pPr>
      <w:r>
        <w:rPr>
          <w:rFonts w:ascii="IBM Plex Sans" w:cs="IBM Plex Sans" w:eastAsia="IBM Plex Sans" w:hAnsi="IBM Plex Sans"/>
          <w:color w:val="243B4A"/>
          <w:sz w:val="19"/>
          <w:szCs w:val="19"/>
        </w:rPr>
        <w:t>The engine builds a simulated world where the true evolutionary outcome is fixed by construction, then hides it. Competing measurement designs, each with a registered modeled-resource allowance and data package, produce forecasts and deposit them into a sealed record. Only then does the engine reveal the truth and score every deposit on the same footing, covering accuracy, calibration of stated uncertainty, and whether the ranking between designs survives perturbation.</w:t>
      </w:r>
    </w:p>
    <w:p>
      <w:pPr>
        <w:spacing w:after="110" w:line="264"/>
      </w:pPr>
      <w:r>
        <w:rPr>
          <w:rFonts w:ascii="IBM Plex Sans" w:cs="IBM Plex Sans" w:eastAsia="IBM Plex Sans" w:hAnsi="IBM Plex Sans"/>
          <w:color w:val="243B4A"/>
          <w:sz w:val="19"/>
          <w:szCs w:val="19"/>
        </w:rPr>
        <w:t>It returns three answers money cannot buy back later. Whether rival designs can be told apart at the sample size a programme can afford. Which added measurement makes those designs distinguishable, a property called identifiability. And when the evidence says the design is not ready, redesign. A round that ends in redesign has done its job.</w:t>
      </w:r>
    </w:p>
    <w:p>
      <w:pPr>
        <w:keepNext/>
        <w:pBdr>
          <w:top w:val="single" w:color="D7DEE2" w:sz="6" w:space="6"/>
        </w:pBdr>
        <w:spacing w:after="90" w:before="200"/>
      </w:pPr>
      <w:r>
        <w:rPr>
          <w:rFonts w:ascii="IBM Plex Sans" w:cs="IBM Plex Sans" w:eastAsia="IBM Plex Sans" w:hAnsi="IBM Plex Sans"/>
          <w:b/>
          <w:bCs/>
          <w:color w:val="0E2A47"/>
          <w:sz w:val="23"/>
          <w:szCs w:val="23"/>
        </w:rPr>
        <w:t xml:space="preserve">What the current evidence shows</w:t>
      </w:r>
    </w:p>
    <w:p>
      <w:pPr>
        <w:spacing w:after="110" w:line="264"/>
      </w:pPr>
      <w:r>
        <w:rPr>
          <w:rFonts w:ascii="IBM Plex Sans" w:cs="IBM Plex Sans" w:eastAsia="IBM Plex Sans" w:hAnsi="IBM Plex Sans"/>
          <w:color w:val="243B4A"/>
          <w:sz w:val="19"/>
          <w:szCs w:val="19"/>
        </w:rPr>
        <w:t>The frozen round completed 5,600 of 5,600 simulated runs with no failures. The genome-plus-phenome track, which combines genetic information with measured traits, improved mean accuracy 47.5 percent over the pedigree baseline, aggregated across 35 contexts. Its nominal 90 percent interval covered only 80 percent of held-out values. Adding a feedback track on top of genome plus phenome bought nothing. Zero of 60 forward-looking cells reached the 50 percent combined gate. One of 80 cells reached it, a day-90 nowcast at 52.5 percent. Zero of 80 were robust. Zero of 120 experiment plans were robustly best. The positive control recovered a planted signal at +17.0 percent, and the matched adverse control came back empty at -9.2 percent. Both are marker-encoded software controls.</w:t>
      </w:r>
    </w:p>
    <w:p>
      <w:pPr>
        <w:pBdr>
          <w:left w:val="single" w:color="0F8059" w:sz="18" w:space="10"/>
        </w:pBdr>
        <w:spacing w:after="120"/>
        <w:ind w:left="160"/>
      </w:pPr>
      <w:r>
        <w:rPr>
          <w:rFonts w:ascii="IBM Plex Sans" w:cs="IBM Plex Sans" w:eastAsia="IBM Plex Sans" w:hAnsi="IBM Plex Sans"/>
          <w:b/>
          <w:bCs/>
          <w:color w:val="0E2A47"/>
          <w:sz w:val="19"/>
          <w:szCs w:val="19"/>
        </w:rPr>
        <w:t>The clean run gives a clear instruction. Do not scale this design yet.</w:t>
      </w:r>
    </w:p>
    <w:p>
      <w:pPr>
        <w:keepNext/>
        <w:pBdr>
          <w:top w:val="single" w:color="D7DEE2" w:sz="6" w:space="6"/>
        </w:pBdr>
        <w:spacing w:after="90" w:before="200"/>
      </w:pPr>
      <w:r>
        <w:rPr>
          <w:rFonts w:ascii="IBM Plex Sans" w:cs="IBM Plex Sans" w:eastAsia="IBM Plex Sans" w:hAnsi="IBM Plex Sans"/>
          <w:b/>
          <w:bCs/>
          <w:color w:val="0E2A47"/>
          <w:sz w:val="23"/>
          <w:szCs w:val="23"/>
        </w:rPr>
        <w:t>Why this result can support a decision</w:t>
      </w:r>
    </w:p>
    <w:p>
      <w:pPr>
        <w:spacing w:after="110" w:line="264"/>
      </w:pPr>
      <w:r>
        <w:rPr>
          <w:rFonts w:ascii="IBM Plex Sans" w:cs="IBM Plex Sans" w:eastAsia="IBM Plex Sans" w:hAnsi="IBM Plex Sans"/>
          <w:color w:val="243B4A"/>
          <w:sz w:val="19"/>
          <w:szCs w:val="19"/>
        </w:rPr>
        <w:t>Every displayed statistic in this artifact points to a frozen source row and a recorded SHA-256 fingerprint. The browser only retrieves those rows. It does not write forecasts, fit models, run simulations, or access latent truth. Controls can return an adverse result, and one did. That shows the published workflow does not force a favorable signal.</w:t>
      </w:r>
    </w:p>
    <w:p>
      <w:pPr>
        <w:spacing w:after="110" w:line="264"/>
      </w:pPr>
      <w:r>
        <w:rPr>
          <w:rFonts w:ascii="IBM Plex Sans" w:cs="IBM Plex Sans" w:eastAsia="IBM Plex Sans" w:hAnsi="IBM Plex Sans"/>
          <w:color w:val="243B4A"/>
          <w:sz w:val="19"/>
          <w:szCs w:val="19"/>
        </w:rPr>
        <w:t>SLiM 5.2 is the registered trajectory engine for this round. The surrounding harness is engine-agnostic, and other evolutionary simulators are under evaluation. Ecological-network work in a population context is a development direction for later rounds. This round does not claim that capability.</w:t>
      </w:r>
    </w:p>
    <w:p>
      <w:pPr>
        <w:keepNext/>
        <w:pBdr>
          <w:top w:val="single" w:color="D7DEE2" w:sz="6" w:space="6"/>
        </w:pBdr>
        <w:spacing w:after="90" w:before="200"/>
      </w:pPr>
      <w:r>
        <w:rPr>
          <w:rFonts w:ascii="IBM Plex Sans" w:cs="IBM Plex Sans" w:eastAsia="IBM Plex Sans" w:hAnsi="IBM Plex Sans"/>
          <w:b/>
          <w:bCs/>
          <w:color w:val="0E2A47"/>
          <w:sz w:val="23"/>
          <w:szCs w:val="23"/>
        </w:rPr>
        <w:t xml:space="preserve">Where it plugs into a resilience portfolio</w:t>
      </w:r>
    </w:p>
    <w:p>
      <w:pPr>
        <w:spacing w:after="110" w:line="264"/>
      </w:pPr>
      <w:r>
        <w:rPr>
          <w:rFonts w:ascii="IBM Plex Sans" w:cs="IBM Plex Sans" w:eastAsia="IBM Plex Sans" w:hAnsi="IBM Plex Sans"/>
          <w:color w:val="243B4A"/>
          <w:sz w:val="19"/>
          <w:szCs w:val="19"/>
        </w:rPr>
        <w:t>The wind tunnel is an early design stage ahead of the stages that cost field seasons, facilities, and staff. Before a programme commits several teams to a shared measurement standard, the wind tunnel can show whether that standard would let anyone tell their forecasts apart.</w:t>
      </w:r>
    </w:p>
    <w:p>
      <w:pPr>
        <w:spacing w:after="110" w:line="264"/>
      </w:pPr>
      <w:r>
        <w:rPr>
          <w:rFonts w:ascii="IBM Plex Sans" w:cs="IBM Plex Sans" w:eastAsia="IBM Plex Sans" w:hAnsi="IBM Plex Sans"/>
          <w:color w:val="243B4A"/>
          <w:sz w:val="19"/>
          <w:szCs w:val="19"/>
        </w:rPr>
        <w:t>It compares modeled resource use with forecast value. When a data layer changes accuracy without changing identifiability, the team can see that tradeoff before committing it to a protocol. Future keystone-centered work would use the same loop to ask whether a change involving one influential organism can be forecast in advance. Every design would face the same held-out challenge under one protocol, making results directly comparable.</w:t>
      </w:r>
    </w:p>
    <w:p>
      <w:pPr>
        <w:keepNext/>
        <w:pBdr>
          <w:top w:val="single" w:color="D7DEE2" w:sz="6" w:space="6"/>
        </w:pBdr>
        <w:spacing w:after="90" w:before="200"/>
      </w:pPr>
      <w:r>
        <w:rPr>
          <w:rFonts w:ascii="IBM Plex Sans" w:cs="IBM Plex Sans" w:eastAsia="IBM Plex Sans" w:hAnsi="IBM Plex Sans"/>
          <w:b/>
          <w:bCs/>
          <w:color w:val="0E2A47"/>
          <w:sz w:val="23"/>
          <w:szCs w:val="23"/>
        </w:rPr>
        <w:t xml:space="preserve">The bounded next step</w:t>
      </w:r>
    </w:p>
    <w:p>
      <w:pPr>
        <w:spacing w:after="110" w:line="264"/>
      </w:pPr>
      <w:r>
        <w:rPr>
          <w:rFonts w:ascii="IBM Plex Sans" w:cs="IBM Plex Sans" w:eastAsia="IBM Plex Sans" w:hAnsi="IBM Plex Sans"/>
          <w:color w:val="243B4A"/>
          <w:sz w:val="19"/>
          <w:szCs w:val="19"/>
        </w:rPr>
        <w:t>One candidate keystone organism. One spendable budget in US dollars. One held-out challenge. Rehearse the design in the wind tunnel, then run the smallest real round that can estimate calibration and forecast accuracy under an independent reveal. If that round clears every gate, a later design could stage toward a network of interacting species around the keystone, adding genetic backgrounds, controlled conditions, spatial structure, and small controlled model ecosystems. Molecular layers expand last, after the cheaper layers have earned their place.</w:t>
      </w:r>
    </w:p>
    <w:p>
      <w:pPr>
        <w:keepNext/>
        <w:pBdr>
          <w:top w:val="single" w:color="D7DEE2" w:sz="6" w:space="6"/>
        </w:pBdr>
        <w:spacing w:after="90" w:before="200"/>
      </w:pPr>
      <w:r>
        <w:rPr>
          <w:rFonts w:ascii="IBM Plex Sans" w:cs="IBM Plex Sans" w:eastAsia="IBM Plex Sans" w:hAnsi="IBM Plex Sans"/>
          <w:b/>
          <w:bCs/>
          <w:color w:val="0E2A47"/>
          <w:sz w:val="23"/>
          <w:szCs w:val="23"/>
        </w:rPr>
        <w:t xml:space="preserve">What we would need from you</w:t>
      </w:r>
    </w:p>
    <w:p>
      <w:pPr>
        <w:pStyle w:val="ListParagraph"/>
        <w:numPr>
          <w:ilvl w:val="0"/>
          <w:numId w:val="2"/>
        </w:numPr>
        <w:spacing w:after="60" w:line="258"/>
      </w:pPr>
      <w:r>
        <w:rPr>
          <w:rFonts w:ascii="IBM Plex Sans" w:cs="IBM Plex Sans" w:eastAsia="IBM Plex Sans" w:hAnsi="IBM Plex Sans"/>
          <w:color w:val="243B4A"/>
          <w:sz w:val="19"/>
          <w:szCs w:val="19"/>
        </w:rPr>
        <w:t xml:space="preserve">A candidate keystone organism and the resilience outcome that would count as success for it.</w:t>
      </w:r>
    </w:p>
    <w:p>
      <w:pPr>
        <w:pStyle w:val="ListParagraph"/>
        <w:numPr>
          <w:ilvl w:val="0"/>
          <w:numId w:val="2"/>
        </w:numPr>
        <w:spacing w:after="60" w:line="258"/>
      </w:pPr>
      <w:r>
        <w:rPr>
          <w:rFonts w:ascii="IBM Plex Sans" w:cs="IBM Plex Sans" w:eastAsia="IBM Plex Sans" w:hAnsi="IBM Plex Sans"/>
          <w:color w:val="243B4A"/>
          <w:sz w:val="19"/>
          <w:szCs w:val="19"/>
        </w:rPr>
        <w:t xml:space="preserve">A budget ceiling for one real round, so the rehearsal only tests designs that could actually be run.</w:t>
      </w:r>
    </w:p>
    <w:p>
      <w:pPr>
        <w:pStyle w:val="ListParagraph"/>
        <w:numPr>
          <w:ilvl w:val="0"/>
          <w:numId w:val="2"/>
        </w:numPr>
        <w:spacing w:after="60" w:line="258"/>
      </w:pPr>
      <w:r>
        <w:rPr>
          <w:rFonts w:ascii="IBM Plex Sans" w:cs="IBM Plex Sans" w:eastAsia="IBM Plex Sans" w:hAnsi="IBM Plex Sans"/>
          <w:color w:val="243B4A"/>
          <w:sz w:val="19"/>
          <w:szCs w:val="19"/>
        </w:rPr>
        <w:t xml:space="preserve">One held-out challenge, or the authority to hold one out and keep it sealed until reveal.</w:t>
      </w:r>
    </w:p>
    <w:p>
      <w:pPr>
        <w:pStyle w:val="ListParagraph"/>
        <w:numPr>
          <w:ilvl w:val="0"/>
          <w:numId w:val="2"/>
        </w:numPr>
        <w:spacing w:after="60" w:line="258"/>
      </w:pPr>
      <w:r>
        <w:rPr>
          <w:rFonts w:ascii="IBM Plex Sans" w:cs="IBM Plex Sans" w:eastAsia="IBM Plex Sans" w:hAnsi="IBM Plex Sans"/>
          <w:color w:val="243B4A"/>
          <w:sz w:val="19"/>
          <w:szCs w:val="19"/>
        </w:rPr>
        <w:t xml:space="preserve">A technical reviewer permitted to inspect the deposit protocol, the controls, and the frozen record.</w:t>
      </w:r>
    </w:p>
    <w:p>
      <w:pPr>
        <w:pStyle w:val="ListParagraph"/>
        <w:numPr>
          <w:ilvl w:val="0"/>
          <w:numId w:val="2"/>
        </w:numPr>
        <w:spacing w:after="60" w:line="258"/>
      </w:pPr>
      <w:r>
        <w:rPr>
          <w:rFonts w:ascii="IBM Plex Sans" w:cs="IBM Plex Sans" w:eastAsia="IBM Plex Sans" w:hAnsi="IBM Plex Sans"/>
          <w:color w:val="243B4A"/>
          <w:sz w:val="19"/>
          <w:szCs w:val="19"/>
        </w:rPr>
        <w:t xml:space="preserve">The gate values you would accept as pass or fail, agreed and written down before the round starts.</w:t>
      </w:r>
    </w:p>
    <w:p>
      <w:pPr>
        <w:spacing w:after="90" w:before="150"/>
      </w:pPr>
      <w:r>
        <w:rPr>
          <w:rFonts w:ascii="IBM Plex Mono" w:cs="IBM Plex Mono" w:eastAsia="IBM Plex Mono" w:hAnsi="IBM Plex Mono"/>
          <w:b/>
          <w:bCs/>
          <w:color w:val="0E7A70"/>
          <w:spacing w:val="20"/>
          <w:sz w:val="15"/>
          <w:szCs w:val="15"/>
        </w:rPr>
        <w:t xml:space="preserve">WALK THE FROZEN ROUND  </w:t>
      </w:r>
      <w:hyperlink w:history="1" r:id="rId2ltabe9_4p1uhmufeekkd">
        <w:r>
          <w:rPr>
            <w:rFonts w:ascii="IBM Plex Mono" w:cs="IBM Plex Mono" w:eastAsia="IBM Plex Mono" w:hAnsi="IBM Plex Mono"/>
            <w:b/>
            <w:bCs/>
            <w:color w:val="1AA89B"/>
            <w:sz w:val="15"/>
            <w:szCs w:val="15"/>
            <w:u w:val="single"/>
          </w:rPr>
          <w:t xml:space="preserve">jaygut.github.io/evoforecast-before-the-experiment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left w:val="single" w:color="C2442A" w:sz="18"/>
            </w:tcBorders>
            <w:shd w:fill="E9E1CC" w:val="clear"/>
            <w:tcMar>
              <w:top w:type="dxa" w:w="120"/>
              <w:left w:type="dxa" w:w="150"/>
              <w:bottom w:type="dxa" w:w="120"/>
              <w:right w:type="dxa" w:w="150"/>
            </w:tcMar>
          </w:tcPr>
          <w:p>
            <w:r>
              <w:rPr>
                <w:rFonts w:ascii="IBM Plex Sans" w:cs="IBM Plex Sans" w:eastAsia="IBM Plex Sans" w:hAnsi="IBM Plex Sans"/>
                <w:b/>
                <w:bCs/>
                <w:color w:val="0E2A47"/>
                <w:sz w:val="17"/>
                <w:szCs w:val="17"/>
              </w:rPr>
              <w:t xml:space="preserve">Claim boundary. </w:t>
            </w:r>
            <w:r>
              <w:rPr>
                <w:rFonts w:ascii="IBM Plex Sans" w:cs="IBM Plex Sans" w:eastAsia="IBM Plex Sans" w:hAnsi="IBM Plex Sans"/>
                <w:color w:val="243B4A"/>
                <w:sz w:val="17"/>
                <w:szCs w:val="17"/>
              </w:rPr>
              <w:t xml:space="preserve">All evidence here is synthetic and within-model. It shows no real-organism forecast skill, no real DNA predictive value, and no out-of-distribution transfer, and it implies no endorsement, partnership, or funding relationship.</w:t>
            </w:r>
          </w:p>
        </w:tc>
      </w:tr>
    </w:tbl>
    <w:sectPr>
      <w:pgSz w:w="12240" w:h="15840" w:orient="portrait"/>
      <w:pgMar w:top="1008" w:right="1224" w:bottom="863"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243B4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ltabe9_4p1uhmufeekkd" Type="http://schemas.openxmlformats.org/officeDocument/2006/relationships/hyperlink" Target="https://jaygut.github.io/evoforecast-before-the-experiment/" TargetMode="Externa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EvoForecast decision brief</dc:title>
  <dc:creator>Graph of Life</dc:creator>
  <cp:lastModifiedBy>Un-named</cp:lastModifiedBy>
  <cp:revision>1</cp:revision>
  <dcterms:created xsi:type="dcterms:W3CDTF">2026-07-21T04:01:38.475Z</dcterms:created>
  <dcterms:modified xsi:type="dcterms:W3CDTF">2026-07-21T04:01:38.476Z</dcterms:modified>
</cp:coreProperties>
</file>

<file path=docProps/custom.xml><?xml version="1.0" encoding="utf-8"?>
<Properties xmlns="http://schemas.openxmlformats.org/officeDocument/2006/custom-properties" xmlns:vt="http://schemas.openxmlformats.org/officeDocument/2006/docPropsVTypes"/>
</file>