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2E75B6"/>
          <w:sz w:val="28"/>
          <w:szCs w:val="28"/>
        </w:rPr>
        <w:t xml:space="preserve">CS466 Information Retrieval</w:t>
      </w:r>
    </w:p>
    <w:p>
      <w:pPr>
        <w:spacing w:after="100"/>
        <w:jc w:val="center"/>
      </w:pPr>
      <w:r>
        <w:rPr>
          <w:rFonts w:ascii="Arial" w:cs="Arial" w:eastAsia="Arial" w:hAnsi="Arial"/>
          <w:color w:val="555555"/>
          <w:sz w:val="24"/>
          <w:szCs w:val="24"/>
        </w:rPr>
        <w:t xml:space="preserve">Course Project Proposal</w:t>
      </w:r>
    </w:p>
    <w:p>
      <w:pPr>
        <w:spacing w:after="400"/>
      </w:pPr>
    </w:p>
    <w:p>
      <w:pPr>
        <w:pBdr>
          <w:bottom w:val="single" w:color="2E75B6" w:sz="6" w:space="8"/>
        </w:pBdr>
        <w:spacing w:after="120"/>
        <w:jc w:val="center"/>
      </w:pPr>
      <w:r>
        <w:rPr>
          <w:rFonts w:ascii="Arial" w:cs="Arial" w:eastAsia="Arial" w:hAnsi="Arial"/>
          <w:b/>
          <w:bCs/>
          <w:color w:val="1B3A5C"/>
          <w:sz w:val="40"/>
          <w:szCs w:val="40"/>
        </w:rPr>
        <w:t xml:space="preserve">Systematic Exploration of Hybrid Retrieval</w:t>
      </w:r>
    </w:p>
    <w:p>
      <w:pPr>
        <w:spacing w:after="400"/>
        <w:jc w:val="center"/>
      </w:pPr>
      <w:r>
        <w:rPr>
          <w:rFonts w:ascii="Arial" w:cs="Arial" w:eastAsia="Arial" w:hAnsi="Arial"/>
          <w:b/>
          <w:bCs/>
          <w:color w:val="1B3A5C"/>
          <w:sz w:val="40"/>
          <w:szCs w:val="40"/>
        </w:rPr>
        <w:t xml:space="preserve">Fusion Strategies for Dense and Sparse Retrieval</w:t>
      </w:r>
    </w:p>
    <w:p>
      <w:pPr>
        <w:spacing w:after="600"/>
        <w:jc w:val="center"/>
      </w:pPr>
      <w:r>
        <w:rPr>
          <w:rFonts w:ascii="Arial" w:cs="Arial" w:eastAsia="Arial" w:hAnsi="Arial"/>
          <w:i/>
          <w:iCs/>
          <w:color w:val="555555"/>
          <w:sz w:val="26"/>
          <w:szCs w:val="26"/>
        </w:rPr>
        <w:t xml:space="preserve">From Static Interpolation to Query-Adaptive Fusion</w:t>
      </w:r>
    </w:p>
    <w:p>
      <w:pPr>
        <w:spacing w:after="80"/>
        <w:jc w:val="center"/>
      </w:pPr>
      <w:r>
        <w:rPr>
          <w:rFonts w:ascii="Arial" w:cs="Arial" w:eastAsia="Arial" w:hAnsi="Arial"/>
          <w:color w:val="1A1A1A"/>
          <w:sz w:val="24"/>
          <w:szCs w:val="24"/>
        </w:rPr>
        <w:t xml:space="preserve">Jay Huang</w:t>
      </w:r>
    </w:p>
    <w:p>
      <w:pPr>
        <w:spacing w:after="80"/>
        <w:jc w:val="center"/>
      </w:pPr>
      <w:r>
        <w:rPr>
          <w:rFonts w:ascii="Arial" w:cs="Arial" w:eastAsia="Arial" w:hAnsi="Arial"/>
          <w:color w:val="555555"/>
          <w:sz w:val="22"/>
          <w:szCs w:val="22"/>
        </w:rPr>
        <w:t xml:space="preserve">Johns Hopkins University</w:t>
      </w:r>
    </w:p>
    <w:p>
      <w:pPr>
        <w:spacing w:after="80"/>
        <w:jc w:val="center"/>
      </w:pPr>
      <w:r>
        <w:rPr>
          <w:rFonts w:ascii="Arial" w:cs="Arial" w:eastAsia="Arial" w:hAnsi="Arial"/>
          <w:color w:val="2E75B6"/>
          <w:sz w:val="22"/>
          <w:szCs w:val="22"/>
        </w:rPr>
        <w:t xml:space="preserve">jhuan243@jhu.edu</w:t>
      </w:r>
    </w:p>
    <w:p>
      <w:pPr>
        <w:spacing w:after="80"/>
        <w:jc w:val="center"/>
      </w:pPr>
      <w:r>
        <w:rPr>
          <w:rFonts w:ascii="Arial" w:cs="Arial" w:eastAsia="Arial" w:hAnsi="Arial"/>
          <w:color w:val="555555"/>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28"/>
          <w:szCs w:val="28"/>
        </w:rPr>
        <w:t xml:space="preserve">1. Introduction and Motivation</w:t>
      </w:r>
    </w:p>
    <w:p>
      <w:pPr>
        <w:spacing w:after="160" w:line="300"/>
        <w:jc w:val="both"/>
      </w:pPr>
      <w:r>
        <w:rPr>
          <w:rFonts w:ascii="Arial" w:cs="Arial" w:eastAsia="Arial" w:hAnsi="Arial"/>
          <w:color w:val="1A1A1A"/>
          <w:sz w:val="22"/>
          <w:szCs w:val="22"/>
        </w:rPr>
        <w:t xml:space="preserve">Hybrid retrieval, the practice of combining dense (neural embedding-based) and sparse (lexical matching-based) retrieval signals, has emerged as a dominant paradigm in modern information retrieval systems. Empirical evidence consistently demonstrates that hybrid approaches outperform either method in isolation, as dense retrieval captures semantic similarity while sparse retrieval excels at exact term matching. However, the question of how to optimally fuse these two signals remains surprisingly underexplored.</w:t>
      </w:r>
    </w:p>
    <w:p>
      <w:pPr>
        <w:spacing w:after="160" w:line="300"/>
        <w:jc w:val="both"/>
      </w:pPr>
      <w:r>
        <w:rPr>
          <w:rFonts w:ascii="Arial" w:cs="Arial" w:eastAsia="Arial" w:hAnsi="Arial"/>
          <w:color w:val="1A1A1A"/>
          <w:sz w:val="22"/>
          <w:szCs w:val="22"/>
        </w:rPr>
        <w:t xml:space="preserve">Most existing work treats fusion as an implementation detail, typically defaulting to Reciprocal Rank Fusion (RRF) or a fixed linear interpolation with manually tuned weights. This project argues that fusion strategy selection has a substantial and measurable impact on retrieval effectiveness, and that the optimal strategy is not universal but depends on query characteristics and corpus properties. Specifically, this project addresses three research questions:</w:t>
      </w:r>
    </w:p>
    <w:p>
      <w:pPr>
        <w:pStyle w:val="ListParagraph"/>
        <w:numPr>
          <w:ilvl w:val="0"/>
          <w:numId w:val="2"/>
        </w:numPr>
        <w:spacing w:after="80" w:line="280"/>
      </w:pPr>
      <w:r>
        <w:rPr>
          <w:rFonts w:ascii="Arial" w:cs="Arial" w:eastAsia="Arial" w:hAnsi="Arial"/>
          <w:b/>
          <w:bCs/>
          <w:color w:val="1A1A1A"/>
          <w:sz w:val="22"/>
          <w:szCs w:val="22"/>
        </w:rPr>
        <w:t xml:space="preserve">RQ1: </w:t>
      </w:r>
      <w:r>
        <w:rPr>
          <w:rFonts w:ascii="Arial" w:cs="Arial" w:eastAsia="Arial" w:hAnsi="Arial"/>
          <w:color w:val="1A1A1A"/>
          <w:sz w:val="22"/>
          <w:szCs w:val="22"/>
        </w:rPr>
        <w:t xml:space="preserve">How do different fusion strategies (score-level, rank-level, learned, and adaptive) compare across domains with varying characteristics?</w:t>
      </w:r>
    </w:p>
    <w:p>
      <w:pPr>
        <w:pStyle w:val="ListParagraph"/>
        <w:numPr>
          <w:ilvl w:val="0"/>
          <w:numId w:val="2"/>
        </w:numPr>
        <w:spacing w:after="80" w:line="280"/>
      </w:pPr>
      <w:r>
        <w:rPr>
          <w:rFonts w:ascii="Arial" w:cs="Arial" w:eastAsia="Arial" w:hAnsi="Arial"/>
          <w:b/>
          <w:bCs/>
          <w:color w:val="1A1A1A"/>
          <w:sz w:val="22"/>
          <w:szCs w:val="22"/>
        </w:rPr>
        <w:t xml:space="preserve">RQ2: </w:t>
      </w:r>
      <w:r>
        <w:rPr>
          <w:rFonts w:ascii="Arial" w:cs="Arial" w:eastAsia="Arial" w:hAnsi="Arial"/>
          <w:color w:val="1A1A1A"/>
          <w:sz w:val="22"/>
          <w:szCs w:val="22"/>
        </w:rPr>
        <w:t xml:space="preserve">Are optimal fusion parameters stable across datasets, or do they exhibit significant domain sensitivity?</w:t>
      </w:r>
    </w:p>
    <w:p>
      <w:pPr>
        <w:pStyle w:val="ListParagraph"/>
        <w:numPr>
          <w:ilvl w:val="0"/>
          <w:numId w:val="2"/>
        </w:numPr>
        <w:spacing w:after="80" w:line="280"/>
      </w:pPr>
      <w:r>
        <w:rPr>
          <w:rFonts w:ascii="Arial" w:cs="Arial" w:eastAsia="Arial" w:hAnsi="Arial"/>
          <w:b/>
          <w:bCs/>
          <w:color w:val="1A1A1A"/>
          <w:sz w:val="22"/>
          <w:szCs w:val="22"/>
        </w:rPr>
        <w:t xml:space="preserve">RQ3: </w:t>
      </w:r>
      <w:r>
        <w:rPr>
          <w:rFonts w:ascii="Arial" w:cs="Arial" w:eastAsia="Arial" w:hAnsi="Arial"/>
          <w:color w:val="1A1A1A"/>
          <w:sz w:val="22"/>
          <w:szCs w:val="22"/>
        </w:rPr>
        <w:t xml:space="preserve">Can query-level features be used to dynamically select fusion weights, and does this adaptive approach outperform static fusion?</w:t>
      </w:r>
    </w:p>
    <w:p>
      <w:pPr>
        <w:pStyle w:val="Heading1"/>
        <w:spacing w:after="200" w:before="360"/>
      </w:pPr>
      <w:r>
        <w:rPr>
          <w:rFonts w:ascii="Arial" w:cs="Arial" w:eastAsia="Arial" w:hAnsi="Arial"/>
          <w:b/>
          <w:bCs/>
          <w:color w:val="1B3A5C"/>
          <w:sz w:val="28"/>
          <w:szCs w:val="28"/>
        </w:rPr>
        <w:t xml:space="preserve">2. Related Work</w:t>
      </w:r>
    </w:p>
    <w:p>
      <w:pPr>
        <w:spacing w:after="160" w:line="300"/>
        <w:jc w:val="both"/>
      </w:pPr>
      <w:r>
        <w:rPr>
          <w:rFonts w:ascii="Arial" w:cs="Arial" w:eastAsia="Arial" w:hAnsi="Arial"/>
          <w:color w:val="1A1A1A"/>
          <w:sz w:val="22"/>
          <w:szCs w:val="22"/>
        </w:rPr>
        <w:t xml:space="preserve">The complementarity of dense and sparse retrieval has been well established in the literature. BM25 remains a strong baseline due to its effectiveness for keyword-centric queries and its robustness to domain shift. Dense retrieval models such as DPR, ANCE, and more recently BGE and E5 have demonstrated superior performance on queries requiring semantic understanding, but they are known to struggle with out-of-distribution terminology and rare entities.</w:t>
      </w:r>
    </w:p>
    <w:p>
      <w:pPr>
        <w:spacing w:after="160" w:line="300"/>
        <w:jc w:val="both"/>
      </w:pPr>
      <w:r>
        <w:rPr>
          <w:rFonts w:ascii="Arial" w:cs="Arial" w:eastAsia="Arial" w:hAnsi="Arial"/>
          <w:color w:val="1A1A1A"/>
          <w:sz w:val="22"/>
          <w:szCs w:val="22"/>
        </w:rPr>
        <w:t xml:space="preserve">Reciprocal Rank Fusion (RRF), introduced by Cormack, Clarke, and Butt (2009), remains the most widely adopted fusion technique due to its simplicity and parameter insensitivity. Linear score interpolation is the other common approach, used in systems like Elasticsearch and Vespa. Ma et al. (2024) explored learned sparse-dense fusion in the context of retrieval-augmented generation, but their focus was on downstream generation quality rather than retrieval effectiveness per se.</w:t>
      </w:r>
    </w:p>
    <w:p>
      <w:pPr>
        <w:spacing w:after="160" w:line="300"/>
        <w:jc w:val="both"/>
      </w:pPr>
      <w:r>
        <w:rPr>
          <w:rFonts w:ascii="Arial" w:cs="Arial" w:eastAsia="Arial" w:hAnsi="Arial"/>
          <w:color w:val="1A1A1A"/>
          <w:sz w:val="22"/>
          <w:szCs w:val="22"/>
        </w:rPr>
        <w:t xml:space="preserve">Query-adaptive retrieval has been studied in the context of selective query expansion and query performance prediction (QPP), but applying adaptive fusion weights based on query features in a hybrid dense-sparse setting has received limited attention. This project fills that gap by systematically comparing static and adaptive fusion strategies under controlled experimental conditions.</w:t>
      </w:r>
    </w:p>
    <w:p>
      <w:pPr>
        <w:pStyle w:val="Heading1"/>
        <w:spacing w:after="200" w:before="360"/>
      </w:pPr>
      <w:r>
        <w:rPr>
          <w:rFonts w:ascii="Arial" w:cs="Arial" w:eastAsia="Arial" w:hAnsi="Arial"/>
          <w:b/>
          <w:bCs/>
          <w:color w:val="1B3A5C"/>
          <w:sz w:val="28"/>
          <w:szCs w:val="28"/>
        </w:rPr>
        <w:t xml:space="preserve">3. Methodology</w:t>
      </w:r>
    </w:p>
    <w:p>
      <w:pPr>
        <w:pStyle w:val="Heading2"/>
        <w:spacing w:after="120" w:before="240"/>
      </w:pPr>
      <w:r>
        <w:rPr>
          <w:rFonts w:ascii="Arial" w:cs="Arial" w:eastAsia="Arial" w:hAnsi="Arial"/>
          <w:b/>
          <w:bCs/>
          <w:color w:val="2E75B6"/>
          <w:sz w:val="24"/>
          <w:szCs w:val="24"/>
        </w:rPr>
        <w:t xml:space="preserve">3.1 Base Retrieval Systems</w:t>
      </w:r>
    </w:p>
    <w:p>
      <w:pPr>
        <w:spacing w:after="160" w:line="300"/>
        <w:jc w:val="both"/>
      </w:pPr>
      <w:r>
        <w:rPr>
          <w:rFonts w:ascii="Arial" w:cs="Arial" w:eastAsia="Arial" w:hAnsi="Arial"/>
          <w:color w:val="1A1A1A"/>
          <w:sz w:val="22"/>
          <w:szCs w:val="22"/>
        </w:rPr>
        <w:t xml:space="preserve">To isolate the effect of fusion strategy from the choice of base retrievers, this project fixes a single pair of dense and sparse models throughout all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Sparse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BM25 (Pyserini)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Unsupervised, zero-shot, no domain-specific tuning required. Default BEIR parameters: k1=0.9, b=0.4.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Dense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BGE-base-en-v1.5 (BAAI)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State-of-the-art general-purpose embedding model with strong zero-shot transfer. Chosen for its consistent BEIR performance and manageable compute footprint (110M parameters).</w:t>
            </w:r>
          </w:p>
        </w:tc>
      </w:tr>
    </w:tbl>
    <w:p>
      <w:pPr>
        <w:spacing w:after="200"/>
      </w:pPr>
    </w:p>
    <w:p>
      <w:pPr>
        <w:spacing w:after="160" w:line="300"/>
        <w:jc w:val="both"/>
      </w:pPr>
      <w:r>
        <w:rPr>
          <w:rFonts w:ascii="Arial" w:cs="Arial" w:eastAsia="Arial" w:hAnsi="Arial"/>
          <w:color w:val="1A1A1A"/>
          <w:sz w:val="22"/>
          <w:szCs w:val="22"/>
        </w:rPr>
        <w:t xml:space="preserve">Both models are used in their off-the-shelf configurations without any target-domain fine-tuning, ensuring that the experimental results reflect genuine zero-shot fusion behavior.</w:t>
      </w:r>
    </w:p>
    <w:p>
      <w:pPr>
        <w:pStyle w:val="Heading2"/>
        <w:spacing w:after="120" w:before="240"/>
      </w:pPr>
      <w:r>
        <w:rPr>
          <w:rFonts w:ascii="Arial" w:cs="Arial" w:eastAsia="Arial" w:hAnsi="Arial"/>
          <w:b/>
          <w:bCs/>
          <w:color w:val="2E75B6"/>
          <w:sz w:val="24"/>
          <w:szCs w:val="24"/>
        </w:rPr>
        <w:t xml:space="preserve">3.2 Fusion Strategies Under Comparison</w:t>
      </w:r>
    </w:p>
    <w:p>
      <w:pPr>
        <w:spacing w:after="160" w:line="300"/>
        <w:jc w:val="both"/>
      </w:pPr>
      <w:r>
        <w:rPr>
          <w:rFonts w:ascii="Arial" w:cs="Arial" w:eastAsia="Arial" w:hAnsi="Arial"/>
          <w:color w:val="1A1A1A"/>
          <w:sz w:val="22"/>
          <w:szCs w:val="22"/>
        </w:rPr>
        <w:t xml:space="preserve">This project evaluates five fusion strategies of increasing complexity. Each strategy takes as input the ranked lists and/or scores from BM25 and BGE, and produces a single fused ranked list.</w:t>
      </w:r>
    </w:p>
    <w:p>
      <w:pPr>
        <w:spacing w:after="160" w:line="300"/>
        <w:jc w:val="both"/>
      </w:pPr>
      <w:r>
        <w:rPr>
          <w:rFonts w:ascii="Arial" w:cs="Arial" w:eastAsia="Arial" w:hAnsi="Arial"/>
          <w:b/>
          <w:bCs/>
          <w:color w:val="1A1A1A"/>
          <w:sz w:val="22"/>
          <w:szCs w:val="22"/>
        </w:rPr>
        <w:t xml:space="preserve">Strategy A: Score-Level Linear Interpolation. </w:t>
      </w:r>
      <w:r>
        <w:rPr>
          <w:rFonts w:ascii="Arial" w:cs="Arial" w:eastAsia="Arial" w:hAnsi="Arial"/>
          <w:color w:val="1A1A1A"/>
          <w:sz w:val="22"/>
          <w:szCs w:val="22"/>
        </w:rPr>
        <w:t xml:space="preserve">The fused relevance score for document d is computed as: score(d) = α × norm_BM25(d) + (1 – α) × norm_Dense(d), where both scores are min-max normalized to [0, 1] within each query. The weight α is tuned via grid search from 0.0 to 1.0 in increments of 0.1 on the MS MARCO development set.</w:t>
      </w:r>
    </w:p>
    <w:p>
      <w:pPr>
        <w:spacing w:after="160" w:line="300"/>
        <w:jc w:val="both"/>
      </w:pPr>
      <w:r>
        <w:rPr>
          <w:rFonts w:ascii="Arial" w:cs="Arial" w:eastAsia="Arial" w:hAnsi="Arial"/>
          <w:b/>
          <w:bCs/>
          <w:color w:val="1A1A1A"/>
          <w:sz w:val="22"/>
          <w:szCs w:val="22"/>
        </w:rPr>
        <w:t xml:space="preserve">Strategy B: Reciprocal Rank Fusion (RRF). </w:t>
      </w:r>
      <w:r>
        <w:rPr>
          <w:rFonts w:ascii="Arial" w:cs="Arial" w:eastAsia="Arial" w:hAnsi="Arial"/>
          <w:color w:val="1A1A1A"/>
          <w:sz w:val="22"/>
          <w:szCs w:val="22"/>
        </w:rPr>
        <w:t xml:space="preserve">The fused score is computed as: score_RRF(d) = Σ 1/(k + rank_i(d)), where k is a smoothing constant and rank_i(d) is the rank of document d in system i. This method is entirely rank-based and agnostic to score magnitude. The constant k is tested at values 10, 30, 60, and 100.</w:t>
      </w:r>
    </w:p>
    <w:p>
      <w:pPr>
        <w:spacing w:after="160" w:line="300"/>
        <w:jc w:val="both"/>
      </w:pPr>
      <w:r>
        <w:rPr>
          <w:rFonts w:ascii="Arial" w:cs="Arial" w:eastAsia="Arial" w:hAnsi="Arial"/>
          <w:b/>
          <w:bCs/>
          <w:color w:val="1A1A1A"/>
          <w:sz w:val="22"/>
          <w:szCs w:val="22"/>
        </w:rPr>
        <w:t xml:space="preserve">Strategy C: Convex Combination of Normalized Ranks. </w:t>
      </w:r>
      <w:r>
        <w:rPr>
          <w:rFonts w:ascii="Arial" w:cs="Arial" w:eastAsia="Arial" w:hAnsi="Arial"/>
          <w:color w:val="1A1A1A"/>
          <w:sz w:val="22"/>
          <w:szCs w:val="22"/>
        </w:rPr>
        <w:t xml:space="preserve">This variant replaces RRF’s reciprocal formulation with a linear blend: rank_fused(d) = β × rank_BM25_norm(d) + (1 – β) × rank_Dense_norm(d), where ranks are normalized to [0, 1]. This tests whether a simpler rank-fusion formulation can match RRF’s effectiveness.</w:t>
      </w:r>
    </w:p>
    <w:p>
      <w:pPr>
        <w:spacing w:after="160" w:line="300"/>
        <w:jc w:val="both"/>
      </w:pPr>
      <w:r>
        <w:rPr>
          <w:rFonts w:ascii="Arial" w:cs="Arial" w:eastAsia="Arial" w:hAnsi="Arial"/>
          <w:b/>
          <w:bCs/>
          <w:color w:val="1A1A1A"/>
          <w:sz w:val="22"/>
          <w:szCs w:val="22"/>
        </w:rPr>
        <w:t xml:space="preserve">Strategy D: Learned Linear Fusion. </w:t>
      </w:r>
      <w:r>
        <w:rPr>
          <w:rFonts w:ascii="Arial" w:cs="Arial" w:eastAsia="Arial" w:hAnsi="Arial"/>
          <w:color w:val="1A1A1A"/>
          <w:sz w:val="22"/>
          <w:szCs w:val="22"/>
        </w:rPr>
        <w:t xml:space="preserve">A logistic regression model is trained on the MS MARCO training set using BM25 and BGE scores as features, predicting binary relevance. The learned model is used to produce fusion scores at inference time. Five-fold cross-validation is used for training; generalization is evaluated on the remaining datasets.</w:t>
      </w:r>
    </w:p>
    <w:p>
      <w:pPr>
        <w:spacing w:after="160" w:line="300"/>
        <w:jc w:val="both"/>
      </w:pPr>
      <w:r>
        <w:rPr>
          <w:rFonts w:ascii="Arial" w:cs="Arial" w:eastAsia="Arial" w:hAnsi="Arial"/>
          <w:b/>
          <w:bCs/>
          <w:color w:val="1A1A1A"/>
          <w:sz w:val="22"/>
          <w:szCs w:val="22"/>
        </w:rPr>
        <w:t xml:space="preserve">Strategy E: Query-Adaptive Fusion (Novel Contribution). </w:t>
      </w:r>
      <w:r>
        <w:rPr>
          <w:rFonts w:ascii="Arial" w:cs="Arial" w:eastAsia="Arial" w:hAnsi="Arial"/>
          <w:color w:val="1A1A1A"/>
          <w:sz w:val="22"/>
          <w:szCs w:val="22"/>
        </w:rPr>
        <w:t xml:space="preserve">This strategy represents the primary methodological contribution of the project. For each query, a set of lightweight features is extracted, and a regression model predicts the optimal interpolation weight α* for that specific query. The training procedure operates as follows: (1) for each query in the MS MARCO training set, determine the oracle α that maximizes NDCG@10 via grid search; (2) extract query features; (3) train a regression model (Ridge or Random Forest) to predict α* from query features.</w:t>
      </w:r>
    </w:p>
    <w:p>
      <w:pPr>
        <w:spacing w:after="160" w:line="300"/>
        <w:jc w:val="both"/>
      </w:pPr>
      <w:r>
        <w:rPr>
          <w:rFonts w:ascii="Arial" w:cs="Arial" w:eastAsia="Arial" w:hAnsi="Arial"/>
          <w:color w:val="1A1A1A"/>
          <w:sz w:val="22"/>
          <w:szCs w:val="22"/>
        </w:rPr>
        <w:t xml:space="preserve">The query features used for adaptive fusion are:</w:t>
      </w:r>
    </w:p>
    <w:p>
      <w:pPr>
        <w:pStyle w:val="ListParagraph"/>
        <w:numPr>
          <w:ilvl w:val="0"/>
          <w:numId w:val="2"/>
        </w:numPr>
        <w:spacing w:after="80" w:line="280"/>
      </w:pPr>
      <w:r>
        <w:rPr>
          <w:rFonts w:ascii="Arial" w:cs="Arial" w:eastAsia="Arial" w:hAnsi="Arial"/>
          <w:color w:val="1A1A1A"/>
          <w:sz w:val="22"/>
          <w:szCs w:val="22"/>
        </w:rPr>
        <w:t xml:space="preserve">Query length (number of tokens)</w:t>
      </w:r>
    </w:p>
    <w:p>
      <w:pPr>
        <w:pStyle w:val="ListParagraph"/>
        <w:numPr>
          <w:ilvl w:val="0"/>
          <w:numId w:val="2"/>
        </w:numPr>
        <w:spacing w:after="80" w:line="280"/>
      </w:pPr>
      <w:r>
        <w:rPr>
          <w:rFonts w:ascii="Arial" w:cs="Arial" w:eastAsia="Arial" w:hAnsi="Arial"/>
          <w:color w:val="1A1A1A"/>
          <w:sz w:val="22"/>
          <w:szCs w:val="22"/>
        </w:rPr>
        <w:t xml:space="preserve">Mean IDF of query terms (computed from the target corpus)</w:t>
      </w:r>
    </w:p>
    <w:p>
      <w:pPr>
        <w:pStyle w:val="ListParagraph"/>
        <w:numPr>
          <w:ilvl w:val="0"/>
          <w:numId w:val="2"/>
        </w:numPr>
        <w:spacing w:after="80" w:line="280"/>
      </w:pPr>
      <w:r>
        <w:rPr>
          <w:rFonts w:ascii="Arial" w:cs="Arial" w:eastAsia="Arial" w:hAnsi="Arial"/>
          <w:color w:val="1A1A1A"/>
          <w:sz w:val="22"/>
          <w:szCs w:val="22"/>
        </w:rPr>
        <w:t xml:space="preserve">Proportion of stopwords in the query</w:t>
      </w:r>
    </w:p>
    <w:p>
      <w:pPr>
        <w:pStyle w:val="ListParagraph"/>
        <w:numPr>
          <w:ilvl w:val="0"/>
          <w:numId w:val="2"/>
        </w:numPr>
        <w:spacing w:after="80" w:line="280"/>
      </w:pPr>
      <w:r>
        <w:rPr>
          <w:rFonts w:ascii="Arial" w:cs="Arial" w:eastAsia="Arial" w:hAnsi="Arial"/>
          <w:color w:val="1A1A1A"/>
          <w:sz w:val="22"/>
          <w:szCs w:val="22"/>
        </w:rPr>
        <w:t xml:space="preserve">Query type indicator: whether the query is phrased as a natural language question (detected by leading interrogative words or question marks)</w:t>
      </w:r>
    </w:p>
    <w:p>
      <w:pPr>
        <w:pStyle w:val="ListParagraph"/>
        <w:numPr>
          <w:ilvl w:val="0"/>
          <w:numId w:val="2"/>
        </w:numPr>
        <w:spacing w:after="80" w:line="280"/>
      </w:pPr>
      <w:r>
        <w:rPr>
          <w:rFonts w:ascii="Arial" w:cs="Arial" w:eastAsia="Arial" w:hAnsi="Arial"/>
          <w:color w:val="1A1A1A"/>
          <w:sz w:val="22"/>
          <w:szCs w:val="22"/>
        </w:rPr>
        <w:t xml:space="preserve">Score dispersion: the standard deviation of BM25 scores in the top-100 results (a proxy for query specificity)</w:t>
      </w:r>
    </w:p>
    <w:p>
      <w:pPr>
        <w:pStyle w:val="Heading2"/>
        <w:spacing w:after="120" w:before="240"/>
      </w:pPr>
      <w:r>
        <w:rPr>
          <w:rFonts w:ascii="Arial" w:cs="Arial" w:eastAsia="Arial" w:hAnsi="Arial"/>
          <w:b/>
          <w:bCs/>
          <w:color w:val="2E75B6"/>
          <w:sz w:val="24"/>
          <w:szCs w:val="24"/>
        </w:rPr>
        <w:t xml:space="preserve">3.3 Datasets</w:t>
      </w:r>
    </w:p>
    <w:p>
      <w:pPr>
        <w:spacing w:after="160" w:line="300"/>
        <w:jc w:val="both"/>
      </w:pPr>
      <w:r>
        <w:rPr>
          <w:rFonts w:ascii="Arial" w:cs="Arial" w:eastAsia="Arial" w:hAnsi="Arial"/>
          <w:color w:val="1A1A1A"/>
          <w:sz w:val="22"/>
          <w:szCs w:val="22"/>
        </w:rPr>
        <w:t xml:space="preserve">Experiments are conducted on four datasets from the BEIR benchmark, selected to span a range of domain characteristics and to test fusion robustness under varied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Dataset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Queries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Corpus Size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Characteristics and Role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MS MARCO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6,980 (dev)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8.84M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General web queries. Used as the primary development and training set for learned and adaptive fusion strategies.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TREC-COVID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171K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Biomedical domain with dense specialized terminology. Expected to favor BM25 due to strong lexical signals.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ArguAna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1,406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8.67K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Counterargument retrieval with minimal lexical overlap between queries and relevant documents. Expected to favor dense retrieval.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FiQA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648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57K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Financial opinion QA. Mixed characteristics: domain jargon combined with conversational query phrasing. Neither method has a clear prior advantage.</w:t>
            </w:r>
          </w:p>
        </w:tc>
      </w:tr>
    </w:tbl>
    <w:p>
      <w:pPr>
        <w:spacing w:after="200"/>
      </w:pPr>
    </w:p>
    <w:p>
      <w:pPr>
        <w:pStyle w:val="Heading1"/>
        <w:spacing w:after="200" w:before="360"/>
      </w:pPr>
      <w:r>
        <w:rPr>
          <w:rFonts w:ascii="Arial" w:cs="Arial" w:eastAsia="Arial" w:hAnsi="Arial"/>
          <w:b/>
          <w:bCs/>
          <w:color w:val="1B3A5C"/>
          <w:sz w:val="28"/>
          <w:szCs w:val="28"/>
        </w:rPr>
        <w:t xml:space="preserve">4. Experimental Design</w:t>
      </w:r>
    </w:p>
    <w:p>
      <w:pPr>
        <w:pStyle w:val="Heading2"/>
        <w:spacing w:after="120" w:before="240"/>
      </w:pPr>
      <w:r>
        <w:rPr>
          <w:rFonts w:ascii="Arial" w:cs="Arial" w:eastAsia="Arial" w:hAnsi="Arial"/>
          <w:b/>
          <w:bCs/>
          <w:color w:val="2E75B6"/>
          <w:sz w:val="24"/>
          <w:szCs w:val="24"/>
        </w:rPr>
        <w:t xml:space="preserve">4.1 Experiment 1: Full Strategy Comparison Matrix</w:t>
      </w:r>
    </w:p>
    <w:p>
      <w:pPr>
        <w:spacing w:after="160" w:line="300"/>
        <w:jc w:val="both"/>
      </w:pPr>
      <w:r>
        <w:rPr>
          <w:rFonts w:ascii="Arial" w:cs="Arial" w:eastAsia="Arial" w:hAnsi="Arial"/>
          <w:color w:val="1A1A1A"/>
          <w:sz w:val="22"/>
          <w:szCs w:val="22"/>
        </w:rPr>
        <w:t xml:space="preserve">All five fusion strategies are evaluated on all four datasets, producing a 5×4 performance matrix. BM25-only and BGE-only baselines serve as reference rows. This experiment directly addresses RQ1.</w:t>
      </w:r>
    </w:p>
    <w:p>
      <w:pPr>
        <w:pStyle w:val="Heading2"/>
        <w:spacing w:after="120" w:before="240"/>
      </w:pPr>
      <w:r>
        <w:rPr>
          <w:rFonts w:ascii="Arial" w:cs="Arial" w:eastAsia="Arial" w:hAnsi="Arial"/>
          <w:b/>
          <w:bCs/>
          <w:color w:val="2E75B6"/>
          <w:sz w:val="24"/>
          <w:szCs w:val="24"/>
        </w:rPr>
        <w:t xml:space="preserve">4.2 Experiment 2: Parameter Sensitivity Analysis</w:t>
      </w:r>
    </w:p>
    <w:p>
      <w:pPr>
        <w:spacing w:after="160" w:line="300"/>
        <w:jc w:val="both"/>
      </w:pPr>
      <w:r>
        <w:rPr>
          <w:rFonts w:ascii="Arial" w:cs="Arial" w:eastAsia="Arial" w:hAnsi="Arial"/>
          <w:color w:val="1A1A1A"/>
          <w:sz w:val="22"/>
          <w:szCs w:val="22"/>
        </w:rPr>
        <w:t xml:space="preserve">For Strategy A, the NDCG@10 curve is plotted as a function of α (from 0.0 to 1.0) on each dataset. For Strategy B, a similar curve is plotted for the RRF constant k. The key question (addressing RQ2) is whether the optimal parameters are consistent across datasets. If the optimal α for MS MARCO is 0.3 but for ArguAna it is 0.8, this directly motivates the need for adaptive fusion.</w:t>
      </w:r>
    </w:p>
    <w:p>
      <w:pPr>
        <w:pStyle w:val="Heading2"/>
        <w:spacing w:after="120" w:before="240"/>
      </w:pPr>
      <w:r>
        <w:rPr>
          <w:rFonts w:ascii="Arial" w:cs="Arial" w:eastAsia="Arial" w:hAnsi="Arial"/>
          <w:b/>
          <w:bCs/>
          <w:color w:val="2E75B6"/>
          <w:sz w:val="24"/>
          <w:szCs w:val="24"/>
        </w:rPr>
        <w:t xml:space="preserve">4.3 Experiment 3: Query-Level Analysis of Adaptive Fusion</w:t>
      </w:r>
    </w:p>
    <w:p>
      <w:pPr>
        <w:spacing w:after="160" w:line="300"/>
        <w:jc w:val="both"/>
      </w:pPr>
      <w:r>
        <w:rPr>
          <w:rFonts w:ascii="Arial" w:cs="Arial" w:eastAsia="Arial" w:hAnsi="Arial"/>
          <w:color w:val="1A1A1A"/>
          <w:sz w:val="22"/>
          <w:szCs w:val="22"/>
        </w:rPr>
        <w:t xml:space="preserve">Queries in the test sets are binned by the α* predicted by Strategy E: α* &lt; 0.3 (dense-dominant), 0.3 ≤ α* ≤ 0.7 (balanced), and α* &gt; 0.7 (sparse-dominant). The query feature distributions in each bin are analyzed to identify which characteristics drive the model toward favoring one retrieval paradigm over the other. This analysis addresses RQ3 and provides interpretable insights into when each retrieval signal is most valuable.</w:t>
      </w:r>
    </w:p>
    <w:p>
      <w:pPr>
        <w:pStyle w:val="Heading2"/>
        <w:spacing w:after="120" w:before="240"/>
      </w:pPr>
      <w:r>
        <w:rPr>
          <w:rFonts w:ascii="Arial" w:cs="Arial" w:eastAsia="Arial" w:hAnsi="Arial"/>
          <w:b/>
          <w:bCs/>
          <w:color w:val="2E75B6"/>
          <w:sz w:val="24"/>
          <w:szCs w:val="24"/>
        </w:rPr>
        <w:t xml:space="preserve">4.4 Experiment 4: Oracle Fusion Upper Bound</w:t>
      </w:r>
    </w:p>
    <w:p>
      <w:pPr>
        <w:spacing w:after="160" w:line="300"/>
        <w:jc w:val="both"/>
      </w:pPr>
      <w:r>
        <w:rPr>
          <w:rFonts w:ascii="Arial" w:cs="Arial" w:eastAsia="Arial" w:hAnsi="Arial"/>
          <w:color w:val="1A1A1A"/>
          <w:sz w:val="22"/>
          <w:szCs w:val="22"/>
        </w:rPr>
        <w:t xml:space="preserve">For each query, the oracle α is found by exhaustive grid search (step 0.01), and the resulting NDCG@10 is computed. The oracle represents the theoretical ceiling for any linear fusion strategy, and the gap between oracle and the best practical strategy quantifies remaining room for improvement. This contextualizes all other results.</w:t>
      </w:r>
    </w:p>
    <w:p>
      <w:pPr>
        <w:pStyle w:val="Heading1"/>
        <w:spacing w:after="200" w:before="360"/>
      </w:pPr>
      <w:r>
        <w:rPr>
          <w:rFonts w:ascii="Arial" w:cs="Arial" w:eastAsia="Arial" w:hAnsi="Arial"/>
          <w:b/>
          <w:bCs/>
          <w:color w:val="1B3A5C"/>
          <w:sz w:val="28"/>
          <w:szCs w:val="28"/>
        </w:rPr>
        <w:t xml:space="preserve">5. Evaluation Metrics</w:t>
      </w:r>
    </w:p>
    <w:p>
      <w:pPr>
        <w:spacing w:after="160" w:line="300"/>
        <w:jc w:val="both"/>
      </w:pPr>
      <w:r>
        <w:rPr>
          <w:rFonts w:ascii="Arial" w:cs="Arial" w:eastAsia="Arial" w:hAnsi="Arial"/>
          <w:color w:val="1A1A1A"/>
          <w:sz w:val="22"/>
          <w:szCs w:val="22"/>
        </w:rPr>
        <w:t xml:space="preserve">The primary evaluation metric is NDCG@10 (Normalized Discounted Cumulative Gain at rank 10), which is the standard metric in the BEIR benchmark and accounts for graded relevance. MAP (Mean Average Precision) and Recall@100 are reported as supplementary metrics to capture ranking quality and recall coverage, respectively. Statistical significance is assessed using a paired t-test across queries, with p &lt; 0.05 as the threshold.</w:t>
      </w:r>
    </w:p>
    <w:p>
      <w:pPr>
        <w:pStyle w:val="Heading1"/>
        <w:spacing w:after="200" w:before="360"/>
      </w:pPr>
      <w:r>
        <w:rPr>
          <w:rFonts w:ascii="Arial" w:cs="Arial" w:eastAsia="Arial" w:hAnsi="Arial"/>
          <w:b/>
          <w:bCs/>
          <w:color w:val="1B3A5C"/>
          <w:sz w:val="28"/>
          <w:szCs w:val="28"/>
        </w:rPr>
        <w:t xml:space="preserve">6.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Environment Setup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Install Pyserini, Sentence-Transformers, BEIR, FAISS, scikit-learn. Configure GPU environment. Download all datasets.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Working pipeline with BM25 and BGE baselines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Indexing and Baseline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Build Lucene indexes for BM25. Encode all corpora with BGE and build FAISS indexes. Run baseline retrieval and store top-1000 results with raw scores.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Baseline NDCG@10 for BM25 and BGE on all 4 datasets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Fusion Implementation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Implement Strategies A–E with unified interface. Train learned fusion (D) and adaptive fusion (E) on MS MARCO. Run Experiments 1–4 across all datasets.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Complete performance matrix and parameter sensitivity curves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Query-level analysis for Strategy E. Oracle upper bound computation. Error analysis and case studies on representative queries.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All figures, tables, and qualitative analysis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b/>
                <w:bCs/>
                <w:color w:val="1A1A1A"/>
                <w:sz w:val="22"/>
                <w:szCs w:val="22"/>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Report Writing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Write final report in conference paper format. Prepare code repository with reproducibility instructions.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color w:val="1A1A1A"/>
                <w:sz w:val="22"/>
                <w:szCs w:val="22"/>
              </w:rPr>
              <w:t xml:space="preserve">Final report and code submission</w:t>
            </w:r>
          </w:p>
        </w:tc>
      </w:tr>
    </w:tbl>
    <w:p>
      <w:pPr>
        <w:spacing w:after="200"/>
      </w:pPr>
    </w:p>
    <w:p>
      <w:pPr>
        <w:pStyle w:val="Heading2"/>
        <w:spacing w:after="120" w:before="240"/>
      </w:pPr>
      <w:r>
        <w:rPr>
          <w:rFonts w:ascii="Arial" w:cs="Arial" w:eastAsia="Arial" w:hAnsi="Arial"/>
          <w:b/>
          <w:bCs/>
          <w:color w:val="2E75B6"/>
          <w:sz w:val="24"/>
          <w:szCs w:val="24"/>
        </w:rPr>
        <w:t xml:space="preserve">6.1 Software and Infrastructure</w:t>
      </w:r>
    </w:p>
    <w:p>
      <w:pPr>
        <w:spacing w:after="160" w:line="300"/>
        <w:jc w:val="both"/>
      </w:pPr>
      <w:r>
        <w:rPr>
          <w:rFonts w:ascii="Arial" w:cs="Arial" w:eastAsia="Arial" w:hAnsi="Arial"/>
          <w:color w:val="1A1A1A"/>
          <w:sz w:val="22"/>
          <w:szCs w:val="22"/>
        </w:rPr>
        <w:t xml:space="preserve">The full technology stack is as follows:</w:t>
      </w:r>
    </w:p>
    <w:p>
      <w:pPr>
        <w:pStyle w:val="ListParagraph"/>
        <w:numPr>
          <w:ilvl w:val="0"/>
          <w:numId w:val="2"/>
        </w:numPr>
        <w:spacing w:after="80" w:line="280"/>
      </w:pPr>
      <w:r>
        <w:rPr>
          <w:rFonts w:ascii="Arial" w:cs="Arial" w:eastAsia="Arial" w:hAnsi="Arial"/>
          <w:b/>
          <w:bCs/>
          <w:color w:val="1A1A1A"/>
          <w:sz w:val="22"/>
          <w:szCs w:val="22"/>
        </w:rPr>
        <w:t xml:space="preserve">Retrieval framework: </w:t>
      </w:r>
      <w:r>
        <w:rPr>
          <w:rFonts w:ascii="Arial" w:cs="Arial" w:eastAsia="Arial" w:hAnsi="Arial"/>
          <w:color w:val="1A1A1A"/>
          <w:sz w:val="22"/>
          <w:szCs w:val="22"/>
        </w:rPr>
        <w:t xml:space="preserve">Pyserini (BM25 indexing and search via Lucene)</w:t>
      </w:r>
    </w:p>
    <w:p>
      <w:pPr>
        <w:pStyle w:val="ListParagraph"/>
        <w:numPr>
          <w:ilvl w:val="0"/>
          <w:numId w:val="2"/>
        </w:numPr>
        <w:spacing w:after="80" w:line="280"/>
      </w:pPr>
      <w:r>
        <w:rPr>
          <w:rFonts w:ascii="Arial" w:cs="Arial" w:eastAsia="Arial" w:hAnsi="Arial"/>
          <w:b/>
          <w:bCs/>
          <w:color w:val="1A1A1A"/>
          <w:sz w:val="22"/>
          <w:szCs w:val="22"/>
        </w:rPr>
        <w:t xml:space="preserve">Dense encoding: </w:t>
      </w:r>
      <w:r>
        <w:rPr>
          <w:rFonts w:ascii="Arial" w:cs="Arial" w:eastAsia="Arial" w:hAnsi="Arial"/>
          <w:color w:val="1A1A1A"/>
          <w:sz w:val="22"/>
          <w:szCs w:val="22"/>
        </w:rPr>
        <w:t xml:space="preserve">Sentence-Transformers with the BAAI/bge-base-en-v1.5 checkpoint from HuggingFace</w:t>
      </w:r>
    </w:p>
    <w:p>
      <w:pPr>
        <w:pStyle w:val="ListParagraph"/>
        <w:numPr>
          <w:ilvl w:val="0"/>
          <w:numId w:val="2"/>
        </w:numPr>
        <w:spacing w:after="80" w:line="280"/>
      </w:pPr>
      <w:r>
        <w:rPr>
          <w:rFonts w:ascii="Arial" w:cs="Arial" w:eastAsia="Arial" w:hAnsi="Arial"/>
          <w:b/>
          <w:bCs/>
          <w:color w:val="1A1A1A"/>
          <w:sz w:val="22"/>
          <w:szCs w:val="22"/>
        </w:rPr>
        <w:t xml:space="preserve">Vector index: </w:t>
      </w:r>
      <w:r>
        <w:rPr>
          <w:rFonts w:ascii="Arial" w:cs="Arial" w:eastAsia="Arial" w:hAnsi="Arial"/>
          <w:color w:val="1A1A1A"/>
          <w:sz w:val="22"/>
          <w:szCs w:val="22"/>
        </w:rPr>
        <w:t xml:space="preserve">FAISS (Facebook AI Similarity Search) for efficient approximate nearest neighbor search</w:t>
      </w:r>
    </w:p>
    <w:p>
      <w:pPr>
        <w:pStyle w:val="ListParagraph"/>
        <w:numPr>
          <w:ilvl w:val="0"/>
          <w:numId w:val="2"/>
        </w:numPr>
        <w:spacing w:after="80" w:line="280"/>
      </w:pPr>
      <w:r>
        <w:rPr>
          <w:rFonts w:ascii="Arial" w:cs="Arial" w:eastAsia="Arial" w:hAnsi="Arial"/>
          <w:b/>
          <w:bCs/>
          <w:color w:val="1A1A1A"/>
          <w:sz w:val="22"/>
          <w:szCs w:val="22"/>
        </w:rPr>
        <w:t xml:space="preserve">Evaluation: </w:t>
      </w:r>
      <w:r>
        <w:rPr>
          <w:rFonts w:ascii="Arial" w:cs="Arial" w:eastAsia="Arial" w:hAnsi="Arial"/>
          <w:color w:val="1A1A1A"/>
          <w:sz w:val="22"/>
          <w:szCs w:val="22"/>
        </w:rPr>
        <w:t xml:space="preserve">BEIR evaluation toolkit (pytrec_eval backend)</w:t>
      </w:r>
    </w:p>
    <w:p>
      <w:pPr>
        <w:pStyle w:val="ListParagraph"/>
        <w:numPr>
          <w:ilvl w:val="0"/>
          <w:numId w:val="2"/>
        </w:numPr>
        <w:spacing w:after="80" w:line="280"/>
      </w:pPr>
      <w:r>
        <w:rPr>
          <w:rFonts w:ascii="Arial" w:cs="Arial" w:eastAsia="Arial" w:hAnsi="Arial"/>
          <w:b/>
          <w:bCs/>
          <w:color w:val="1A1A1A"/>
          <w:sz w:val="22"/>
          <w:szCs w:val="22"/>
        </w:rPr>
        <w:t xml:space="preserve">Machine learning: </w:t>
      </w:r>
      <w:r>
        <w:rPr>
          <w:rFonts w:ascii="Arial" w:cs="Arial" w:eastAsia="Arial" w:hAnsi="Arial"/>
          <w:color w:val="1A1A1A"/>
          <w:sz w:val="22"/>
          <w:szCs w:val="22"/>
        </w:rPr>
        <w:t xml:space="preserve">scikit-learn for logistic regression (Strategy D) and Ridge/Random Forest regression (Strategy E)</w:t>
      </w:r>
    </w:p>
    <w:p>
      <w:pPr>
        <w:pStyle w:val="ListParagraph"/>
        <w:numPr>
          <w:ilvl w:val="0"/>
          <w:numId w:val="2"/>
        </w:numPr>
        <w:spacing w:after="80" w:line="280"/>
      </w:pPr>
      <w:r>
        <w:rPr>
          <w:rFonts w:ascii="Arial" w:cs="Arial" w:eastAsia="Arial" w:hAnsi="Arial"/>
          <w:b/>
          <w:bCs/>
          <w:color w:val="1A1A1A"/>
          <w:sz w:val="22"/>
          <w:szCs w:val="22"/>
        </w:rPr>
        <w:t xml:space="preserve">Compute: </w:t>
      </w:r>
      <w:r>
        <w:rPr>
          <w:rFonts w:ascii="Arial" w:cs="Arial" w:eastAsia="Arial" w:hAnsi="Arial"/>
          <w:color w:val="1A1A1A"/>
          <w:sz w:val="22"/>
          <w:szCs w:val="22"/>
        </w:rPr>
        <w:t xml:space="preserve">Single GPU (16GB VRAM minimum) for document encoding; all fusion experiments are CPU-only</w:t>
      </w:r>
    </w:p>
    <w:p>
      <w:pPr>
        <w:pStyle w:val="Heading1"/>
        <w:spacing w:after="200" w:before="360"/>
      </w:pPr>
      <w:r>
        <w:rPr>
          <w:rFonts w:ascii="Arial" w:cs="Arial" w:eastAsia="Arial" w:hAnsi="Arial"/>
          <w:b/>
          <w:bCs/>
          <w:color w:val="1B3A5C"/>
          <w:sz w:val="28"/>
          <w:szCs w:val="28"/>
        </w:rPr>
        <w:t xml:space="preserve">7. Expected Contributions and Hypotheses</w:t>
      </w:r>
    </w:p>
    <w:p>
      <w:pPr>
        <w:spacing w:after="160" w:line="300"/>
        <w:jc w:val="both"/>
      </w:pPr>
      <w:r>
        <w:rPr>
          <w:rFonts w:ascii="Arial" w:cs="Arial" w:eastAsia="Arial" w:hAnsi="Arial"/>
          <w:color w:val="1A1A1A"/>
          <w:sz w:val="22"/>
          <w:szCs w:val="22"/>
        </w:rPr>
        <w:t xml:space="preserve">Based on the literature and preliminary intuitions, the following outcomes are hypothesized:</w:t>
      </w:r>
    </w:p>
    <w:p>
      <w:pPr>
        <w:pStyle w:val="ListParagraph"/>
        <w:numPr>
          <w:ilvl w:val="0"/>
          <w:numId w:val="2"/>
        </w:numPr>
        <w:spacing w:after="80" w:line="280"/>
      </w:pPr>
      <w:r>
        <w:rPr>
          <w:rFonts w:ascii="Arial" w:cs="Arial" w:eastAsia="Arial" w:hAnsi="Arial"/>
          <w:b/>
          <w:bCs/>
          <w:color w:val="1A1A1A"/>
          <w:sz w:val="22"/>
          <w:szCs w:val="22"/>
        </w:rPr>
        <w:t xml:space="preserve">H1: </w:t>
      </w:r>
      <w:r>
        <w:rPr>
          <w:rFonts w:ascii="Arial" w:cs="Arial" w:eastAsia="Arial" w:hAnsi="Arial"/>
          <w:color w:val="1A1A1A"/>
          <w:sz w:val="22"/>
          <w:szCs w:val="22"/>
        </w:rPr>
        <w:t xml:space="preserve">RRF (Strategy B) will be the strongest static baseline due to its rank-based nature eliminating score calibration issues. It will outperform linear interpolation (Strategy A) on datasets where BM25 and BGE score distributions differ significantly.</w:t>
      </w:r>
    </w:p>
    <w:p>
      <w:pPr>
        <w:pStyle w:val="ListParagraph"/>
        <w:numPr>
          <w:ilvl w:val="0"/>
          <w:numId w:val="2"/>
        </w:numPr>
        <w:spacing w:after="80" w:line="280"/>
      </w:pPr>
      <w:r>
        <w:rPr>
          <w:rFonts w:ascii="Arial" w:cs="Arial" w:eastAsia="Arial" w:hAnsi="Arial"/>
          <w:b/>
          <w:bCs/>
          <w:color w:val="1A1A1A"/>
          <w:sz w:val="22"/>
          <w:szCs w:val="22"/>
        </w:rPr>
        <w:t xml:space="preserve">H2: </w:t>
      </w:r>
      <w:r>
        <w:rPr>
          <w:rFonts w:ascii="Arial" w:cs="Arial" w:eastAsia="Arial" w:hAnsi="Arial"/>
          <w:color w:val="1A1A1A"/>
          <w:sz w:val="22"/>
          <w:szCs w:val="22"/>
        </w:rPr>
        <w:t xml:space="preserve">The optimal α for Strategy A will vary substantially across datasets. Specifically, it will be lower (dense-favoring) on ArguAna and higher (sparse-favoring) on TREC-COVID, with FiQA falling in between. This variation directly motivates adaptive fusion.</w:t>
      </w:r>
    </w:p>
    <w:p>
      <w:pPr>
        <w:pStyle w:val="ListParagraph"/>
        <w:numPr>
          <w:ilvl w:val="0"/>
          <w:numId w:val="2"/>
        </w:numPr>
        <w:spacing w:after="80" w:line="280"/>
      </w:pPr>
      <w:r>
        <w:rPr>
          <w:rFonts w:ascii="Arial" w:cs="Arial" w:eastAsia="Arial" w:hAnsi="Arial"/>
          <w:b/>
          <w:bCs/>
          <w:color w:val="1A1A1A"/>
          <w:sz w:val="22"/>
          <w:szCs w:val="22"/>
        </w:rPr>
        <w:t xml:space="preserve">H3: </w:t>
      </w:r>
      <w:r>
        <w:rPr>
          <w:rFonts w:ascii="Arial" w:cs="Arial" w:eastAsia="Arial" w:hAnsi="Arial"/>
          <w:color w:val="1A1A1A"/>
          <w:sz w:val="22"/>
          <w:szCs w:val="22"/>
        </w:rPr>
        <w:t xml:space="preserve">Strategy E (adaptive fusion) will outperform all static strategies on at least two of the three evaluation datasets (excluding MS MARCO, which is used for training). However, the magnitude of improvement may be modest if the query features are insufficiently discriminative.</w:t>
      </w:r>
    </w:p>
    <w:p>
      <w:pPr>
        <w:pStyle w:val="ListParagraph"/>
        <w:numPr>
          <w:ilvl w:val="0"/>
          <w:numId w:val="2"/>
        </w:numPr>
        <w:spacing w:after="80" w:line="280"/>
      </w:pPr>
      <w:r>
        <w:rPr>
          <w:rFonts w:ascii="Arial" w:cs="Arial" w:eastAsia="Arial" w:hAnsi="Arial"/>
          <w:b/>
          <w:bCs/>
          <w:color w:val="1A1A1A"/>
          <w:sz w:val="22"/>
          <w:szCs w:val="22"/>
        </w:rPr>
        <w:t xml:space="preserve">H4: </w:t>
      </w:r>
      <w:r>
        <w:rPr>
          <w:rFonts w:ascii="Arial" w:cs="Arial" w:eastAsia="Arial" w:hAnsi="Arial"/>
          <w:color w:val="1A1A1A"/>
          <w:sz w:val="22"/>
          <w:szCs w:val="22"/>
        </w:rPr>
        <w:t xml:space="preserve">The oracle upper bound will reveal a significant gap (estimated 3–8 NDCG@10 points) above the best practical strategy, suggesting that more sophisticated query features or fusion architectures could yield further gains in future work.</w:t>
      </w:r>
    </w:p>
    <w:p>
      <w:pPr>
        <w:spacing w:after="160" w:line="300"/>
        <w:jc w:val="both"/>
      </w:pPr>
      <w:r>
        <w:rPr>
          <w:rFonts w:ascii="Arial" w:cs="Arial" w:eastAsia="Arial" w:hAnsi="Arial"/>
          <w:color w:val="1A1A1A"/>
          <w:sz w:val="22"/>
          <w:szCs w:val="22"/>
        </w:rPr>
        <w:t xml:space="preserve">Even in cases where hypotheses are not confirmed, the negative results will provide valuable insights. For instance, if adaptive fusion fails to improve over RRF, this would suggest that RRF’s rank-based formulation already captures much of the benefit of adaptivity, an important finding for practitioners.</w:t>
      </w:r>
    </w:p>
    <w:p>
      <w:pPr>
        <w:pStyle w:val="Heading1"/>
        <w:spacing w:after="200" w:before="360"/>
      </w:pPr>
      <w:r>
        <w:rPr>
          <w:rFonts w:ascii="Arial" w:cs="Arial" w:eastAsia="Arial" w:hAnsi="Arial"/>
          <w:b/>
          <w:bCs/>
          <w:color w:val="1B3A5C"/>
          <w:sz w:val="28"/>
          <w:szCs w:val="28"/>
        </w:rPr>
        <w:t xml:space="preserve">8. References</w:t>
      </w:r>
    </w:p>
    <w:p>
      <w:pPr>
        <w:spacing w:after="160" w:line="300"/>
        <w:jc w:val="left"/>
      </w:pPr>
      <w:r>
        <w:rPr>
          <w:rFonts w:ascii="Arial" w:cs="Arial" w:eastAsia="Arial" w:hAnsi="Arial"/>
          <w:i/>
          <w:iCs/>
          <w:color w:val="555555"/>
          <w:sz w:val="22"/>
          <w:szCs w:val="22"/>
        </w:rPr>
        <w:t xml:space="preserve">Cormack, G. V., Clarke, C. L., &amp; Butt, S. (2009). Reciprocal Rank Fusion outperforms Condorcet and individual Rank Learning methods. SIGIR 2009.</w:t>
      </w:r>
    </w:p>
    <w:p>
      <w:pPr>
        <w:spacing w:after="160" w:line="300"/>
        <w:jc w:val="left"/>
      </w:pPr>
      <w:r>
        <w:rPr>
          <w:rFonts w:ascii="Arial" w:cs="Arial" w:eastAsia="Arial" w:hAnsi="Arial"/>
          <w:i/>
          <w:iCs/>
          <w:color w:val="555555"/>
          <w:sz w:val="22"/>
          <w:szCs w:val="22"/>
        </w:rPr>
        <w:t xml:space="preserve">Thakur, N., Reimers, N., Rücklé, A., Srivastava, A., &amp; Gurevych, I. (2021). BEIR: A heterogeneous benchmark for zero-shot evaluation of information retrieval models. NeurIPS 2021 Datasets and Benchmarks Track.</w:t>
      </w:r>
    </w:p>
    <w:p>
      <w:pPr>
        <w:spacing w:after="160" w:line="300"/>
        <w:jc w:val="left"/>
      </w:pPr>
      <w:r>
        <w:rPr>
          <w:rFonts w:ascii="Arial" w:cs="Arial" w:eastAsia="Arial" w:hAnsi="Arial"/>
          <w:i/>
          <w:iCs/>
          <w:color w:val="555555"/>
          <w:sz w:val="22"/>
          <w:szCs w:val="22"/>
        </w:rPr>
        <w:t xml:space="preserve">Xiao, S., Liu, Z., Zhang, P., &amp; Muennighoff, N. (2023). C-Pack: Packaged resources to advance general Chinese embedding. arXiv:2309.07597. (BGE model series.)</w:t>
      </w:r>
    </w:p>
    <w:p>
      <w:pPr>
        <w:spacing w:after="160" w:line="300"/>
        <w:jc w:val="left"/>
      </w:pPr>
      <w:r>
        <w:rPr>
          <w:rFonts w:ascii="Arial" w:cs="Arial" w:eastAsia="Arial" w:hAnsi="Arial"/>
          <w:i/>
          <w:iCs/>
          <w:color w:val="555555"/>
          <w:sz w:val="22"/>
          <w:szCs w:val="22"/>
        </w:rPr>
        <w:t xml:space="preserve">Izacard, G., Caron, M., Hosseini, L., Riedel, S., Bojanowski, P., Joulin, A., &amp; Grave, E. (2022). Unsupervised dense information retrieval with contrastive learning. TMLR 2022. (Contriever.)</w:t>
      </w:r>
    </w:p>
    <w:p>
      <w:pPr>
        <w:spacing w:after="160" w:line="300"/>
        <w:jc w:val="left"/>
      </w:pPr>
      <w:r>
        <w:rPr>
          <w:rFonts w:ascii="Arial" w:cs="Arial" w:eastAsia="Arial" w:hAnsi="Arial"/>
          <w:i/>
          <w:iCs/>
          <w:color w:val="555555"/>
          <w:sz w:val="22"/>
          <w:szCs w:val="22"/>
        </w:rPr>
        <w:t xml:space="preserve">Robertson, S. E., &amp; Zaragoza, H. (2009). The Probabilistic Relevance Framework: BM25 and beyond. Foundations and Trends in Information Retrieval, 3(4), 333–389.</w:t>
      </w:r>
    </w:p>
    <w:p>
      <w:pPr>
        <w:spacing w:after="160" w:line="300"/>
        <w:jc w:val="left"/>
      </w:pPr>
      <w:r>
        <w:rPr>
          <w:rFonts w:ascii="Arial" w:cs="Arial" w:eastAsia="Arial" w:hAnsi="Arial"/>
          <w:i/>
          <w:iCs/>
          <w:color w:val="555555"/>
          <w:sz w:val="22"/>
          <w:szCs w:val="22"/>
        </w:rPr>
        <w:t xml:space="preserve">Lin, J., Ma, X., Lin, S. C., Yang, J. H., Pradeep, R., &amp; Nogueira, R. (2021). Pyserini: A Python toolkit for reproducible information retrieval research with sparse and dense representations. SIGIR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CS466 Project Proposal — Hybrid Retrieval Fusion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2026-04-15T18:56:02.248Z</dcterms:created>
  <dcterms:modified xsi:type="dcterms:W3CDTF">2026-04-15T18:56:02.249Z</dcterms:modified>
</cp:coreProperties>
</file>

<file path=docProps/custom.xml><?xml version="1.0" encoding="utf-8"?>
<Properties xmlns="http://schemas.openxmlformats.org/officeDocument/2006/custom-properties" xmlns:vt="http://schemas.openxmlformats.org/officeDocument/2006/docPropsVTypes"/>
</file>