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2D3D"/>
          <w:sz w:val="72"/>
          <w:szCs w:val="72"/>
        </w:rPr>
        <w:t xml:space="preserve">BITBREAK</w:t>
      </w:r>
    </w:p>
    <w:p>
      <w:pPr>
        <w:spacing w:after="160"/>
        <w:jc w:val="center"/>
      </w:pPr>
      <w:r>
        <w:rPr>
          <w:rFonts w:ascii="Arial" w:cs="Arial" w:eastAsia="Arial" w:hAnsi="Arial"/>
          <w:color w:val="2E4057"/>
          <w:sz w:val="32"/>
          <w:szCs w:val="32"/>
        </w:rPr>
        <w:t xml:space="preserve">A Proof-of-Work Credit Clearing Layer Anchored to Bitcoin</w:t>
      </w:r>
    </w:p>
    <w:p>
      <w:pPr>
        <w:spacing w:after="80"/>
        <w:jc w:val="center"/>
      </w:pPr>
      <w:r>
        <w:rPr>
          <w:rFonts w:ascii="Arial" w:cs="Arial" w:eastAsia="Arial" w:hAnsi="Arial"/>
          <w:i/>
          <w:iCs/>
          <w:color w:val="3D5A80"/>
          <w:sz w:val="28"/>
          <w:szCs w:val="28"/>
        </w:rPr>
        <w:t xml:space="preserve">with Integrated BitBreak Price Index</w:t>
      </w:r>
    </w:p>
    <w:p>
      <w:pPr>
        <w:spacing w:after="80"/>
      </w:pPr>
    </w:p>
    <w:p>
      <w:pPr>
        <w:spacing w:after="80"/>
      </w:pPr>
    </w:p>
    <w:p>
      <w:pPr>
        <w:jc w:val="center"/>
      </w:pPr>
      <w:r>
        <w:rPr>
          <w:rFonts w:ascii="Arial" w:cs="Arial" w:eastAsia="Arial" w:hAnsi="Arial"/>
          <w:b/>
          <w:bCs/>
          <w:sz w:val="26"/>
          <w:szCs w:val="26"/>
        </w:rPr>
        <w:t xml:space="preserve">Jared Soriente Chang</w:t>
      </w:r>
    </w:p>
    <w:p>
      <w:pPr>
        <w:jc w:val="center"/>
      </w:pPr>
      <w:r>
        <w:rPr>
          <w:rFonts w:ascii="Arial" w:cs="Arial" w:eastAsia="Arial" w:hAnsi="Arial"/>
          <w:color w:val="888888"/>
          <w:sz w:val="24"/>
          <w:szCs w:val="24"/>
        </w:rPr>
        <w:t xml:space="preserve">2026</w:t>
      </w:r>
    </w:p>
    <w:p>
      <w:pPr>
        <w:jc w:val="center"/>
      </w:pPr>
      <w:r>
        <w:rPr>
          <w:rFonts w:ascii="Arial" w:cs="Arial" w:eastAsia="Arial" w:hAnsi="Arial"/>
          <w:color w:val="888888"/>
          <w:sz w:val="22"/>
          <w:szCs w:val="22"/>
        </w:rPr>
        <w:t xml:space="preserve">MIT License — Open Source</w:t>
      </w:r>
    </w:p>
    <w:p>
      <w:pPr>
        <w:spacing w:after="80"/>
      </w:pPr>
    </w:p>
    <w:p>
      <w:pPr>
        <w:pBdr>
          <w:top w:val="single" w:color="CCCCCC" w:sz="4" w:space="4"/>
          <w:bottom w:val="single" w:color="CCCCCC" w:sz="4" w:space="4"/>
        </w:pBdr>
        <w:spacing w:after="80"/>
        <w:jc w:val="center"/>
      </w:pPr>
      <w:r>
        <w:rPr>
          <w:rFonts w:ascii="Arial" w:cs="Arial" w:eastAsia="Arial" w:hAnsi="Arial"/>
          <w:i/>
          <w:iCs/>
          <w:color w:val="444444"/>
          <w:sz w:val="22"/>
          <w:szCs w:val="22"/>
        </w:rPr>
        <w:t xml:space="preserve">Bitcoin remains the settlement layer. BitBreak becomes the ledger of obligations.</w:t>
      </w:r>
    </w:p>
    <w:p>
      <w:pPr>
        <w:pStyle w:val="Heading1"/>
        <w:pageBreakBefore/>
      </w:pPr>
      <w:r>
        <w:rPr>
          <w:rFonts w:ascii="Arial" w:cs="Arial" w:eastAsia="Arial" w:hAnsi="Arial"/>
          <w:b/>
          <w:bCs/>
          <w:color w:val="1F2D3D"/>
          <w:sz w:val="32"/>
          <w:szCs w:val="32"/>
        </w:rPr>
        <w:t xml:space="preserve">Abstract</w:t>
      </w:r>
    </w:p>
    <w:p>
      <w:pPr>
        <w:spacing w:after="160"/>
      </w:pPr>
      <w:r>
        <w:rPr>
          <w:rFonts w:ascii="Arial" w:cs="Arial" w:eastAsia="Arial" w:hAnsi="Arial"/>
          <w:sz w:val="24"/>
          <w:szCs w:val="24"/>
        </w:rPr>
        <w:t xml:space="preserve">BitBreak is a parallel proof-of-work blockchain that tracks Bitcoin-denominated credit obligations. It enables high-frequency exchange of Bitcoin-denominated value without altering Bitcoin’s consensus rules, monetary supply, or base layer security. Bitcoin dust — UTXOs rendered economically unspendable by transaction fee mechanics — is reactivated as BitBreak credit, recoverable through a tiered consolidation system anchored cryptographically to Bitcoin’s blockchain.</w:t>
      </w:r>
    </w:p>
    <w:p>
      <w:pPr>
        <w:spacing w:after="160"/>
      </w:pPr>
      <w:r>
        <w:rPr>
          <w:rFonts w:ascii="Arial" w:cs="Arial" w:eastAsia="Arial" w:hAnsi="Arial"/>
          <w:sz w:val="24"/>
          <w:szCs w:val="24"/>
        </w:rPr>
        <w:t xml:space="preserve">The end goal of the BitBreak protocol is the BitBreak Index: a live, open-source price intelligence application that translates Bitcoin’s satoshi purchasing power into real-world commodity and currency terms. The Index demonstrates the practical value proposition of BitBreak credit to end users before the full protocol reaches production deployment. It serves as both a research tool and a public proof of concept — showing that satoshi-denominated value is meaningful, measurable, and comparable to global fiat inflation and commodity markets in real time.</w:t>
      </w:r>
    </w:p>
    <w:p>
      <w:pPr>
        <w:spacing w:after="160"/>
      </w:pPr>
      <w:r>
        <w:rPr>
          <w:rFonts w:ascii="Arial" w:cs="Arial" w:eastAsia="Arial" w:hAnsi="Arial"/>
          <w:sz w:val="24"/>
          <w:szCs w:val="24"/>
        </w:rPr>
        <w:t xml:space="preserve">This whitepaper describes the protocol architecture, the credit clearing mechanism, the five-phase consolidation cycle, and the BitBreak Index as the integrated application layer that gives the protocol economic meaning to ordinary users.</w:t>
      </w:r>
    </w:p>
    <w:p>
      <w:pPr>
        <w:pStyle w:val="Heading1"/>
        <w:pageBreakBefore/>
      </w:pPr>
      <w:r>
        <w:rPr>
          <w:rFonts w:ascii="Arial" w:cs="Arial" w:eastAsia="Arial" w:hAnsi="Arial"/>
          <w:b/>
          <w:bCs/>
          <w:color w:val="1F2D3D"/>
          <w:sz w:val="32"/>
          <w:szCs w:val="32"/>
        </w:rPr>
        <w:t xml:space="preserve">1. Introduction</w:t>
      </w:r>
    </w:p>
    <w:p>
      <w:pPr>
        <w:pStyle w:val="Heading2"/>
        <w:spacing w:after="120" w:before="240"/>
      </w:pPr>
      <w:r>
        <w:rPr>
          <w:rFonts w:ascii="Arial" w:cs="Arial" w:eastAsia="Arial" w:hAnsi="Arial"/>
          <w:b/>
          <w:bCs/>
          <w:color w:val="2E4057"/>
          <w:sz w:val="26"/>
          <w:szCs w:val="26"/>
        </w:rPr>
        <w:t xml:space="preserve">1.1 The Problem with Bitcoin at Scale</w:t>
      </w:r>
    </w:p>
    <w:p>
      <w:pPr>
        <w:spacing w:after="160"/>
      </w:pPr>
      <w:r>
        <w:rPr>
          <w:rFonts w:ascii="Arial" w:cs="Arial" w:eastAsia="Arial" w:hAnsi="Arial"/>
          <w:sz w:val="24"/>
          <w:szCs w:val="24"/>
        </w:rPr>
        <w:t xml:space="preserve">Bitcoin’s primary innovation is not transaction throughput but decentralized settlement without trusted intermediaries. Its proof-of-work consensus and UTXO model establish a global ledger whose integrity is maintained through economic cost rather than institutional authority. However, these same properties impose hard constraints on transaction frequency, latency, and fee predictability.</w:t>
      </w:r>
    </w:p>
    <w:p>
      <w:pPr>
        <w:spacing w:after="160"/>
      </w:pPr>
      <w:r>
        <w:rPr>
          <w:rFonts w:ascii="Arial" w:cs="Arial" w:eastAsia="Arial" w:hAnsi="Arial"/>
          <w:sz w:val="24"/>
          <w:szCs w:val="24"/>
        </w:rPr>
        <w:t xml:space="preserve">Bitcoin processes approximately seven transactions per second. Transaction fees are determined not by the value transferred but by the data size of the transaction in bytes. During periods of network congestion, fees spike unpredictably and small-value transactions become economically irrational. The result is a category of permanently stranded value: Bitcoin dust.</w:t>
      </w:r>
    </w:p>
    <w:p>
      <w:pPr>
        <w:pStyle w:val="Heading2"/>
        <w:spacing w:after="120" w:before="240"/>
      </w:pPr>
      <w:r>
        <w:rPr>
          <w:rFonts w:ascii="Arial" w:cs="Arial" w:eastAsia="Arial" w:hAnsi="Arial"/>
          <w:b/>
          <w:bCs/>
          <w:color w:val="2E4057"/>
          <w:sz w:val="26"/>
          <w:szCs w:val="26"/>
        </w:rPr>
        <w:t xml:space="preserve">1.2 Bitcoin Dust Defined</w:t>
      </w:r>
    </w:p>
    <w:p>
      <w:pPr>
        <w:spacing w:after="160"/>
      </w:pPr>
      <w:r>
        <w:rPr>
          <w:rFonts w:ascii="Arial" w:cs="Arial" w:eastAsia="Arial" w:hAnsi="Arial"/>
          <w:sz w:val="24"/>
          <w:szCs w:val="24"/>
        </w:rPr>
        <w:t xml:space="preserve">Bitcoin dust refers to UTXOs — Unspent Transaction Outputs — whose value is smaller than the transaction fee required to spend them. At average 2026 network fee conditions of $2 to $5 per transaction, any UTXO worth less than approximately $10 is effectively unspendable. The technical dust threshold is 546 satoshis, but the economic dust threshold is dynamic and rises with network demand.</w:t>
      </w:r>
    </w:p>
    <w:p>
      <w:pPr>
        <w:spacing w:after="160"/>
      </w:pPr>
      <w:r>
        <w:rPr>
          <w:rFonts w:ascii="Arial" w:cs="Arial" w:eastAsia="Arial" w:hAnsi="Arial"/>
          <w:sz w:val="24"/>
          <w:szCs w:val="24"/>
        </w:rPr>
        <w:t xml:space="preserve">The total value locked in Bitcoin dust UTXOs across the network runs into the hundreds of millions of dollars at current Bitcoin prices. This value is not lost — it exists on chain — but it is functionally inaccessible. BitBreak addresses this directly.</w:t>
      </w:r>
    </w:p>
    <w:p>
      <w:pPr>
        <w:pStyle w:val="Heading2"/>
        <w:spacing w:after="120" w:before="240"/>
      </w:pPr>
      <w:r>
        <w:rPr>
          <w:rFonts w:ascii="Arial" w:cs="Arial" w:eastAsia="Arial" w:hAnsi="Arial"/>
          <w:b/>
          <w:bCs/>
          <w:color w:val="2E4057"/>
          <w:sz w:val="26"/>
          <w:szCs w:val="26"/>
        </w:rPr>
        <w:t xml:space="preserve">1.3 The BitBreak Solution</w:t>
      </w:r>
    </w:p>
    <w:p>
      <w:pPr>
        <w:spacing w:after="160"/>
      </w:pPr>
      <w:r>
        <w:rPr>
          <w:rFonts w:ascii="Arial" w:cs="Arial" w:eastAsia="Arial" w:hAnsi="Arial"/>
          <w:sz w:val="24"/>
          <w:szCs w:val="24"/>
        </w:rPr>
        <w:t xml:space="preserve">BitBreak proposes a complementary approach: rather than scaling Bitcoin transactions directly, it scales Bitcoin-denominated credit. Value is exchanged as owed Bitcoin within a parallel ledger, while Bitcoin itself remains the final settlement and verification layer. This preserves Bitcoin’s monetary integrity while enabling higher-velocity economic activity.</w:t>
      </w:r>
    </w:p>
    <w:p>
      <w:pPr>
        <w:spacing w:after="160"/>
      </w:pPr>
      <w:r>
        <w:rPr>
          <w:rFonts w:ascii="Arial" w:cs="Arial" w:eastAsia="Arial" w:hAnsi="Arial"/>
          <w:sz w:val="24"/>
          <w:szCs w:val="24"/>
        </w:rPr>
        <w:t xml:space="preserve">Dust UTXOs that cannot be spent on the Bitcoin base layer can be registered as Bitcoin anchors on the BitBreak chain and exchanged as credit without touching the base layer. The credit derives its value entirely from anticipated Bitcoin settlement. No new Bitcoin is created.</w:t>
      </w:r>
    </w:p>
    <w:p>
      <w:pPr>
        <w:pStyle w:val="Heading1"/>
        <w:pageBreakBefore/>
      </w:pPr>
      <w:r>
        <w:rPr>
          <w:rFonts w:ascii="Arial" w:cs="Arial" w:eastAsia="Arial" w:hAnsi="Arial"/>
          <w:b/>
          <w:bCs/>
          <w:color w:val="1F2D3D"/>
          <w:sz w:val="32"/>
          <w:szCs w:val="32"/>
        </w:rPr>
        <w:t xml:space="preserve">2. Design Goals</w:t>
      </w:r>
    </w:p>
    <w:p>
      <w:pPr>
        <w:spacing w:after="160"/>
      </w:pPr>
      <w:r>
        <w:rPr>
          <w:rFonts w:ascii="Arial" w:cs="Arial" w:eastAsia="Arial" w:hAnsi="Arial"/>
          <w:sz w:val="24"/>
          <w:szCs w:val="24"/>
        </w:rPr>
        <w:t xml:space="preserve">BitBreak is designed with the following goals, ordered by priority:</w:t>
      </w:r>
    </w:p>
    <w:p>
      <w:pPr>
        <w:pStyle w:val="ListParagraph"/>
        <w:numPr>
          <w:ilvl w:val="0"/>
          <w:numId w:val="2"/>
        </w:numPr>
      </w:pPr>
      <w:r>
        <w:rPr>
          <w:rFonts w:ascii="Arial" w:cs="Arial" w:eastAsia="Arial" w:hAnsi="Arial"/>
          <w:sz w:val="24"/>
          <w:szCs w:val="24"/>
        </w:rPr>
        <w:t xml:space="preserve">Preserve Bitcoin’s fixed supply and monetary policy</w:t>
      </w:r>
    </w:p>
    <w:p>
      <w:pPr>
        <w:pStyle w:val="ListParagraph"/>
        <w:numPr>
          <w:ilvl w:val="0"/>
          <w:numId w:val="2"/>
        </w:numPr>
      </w:pPr>
      <w:r>
        <w:rPr>
          <w:rFonts w:ascii="Arial" w:cs="Arial" w:eastAsia="Arial" w:hAnsi="Arial"/>
          <w:sz w:val="24"/>
          <w:szCs w:val="24"/>
        </w:rPr>
        <w:t xml:space="preserve">Avoid changes to Bitcoin consensus rules</w:t>
      </w:r>
    </w:p>
    <w:p>
      <w:pPr>
        <w:pStyle w:val="ListParagraph"/>
        <w:numPr>
          <w:ilvl w:val="0"/>
          <w:numId w:val="2"/>
        </w:numPr>
      </w:pPr>
      <w:r>
        <w:rPr>
          <w:rFonts w:ascii="Arial" w:cs="Arial" w:eastAsia="Arial" w:hAnsi="Arial"/>
          <w:sz w:val="24"/>
          <w:szCs w:val="24"/>
        </w:rPr>
        <w:t xml:space="preserve">Maintain a UTXO-based accounting model</w:t>
      </w:r>
    </w:p>
    <w:p>
      <w:pPr>
        <w:pStyle w:val="ListParagraph"/>
        <w:numPr>
          <w:ilvl w:val="0"/>
          <w:numId w:val="2"/>
        </w:numPr>
      </w:pPr>
      <w:r>
        <w:rPr>
          <w:rFonts w:ascii="Arial" w:cs="Arial" w:eastAsia="Arial" w:hAnsi="Arial"/>
          <w:sz w:val="24"/>
          <w:szCs w:val="24"/>
        </w:rPr>
        <w:t xml:space="preserve">Enable permissionless participation</w:t>
      </w:r>
    </w:p>
    <w:p>
      <w:pPr>
        <w:pStyle w:val="ListParagraph"/>
        <w:numPr>
          <w:ilvl w:val="0"/>
          <w:numId w:val="2"/>
        </w:numPr>
      </w:pPr>
      <w:r>
        <w:rPr>
          <w:rFonts w:ascii="Arial" w:cs="Arial" w:eastAsia="Arial" w:hAnsi="Arial"/>
          <w:sz w:val="24"/>
          <w:szCs w:val="24"/>
        </w:rPr>
        <w:t xml:space="preserve">Provide cryptographic auditability against Bitcoin</w:t>
      </w:r>
    </w:p>
    <w:p>
      <w:pPr>
        <w:pStyle w:val="ListParagraph"/>
        <w:numPr>
          <w:ilvl w:val="0"/>
          <w:numId w:val="2"/>
        </w:numPr>
        <w:spacing w:after="160"/>
      </w:pPr>
      <w:r>
        <w:rPr>
          <w:rFonts w:ascii="Arial" w:cs="Arial" w:eastAsia="Arial" w:hAnsi="Arial"/>
          <w:sz w:val="24"/>
          <w:szCs w:val="24"/>
        </w:rPr>
        <w:t xml:space="preserve">Fail safely without impacting Bitcoin’s security or validity</w:t>
      </w:r>
    </w:p>
    <w:p>
      <w:pPr>
        <w:spacing w:after="160"/>
      </w:pPr>
      <w:r>
        <w:rPr>
          <w:rFonts w:ascii="Arial" w:cs="Arial" w:eastAsia="Arial" w:hAnsi="Arial"/>
          <w:sz w:val="24"/>
          <w:szCs w:val="24"/>
        </w:rPr>
        <w:t xml:space="preserve">A seventh goal, added as the project has developed, is demonstrability: the protocol must have a tangible user-facing application that makes its value proposition legible to non-technical participants before the full network is deployed. This is the role of the BitBreak Index.</w:t>
      </w:r>
    </w:p>
    <w:p>
      <w:pPr>
        <w:pStyle w:val="Heading1"/>
        <w:pageBreakBefore/>
      </w:pPr>
      <w:r>
        <w:rPr>
          <w:rFonts w:ascii="Arial" w:cs="Arial" w:eastAsia="Arial" w:hAnsi="Arial"/>
          <w:b/>
          <w:bCs/>
          <w:color w:val="1F2D3D"/>
          <w:sz w:val="32"/>
          <w:szCs w:val="32"/>
        </w:rPr>
        <w:t xml:space="preserve">3. System Architecture</w:t>
      </w:r>
    </w:p>
    <w:p>
      <w:pPr>
        <w:pStyle w:val="Heading2"/>
        <w:spacing w:after="120" w:before="240"/>
      </w:pPr>
      <w:r>
        <w:rPr>
          <w:rFonts w:ascii="Arial" w:cs="Arial" w:eastAsia="Arial" w:hAnsi="Arial"/>
          <w:b/>
          <w:bCs/>
          <w:color w:val="2E4057"/>
          <w:sz w:val="26"/>
          <w:szCs w:val="26"/>
        </w:rPr>
        <w:t xml:space="preserve">3.1 Two-Layer Structure</w:t>
      </w:r>
    </w:p>
    <w:p>
      <w:pPr>
        <w:spacing w:after="160"/>
      </w:pPr>
      <w:r>
        <w:rPr>
          <w:rFonts w:ascii="Arial" w:cs="Arial" w:eastAsia="Arial" w:hAnsi="Arial"/>
          <w:sz w:val="24"/>
          <w:szCs w:val="24"/>
        </w:rPr>
        <w:t xml:space="preserve">The BitBreak system consists of two parallel ledgers operating in a defined dependency relationship:</w:t>
      </w:r>
    </w:p>
    <w:p>
      <w:pPr>
        <w:pStyle w:val="ListParagraph"/>
        <w:numPr>
          <w:ilvl w:val="0"/>
          <w:numId w:val="3"/>
        </w:numPr>
      </w:pPr>
      <w:r>
        <w:rPr>
          <w:rFonts w:ascii="Arial" w:cs="Arial" w:eastAsia="Arial" w:hAnsi="Arial"/>
          <w:sz w:val="24"/>
          <w:szCs w:val="24"/>
        </w:rPr>
        <w:t xml:space="preserve">Bitcoin Main Chain: the settlement layer and ultimate source of monetary truth</w:t>
      </w:r>
    </w:p>
    <w:p>
      <w:pPr>
        <w:pStyle w:val="ListParagraph"/>
        <w:numPr>
          <w:ilvl w:val="0"/>
          <w:numId w:val="3"/>
        </w:numPr>
        <w:spacing w:after="160"/>
      </w:pPr>
      <w:r>
        <w:rPr>
          <w:rFonts w:ascii="Arial" w:cs="Arial" w:eastAsia="Arial" w:hAnsi="Arial"/>
          <w:sz w:val="24"/>
          <w:szCs w:val="24"/>
        </w:rPr>
        <w:t xml:space="preserve">BitBreak Chain: a proof-of-work credit ledger tracking Bitcoin-denominated obligations</w:t>
      </w:r>
    </w:p>
    <w:p>
      <w:pPr>
        <w:spacing w:after="160"/>
      </w:pPr>
      <w:r>
        <w:rPr>
          <w:rFonts w:ascii="Arial" w:cs="Arial" w:eastAsia="Arial" w:hAnsi="Arial"/>
          <w:sz w:val="24"/>
          <w:szCs w:val="24"/>
        </w:rPr>
        <w:t xml:space="preserve">BitBreak transactions do not create or destroy Bitcoin. They represent claims on Bitcoin value that may be settled on the Bitcoin blockchain at any time. Each BitBreak block cryptographically commits to Bitcoin state through transaction anchors verifiable using Simplified Payment Verification.</w:t>
      </w:r>
    </w:p>
    <w:p>
      <w:pPr>
        <w:pStyle w:val="Heading2"/>
        <w:spacing w:after="120" w:before="240"/>
      </w:pPr>
      <w:r>
        <w:rPr>
          <w:rFonts w:ascii="Arial" w:cs="Arial" w:eastAsia="Arial" w:hAnsi="Arial"/>
          <w:b/>
          <w:bCs/>
          <w:color w:val="2E4057"/>
          <w:sz w:val="26"/>
          <w:szCs w:val="26"/>
        </w:rPr>
        <w:t xml:space="preserve">3.2 Three-Component Wallet State</w:t>
      </w:r>
    </w:p>
    <w:p>
      <w:pPr>
        <w:spacing w:after="160"/>
      </w:pPr>
      <w:r>
        <w:rPr>
          <w:rFonts w:ascii="Arial" w:cs="Arial" w:eastAsia="Arial" w:hAnsi="Arial"/>
          <w:sz w:val="24"/>
          <w:szCs w:val="24"/>
        </w:rPr>
        <w:t xml:space="preserve">Wallet state in BitBreak is partitioned into three distinct components, each with separate accounting: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2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32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Relationship to Bitcoin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Confirmed Bitcoin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Spendable on Bitcoin main chain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Direct on-chain ownership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BitBreak Credit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Unsettled Bitcoin obligations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Backed by Bitcoin anchor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Bitcoin Anchors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SPV proofs backing credit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Merkle-verifiable against Bitcoin</w:t>
            </w:r>
          </w:p>
        </w:tc>
      </w:tr>
    </w:tbl>
    <w:p>
      <w:pPr>
        <w:spacing w:after="80"/>
      </w:pPr>
    </w:p>
    <w:p>
      <w:pPr>
        <w:pStyle w:val="Heading2"/>
        <w:spacing w:after="120" w:before="240"/>
      </w:pPr>
      <w:r>
        <w:rPr>
          <w:rFonts w:ascii="Arial" w:cs="Arial" w:eastAsia="Arial" w:hAnsi="Arial"/>
          <w:b/>
          <w:bCs/>
          <w:color w:val="2E4057"/>
          <w:sz w:val="26"/>
          <w:szCs w:val="26"/>
        </w:rPr>
        <w:t xml:space="preserve">3.3 Transaction Types</w:t>
      </w:r>
    </w:p>
    <w:p>
      <w:pPr>
        <w:spacing w:after="160"/>
      </w:pPr>
      <w:r>
        <w:rPr>
          <w:rFonts w:ascii="Arial" w:cs="Arial" w:eastAsia="Arial" w:hAnsi="Arial"/>
          <w:sz w:val="24"/>
          <w:szCs w:val="24"/>
        </w:rPr>
        <w:t xml:space="preserve">BitBreak supports four transaction types, each with defined validation rules: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34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Function</w:t>
            </w:r>
          </w:p>
        </w:tc>
        <w:tc>
          <w:tcPr>
            <w:tcW w:type="dxa" w:w="32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Anchor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Credit Transfer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Move BBK credit between parties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Anchor Registration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Bind Bitcoin UTXO to BBK credit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 — SPV verified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Settlement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Destroy BBK credit on Bitcoin settlement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 — proves on-chain finality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Dust Intake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Register dust UTXO, issue credit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 — SPV verified</w:t>
            </w:r>
          </w:p>
        </w:tc>
      </w:tr>
    </w:tbl>
    <w:p>
      <w:pPr>
        <w:spacing w:after="80"/>
      </w:pPr>
    </w:p>
    <w:p>
      <w:pPr>
        <w:pStyle w:val="Heading2"/>
        <w:spacing w:after="120" w:before="240"/>
      </w:pPr>
      <w:r>
        <w:rPr>
          <w:rFonts w:ascii="Arial" w:cs="Arial" w:eastAsia="Arial" w:hAnsi="Arial"/>
          <w:b/>
          <w:bCs/>
          <w:color w:val="2E4057"/>
          <w:sz w:val="26"/>
          <w:szCs w:val="26"/>
        </w:rPr>
        <w:t xml:space="preserve">3.4 Consensus Mechanism</w:t>
      </w:r>
    </w:p>
    <w:p>
      <w:pPr>
        <w:spacing w:after="160"/>
      </w:pPr>
      <w:r>
        <w:rPr>
          <w:rFonts w:ascii="Arial" w:cs="Arial" w:eastAsia="Arial" w:hAnsi="Arial"/>
          <w:sz w:val="24"/>
          <w:szCs w:val="24"/>
        </w:rPr>
        <w:t xml:space="preserve">BitBreak uses proof-of-work with a hash-based difficulty target and longest-chain rule, mirroring Bitcoin’s consensus model. Difficulty adjusts every 2,016 blocks targeting a ten-minute block time. Nodes and miners may independently choose to validate Bitcoin blocks, BitBreak blocks, or both. This parallel validation choice allows economic incentives to determine how hash power is allocated between the settlement and credit layers.</w:t>
      </w:r>
    </w:p>
    <w:p>
      <w:pPr>
        <w:spacing w:after="160"/>
      </w:pPr>
      <w:r>
        <w:rPr>
          <w:rFonts w:ascii="Arial" w:cs="Arial" w:eastAsia="Arial" w:hAnsi="Arial"/>
          <w:sz w:val="24"/>
          <w:szCs w:val="24"/>
        </w:rPr>
        <w:t xml:space="preserve">A BitBreak-only attack may disrupt credit ordering but cannot inflate Bitcoin or invalidate settled transactions. BitBreak can halt or fork entirely without affecting Bitcoin’s validity or safety.</w:t>
      </w:r>
    </w:p>
    <w:p>
      <w:pPr>
        <w:pStyle w:val="Heading1"/>
        <w:pageBreakBefore/>
      </w:pPr>
      <w:r>
        <w:rPr>
          <w:rFonts w:ascii="Arial" w:cs="Arial" w:eastAsia="Arial" w:hAnsi="Arial"/>
          <w:b/>
          <w:bCs/>
          <w:color w:val="1F2D3D"/>
          <w:sz w:val="32"/>
          <w:szCs w:val="32"/>
        </w:rPr>
        <w:t xml:space="preserve">4. Dust Intake and Credit Issuance</w:t>
      </w:r>
    </w:p>
    <w:p>
      <w:pPr>
        <w:pStyle w:val="Heading2"/>
        <w:spacing w:after="120" w:before="240"/>
      </w:pPr>
      <w:r>
        <w:rPr>
          <w:rFonts w:ascii="Arial" w:cs="Arial" w:eastAsia="Arial" w:hAnsi="Arial"/>
          <w:b/>
          <w:bCs/>
          <w:color w:val="2E4057"/>
          <w:sz w:val="26"/>
          <w:szCs w:val="26"/>
        </w:rPr>
        <w:t xml:space="preserve">4.1 Five-Phase Consolidation Cycle</w:t>
      </w:r>
    </w:p>
    <w:p>
      <w:pPr>
        <w:spacing w:after="160"/>
      </w:pPr>
      <w:r>
        <w:rPr>
          <w:rFonts w:ascii="Arial" w:cs="Arial" w:eastAsia="Arial" w:hAnsi="Arial"/>
          <w:sz w:val="24"/>
          <w:szCs w:val="24"/>
        </w:rPr>
        <w:t xml:space="preserve">Dust UTXOs are processed through a five-phase consolidation cycle that converts stranded Bitcoin value into circulating BitBreak credit and returns it to the Bitcoin chain through settlement:</w:t>
      </w:r>
    </w:p>
    <w:p>
      <w:pPr>
        <w:pStyle w:val="ListParagraph"/>
        <w:numPr>
          <w:ilvl w:val="0"/>
          <w:numId w:val="2"/>
        </w:numPr>
      </w:pPr>
      <w:r>
        <w:rPr>
          <w:rFonts w:ascii="Arial" w:cs="Arial" w:eastAsia="Arial" w:hAnsi="Arial"/>
          <w:sz w:val="24"/>
          <w:szCs w:val="24"/>
        </w:rPr>
        <w:t xml:space="preserve">Dust intake: the dust UTXO is registered as a Bitcoin anchor on the BitBreak chain via SPV proof</w:t>
      </w:r>
    </w:p>
    <w:p>
      <w:pPr>
        <w:pStyle w:val="ListParagraph"/>
        <w:numPr>
          <w:ilvl w:val="0"/>
          <w:numId w:val="2"/>
        </w:numPr>
      </w:pPr>
      <w:r>
        <w:rPr>
          <w:rFonts w:ascii="Arial" w:cs="Arial" w:eastAsia="Arial" w:hAnsi="Arial"/>
          <w:sz w:val="24"/>
          <w:szCs w:val="24"/>
        </w:rPr>
        <w:t xml:space="preserve">Credit issuance: BitBreak credit is issued at the tier rate; the reserve portion is held in a consolidation pool</w:t>
      </w:r>
    </w:p>
    <w:p>
      <w:pPr>
        <w:pStyle w:val="ListParagraph"/>
        <w:numPr>
          <w:ilvl w:val="0"/>
          <w:numId w:val="2"/>
        </w:numPr>
      </w:pPr>
      <w:r>
        <w:rPr>
          <w:rFonts w:ascii="Arial" w:cs="Arial" w:eastAsia="Arial" w:hAnsi="Arial"/>
          <w:sz w:val="24"/>
          <w:szCs w:val="24"/>
        </w:rPr>
        <w:t xml:space="preserve">Credit circulation: BBK credit exchanges peer-to-peer off the base layer at high velocity</w:t>
      </w:r>
    </w:p>
    <w:p>
      <w:pPr>
        <w:pStyle w:val="ListParagraph"/>
        <w:numPr>
          <w:ilvl w:val="0"/>
          <w:numId w:val="2"/>
        </w:numPr>
      </w:pPr>
      <w:r>
        <w:rPr>
          <w:rFonts w:ascii="Arial" w:cs="Arial" w:eastAsia="Arial" w:hAnsi="Arial"/>
          <w:sz w:val="24"/>
          <w:szCs w:val="24"/>
        </w:rPr>
        <w:t xml:space="preserve">Consolidation: accumulated dust anchors are batched into a single Bitcoin UTXO during low-fee windows; the reserve is released</w:t>
      </w:r>
    </w:p>
    <w:p>
      <w:pPr>
        <w:pStyle w:val="ListParagraph"/>
        <w:numPr>
          <w:ilvl w:val="0"/>
          <w:numId w:val="2"/>
        </w:numPr>
        <w:spacing w:after="160"/>
      </w:pPr>
      <w:r>
        <w:rPr>
          <w:rFonts w:ascii="Arial" w:cs="Arial" w:eastAsia="Arial" w:hAnsi="Arial"/>
          <w:sz w:val="24"/>
          <w:szCs w:val="24"/>
        </w:rPr>
        <w:t xml:space="preserve">Settlement: BBK credit is destroyed upon Bitcoin settlement; the one-way dependency from BitBreak to Bitcoin is maintained</w:t>
      </w:r>
    </w:p>
    <w:p>
      <w:pPr>
        <w:pStyle w:val="Heading2"/>
        <w:spacing w:after="120" w:before="240"/>
      </w:pPr>
      <w:r>
        <w:rPr>
          <w:rFonts w:ascii="Arial" w:cs="Arial" w:eastAsia="Arial" w:hAnsi="Arial"/>
          <w:b/>
          <w:bCs/>
          <w:color w:val="2E4057"/>
          <w:sz w:val="26"/>
          <w:szCs w:val="26"/>
        </w:rPr>
        <w:t xml:space="preserve">4.2 Credit Tiers</w:t>
      </w:r>
    </w:p>
    <w:p>
      <w:pPr>
        <w:spacing w:after="160"/>
      </w:pPr>
      <w:r>
        <w:rPr>
          <w:rFonts w:ascii="Arial" w:cs="Arial" w:eastAsia="Arial" w:hAnsi="Arial"/>
          <w:sz w:val="24"/>
          <w:szCs w:val="24"/>
        </w:rPr>
        <w:t xml:space="preserve">Credit issuance rate is tiered by dust UTXO size. Smaller dust carries a higher consolidation reserve because batch settlement is the only economical settlement path for micro-UTXOs. The reserve is held until consolidation makes individual settlement viable.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232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Dust range (sats)</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Credit rate</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Reserve</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Settlement window</w:t>
            </w:r>
          </w:p>
        </w:tc>
        <w:tc>
          <w:tcPr>
            <w:tcW w:type="dxa" w:w="23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Fee 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 546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 days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Batch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547 – 2,999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 days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 fee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 – 9,999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 days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 – 49,999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14 days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50,000 – 500,000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 days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Immediate</w:t>
            </w:r>
          </w:p>
        </w:tc>
      </w:tr>
    </w:tbl>
    <w:p>
      <w:pPr>
        <w:spacing w:after="80"/>
      </w:pPr>
    </w:p>
    <w:p>
      <w:pPr>
        <w:pStyle w:val="Heading2"/>
        <w:spacing w:after="120" w:before="240"/>
      </w:pPr>
      <w:r>
        <w:rPr>
          <w:rFonts w:ascii="Arial" w:cs="Arial" w:eastAsia="Arial" w:hAnsi="Arial"/>
          <w:b/>
          <w:bCs/>
          <w:color w:val="2E4057"/>
          <w:sz w:val="26"/>
          <w:szCs w:val="26"/>
        </w:rPr>
        <w:t xml:space="preserve">4.3 Conservation Rule</w:t>
      </w:r>
    </w:p>
    <w:p>
      <w:pPr>
        <w:spacing w:after="160"/>
      </w:pPr>
      <w:r>
        <w:rPr>
          <w:rFonts w:ascii="Arial" w:cs="Arial" w:eastAsia="Arial" w:hAnsi="Arial"/>
          <w:sz w:val="24"/>
          <w:szCs w:val="24"/>
        </w:rPr>
        <w:t xml:space="preserve">Total BitBreak credit output from any transaction may not exceed total input value. This conservation rule prevents credit inflation at the protocol level. Combined with mandatory Bitcoin anchoring, it ensures that BitBreak credit can never exceed the Bitcoin value it represents.</w:t>
      </w:r>
    </w:p>
    <w:p>
      <w:pPr>
        <w:pStyle w:val="Heading1"/>
        <w:pageBreakBefore/>
      </w:pPr>
      <w:r>
        <w:rPr>
          <w:rFonts w:ascii="Arial" w:cs="Arial" w:eastAsia="Arial" w:hAnsi="Arial"/>
          <w:b/>
          <w:bCs/>
          <w:color w:val="1F2D3D"/>
          <w:sz w:val="32"/>
          <w:szCs w:val="32"/>
        </w:rPr>
        <w:t xml:space="preserve">5. The BitBreak Index</w:t>
      </w:r>
    </w:p>
    <w:p>
      <w:pPr>
        <w:pStyle w:val="Heading2"/>
        <w:spacing w:after="120" w:before="240"/>
      </w:pPr>
      <w:r>
        <w:rPr>
          <w:rFonts w:ascii="Arial" w:cs="Arial" w:eastAsia="Arial" w:hAnsi="Arial"/>
          <w:b/>
          <w:bCs/>
          <w:color w:val="2E4057"/>
          <w:sz w:val="26"/>
          <w:szCs w:val="26"/>
        </w:rPr>
        <w:t xml:space="preserve">5.1 Purpose and Role</w:t>
      </w:r>
    </w:p>
    <w:p>
      <w:pPr>
        <w:spacing w:after="160"/>
      </w:pPr>
      <w:r>
        <w:rPr>
          <w:rFonts w:ascii="Arial" w:cs="Arial" w:eastAsia="Arial" w:hAnsi="Arial"/>
          <w:sz w:val="24"/>
          <w:szCs w:val="24"/>
        </w:rPr>
        <w:t xml:space="preserve">The BitBreak Index is the end goal of the BitBreak application layer. It is a live, open-source price intelligence tool that translates Bitcoin’s satoshi purchasing power into real-world commodity and currency terms. It answers the question that ordinary users actually have: what is a satoshi worth in terms of things I buy and use?</w:t>
      </w:r>
    </w:p>
    <w:p>
      <w:pPr>
        <w:spacing w:after="160"/>
      </w:pPr>
      <w:r>
        <w:rPr>
          <w:rFonts w:ascii="Arial" w:cs="Arial" w:eastAsia="Arial" w:hAnsi="Arial"/>
          <w:sz w:val="24"/>
          <w:szCs w:val="24"/>
        </w:rPr>
        <w:t xml:space="preserve">The Index serves three functions simultaneously. First, it demonstrates the BitBreak value proposition to non-technical users before the full protocol is deployed — showing that satoshi-denominated value is measurable and meaningful. Second, it provides the data layer that BitBreak nodes use to calculate credit issuance thresholds and optimal consolidation timing. Third, it is a standalone research tool for anyone studying the relationship between Bitcoin’s monetary properties and global commodity and inflation data.</w:t>
      </w:r>
    </w:p>
    <w:p>
      <w:pPr>
        <w:pStyle w:val="Heading2"/>
        <w:spacing w:after="120" w:before="240"/>
      </w:pPr>
      <w:r>
        <w:rPr>
          <w:rFonts w:ascii="Arial" w:cs="Arial" w:eastAsia="Arial" w:hAnsi="Arial"/>
          <w:b/>
          <w:bCs/>
          <w:color w:val="2E4057"/>
          <w:sz w:val="26"/>
          <w:szCs w:val="26"/>
        </w:rPr>
        <w:t xml:space="preserve">5.2 Data Sources</w:t>
      </w:r>
    </w:p>
    <w:p>
      <w:pPr>
        <w:spacing w:after="160"/>
      </w:pPr>
      <w:r>
        <w:rPr>
          <w:rFonts w:ascii="Arial" w:cs="Arial" w:eastAsia="Arial" w:hAnsi="Arial"/>
          <w:sz w:val="24"/>
          <w:szCs w:val="24"/>
        </w:rPr>
        <w:t xml:space="preserve">The BitBreak Index is built exclusively on free, no-registration APIs to ensure the tool is accessible without financial or account barriers:</w:t>
      </w:r>
    </w:p>
    <w:p>
      <w:pPr>
        <w:pStyle w:val="ListParagraph"/>
        <w:numPr>
          <w:ilvl w:val="0"/>
          <w:numId w:val="3"/>
        </w:numPr>
      </w:pPr>
      <w:r>
        <w:rPr>
          <w:rFonts w:ascii="Arial" w:cs="Arial" w:eastAsia="Arial" w:hAnsi="Arial"/>
          <w:sz w:val="24"/>
          <w:szCs w:val="24"/>
        </w:rPr>
        <w:t xml:space="preserve">CoinGecko public API: live Bitcoin and Litecoin prices, 24-hour price history, PAXG as gold proxy, market dominance. No API key required.</w:t>
      </w:r>
    </w:p>
    <w:p>
      <w:pPr>
        <w:pStyle w:val="ListParagraph"/>
        <w:numPr>
          <w:ilvl w:val="0"/>
          <w:numId w:val="3"/>
        </w:numPr>
      </w:pPr>
      <w:r>
        <w:rPr>
          <w:rFonts w:ascii="Arial" w:cs="Arial" w:eastAsia="Arial" w:hAnsi="Arial"/>
          <w:sz w:val="24"/>
          <w:szCs w:val="24"/>
        </w:rPr>
        <w:t xml:space="preserve">World Bank public API: CPI inflation data for 12 major economies. No API key required. Updated annually.</w:t>
      </w:r>
    </w:p>
    <w:p>
      <w:pPr>
        <w:pStyle w:val="ListParagraph"/>
        <w:numPr>
          <w:ilvl w:val="0"/>
          <w:numId w:val="3"/>
        </w:numPr>
        <w:spacing w:after="160"/>
      </w:pPr>
      <w:r>
        <w:rPr>
          <w:rFonts w:ascii="Arial" w:cs="Arial" w:eastAsia="Arial" w:hAnsi="Arial"/>
          <w:sz w:val="24"/>
          <w:szCs w:val="24"/>
        </w:rPr>
        <w:t xml:space="preserve">Reference prices: silver spot from public market sources, updated daily. Clearly labeled in the interface.</w:t>
      </w:r>
    </w:p>
    <w:p>
      <w:pPr>
        <w:pStyle w:val="Heading2"/>
        <w:spacing w:after="120" w:before="240"/>
      </w:pPr>
      <w:r>
        <w:rPr>
          <w:rFonts w:ascii="Arial" w:cs="Arial" w:eastAsia="Arial" w:hAnsi="Arial"/>
          <w:b/>
          <w:bCs/>
          <w:color w:val="2E4057"/>
          <w:sz w:val="26"/>
          <w:szCs w:val="26"/>
        </w:rPr>
        <w:t xml:space="preserve">5.3 Index Components</w:t>
      </w:r>
    </w:p>
    <w:p>
      <w:pPr>
        <w:pStyle w:val="Heading3"/>
        <w:spacing w:after="80" w:before="180"/>
      </w:pPr>
      <w:r>
        <w:rPr>
          <w:rFonts w:ascii="Arial" w:cs="Arial" w:eastAsia="Arial" w:hAnsi="Arial"/>
          <w:b/>
          <w:bCs/>
          <w:color w:val="3D5A80"/>
          <w:sz w:val="24"/>
          <w:szCs w:val="24"/>
        </w:rPr>
        <w:t xml:space="preserve">5.3.1 Live Price Ticker</w:t>
      </w:r>
    </w:p>
    <w:p>
      <w:pPr>
        <w:spacing w:after="160"/>
      </w:pPr>
      <w:r>
        <w:rPr>
          <w:rFonts w:ascii="Arial" w:cs="Arial" w:eastAsia="Arial" w:hAnsi="Arial"/>
          <w:sz w:val="24"/>
          <w:szCs w:val="24"/>
        </w:rPr>
        <w:t xml:space="preserve">The Index displays real-time prices for Bitcoin, Litecoin, gold via PAXG proxy, silver reference, current satoshi USD value, dust threshold in USD, and Bitcoin market dominance. Prices refresh every sixty seconds from CoinGecko.</w:t>
      </w:r>
    </w:p>
    <w:p>
      <w:pPr>
        <w:pStyle w:val="Heading3"/>
        <w:spacing w:after="80" w:before="180"/>
      </w:pPr>
      <w:r>
        <w:rPr>
          <w:rFonts w:ascii="Arial" w:cs="Arial" w:eastAsia="Arial" w:hAnsi="Arial"/>
          <w:b/>
          <w:bCs/>
          <w:color w:val="3D5A80"/>
          <w:sz w:val="24"/>
          <w:szCs w:val="24"/>
        </w:rPr>
        <w:t xml:space="preserve">5.3.2 Five-Source Synthesis Chart</w:t>
      </w:r>
    </w:p>
    <w:p>
      <w:pPr>
        <w:spacing w:after="160"/>
      </w:pPr>
      <w:r>
        <w:rPr>
          <w:rFonts w:ascii="Arial" w:cs="Arial" w:eastAsia="Arial" w:hAnsi="Arial"/>
          <w:sz w:val="24"/>
          <w:szCs w:val="24"/>
        </w:rPr>
        <w:t xml:space="preserve">Five data streams are normalized to a base-100 index and displayed as a composite chart: Bitcoin 24-hour price, Litecoin 24-hour price, gold 24-hour price, silver reference price, and satoshi dust value. This synthesized view shows how these five assets move relative to each other over a rolling 24-hour window. The chart is the visual proof that satoshi purchasing power is a real and trackable quantity.</w:t>
      </w:r>
    </w:p>
    <w:p>
      <w:pPr>
        <w:pStyle w:val="Heading3"/>
        <w:spacing w:after="80" w:before="180"/>
      </w:pPr>
      <w:r>
        <w:rPr>
          <w:rFonts w:ascii="Arial" w:cs="Arial" w:eastAsia="Arial" w:hAnsi="Arial"/>
          <w:b/>
          <w:bCs/>
          <w:color w:val="3D5A80"/>
          <w:sz w:val="24"/>
          <w:szCs w:val="24"/>
        </w:rPr>
        <w:t xml:space="preserve">5.3.3 Satoshi Purchasing Power Index</w:t>
      </w:r>
    </w:p>
    <w:p>
      <w:pPr>
        <w:spacing w:after="160"/>
      </w:pPr>
      <w:r>
        <w:rPr>
          <w:rFonts w:ascii="Arial" w:cs="Arial" w:eastAsia="Arial" w:hAnsi="Arial"/>
          <w:sz w:val="24"/>
          <w:szCs w:val="24"/>
        </w:rPr>
        <w:t xml:space="preserve">The Index calculates how many units of base goods 1,000 satoshis can purchase in each of eleven countries, adjusting for local price levels. Base goods tracked: rice per kilogram, industrial water per liter, copper per gram, and steel per gram. This index makes the abstract concept of satoshi value concrete: it shows directly that purchasing power varies dramatically by geography and that the Bitcoin denomination provides a common unit for cross-border value comparison.</w:t>
      </w:r>
    </w:p>
    <w:p>
      <w:pPr>
        <w:pStyle w:val="Heading3"/>
        <w:spacing w:after="80" w:before="180"/>
      </w:pPr>
      <w:r>
        <w:rPr>
          <w:rFonts w:ascii="Arial" w:cs="Arial" w:eastAsia="Arial" w:hAnsi="Arial"/>
          <w:b/>
          <w:bCs/>
          <w:color w:val="3D5A80"/>
          <w:sz w:val="24"/>
          <w:szCs w:val="24"/>
        </w:rPr>
        <w:t xml:space="preserve">5.3.4 Inflation Comparison Table</w:t>
      </w:r>
    </w:p>
    <w:p>
      <w:pPr>
        <w:spacing w:after="160"/>
      </w:pPr>
      <w:r>
        <w:rPr>
          <w:rFonts w:ascii="Arial" w:cs="Arial" w:eastAsia="Arial" w:hAnsi="Arial"/>
          <w:sz w:val="24"/>
          <w:szCs w:val="24"/>
        </w:rPr>
        <w:t xml:space="preserve">The Index displays CPI inflation rates for twelve major economies alongside the nominal and inflation-adjusted real value of one satoshi in each currency. This is the core argument for Bitcoin as a savings instrument in high-inflation environments: the table makes visible that a satoshi’s real purchasing power is higher in low-inflation economies and that the erosion of fiat value is quantifiable against a fixed satoshi benchmark.</w:t>
      </w:r>
    </w:p>
    <w:p>
      <w:pPr>
        <w:pStyle w:val="Heading3"/>
        <w:spacing w:after="80" w:before="180"/>
      </w:pPr>
      <w:r>
        <w:rPr>
          <w:rFonts w:ascii="Arial" w:cs="Arial" w:eastAsia="Arial" w:hAnsi="Arial"/>
          <w:b/>
          <w:bCs/>
          <w:color w:val="3D5A80"/>
          <w:sz w:val="24"/>
          <w:szCs w:val="24"/>
        </w:rPr>
        <w:t xml:space="preserve">5.3.5 Conversion Calculator</w:t>
      </w:r>
    </w:p>
    <w:p>
      <w:pPr>
        <w:spacing w:after="160"/>
      </w:pPr>
      <w:r>
        <w:rPr>
          <w:rFonts w:ascii="Arial" w:cs="Arial" w:eastAsia="Arial" w:hAnsi="Arial"/>
          <w:sz w:val="24"/>
          <w:szCs w:val="24"/>
        </w:rPr>
        <w:t xml:space="preserve">A live calculator converts any amount of Bitcoin, Litecoin, gold, silver, or USD into satoshis and back. A separate discrepancy estimator shows the dollar and satoshi gap between any two assets — for example, how many satoshis separate the value of one gold ounce from one Litecoin at current prices. This is directly useful for BitBreak credit pricing: it shows the spread a user accepts when converting between asset classes through the credit layer.</w:t>
      </w:r>
    </w:p>
    <w:p>
      <w:pPr>
        <w:pStyle w:val="Heading2"/>
        <w:spacing w:after="120" w:before="240"/>
      </w:pPr>
      <w:r>
        <w:rPr>
          <w:rFonts w:ascii="Arial" w:cs="Arial" w:eastAsia="Arial" w:hAnsi="Arial"/>
          <w:b/>
          <w:bCs/>
          <w:color w:val="2E4057"/>
          <w:sz w:val="26"/>
          <w:szCs w:val="26"/>
        </w:rPr>
        <w:t xml:space="preserve">5.4 Index as Protocol Foundation</w:t>
      </w:r>
    </w:p>
    <w:p>
      <w:pPr>
        <w:spacing w:after="160"/>
      </w:pPr>
      <w:r>
        <w:rPr>
          <w:rFonts w:ascii="Arial" w:cs="Arial" w:eastAsia="Arial" w:hAnsi="Arial"/>
          <w:sz w:val="24"/>
          <w:szCs w:val="24"/>
        </w:rPr>
        <w:t xml:space="preserve">The BitBreak Index is not merely a demonstration tool. It is the data layer that makes BitBreak credit economically rational. Credit issuance rates, consolidation timing, and settlement windows all depend on accurate real-time knowledge of Bitcoin’s value relative to base goods and competing assets. A BitBreak node running without index data is operating blind. A node with the Index has continuous context for every credit decision it makes.</w:t>
      </w:r>
    </w:p>
    <w:p>
      <w:pPr>
        <w:spacing w:after="160"/>
      </w:pPr>
      <w:r>
        <w:rPr>
          <w:rFonts w:ascii="Arial" w:cs="Arial" w:eastAsia="Arial" w:hAnsi="Arial"/>
          <w:sz w:val="24"/>
          <w:szCs w:val="24"/>
        </w:rPr>
        <w:t xml:space="preserve">This integration is architectural, not cosmetic. The price index module is embedded directly in the BitBreak node codebase and exposes its data through the node’s JSON-RPC interface alongside chain state. Any application consuming BitBreak node data receives commodity and inflation context alongside credit balance data by default.</w:t>
      </w:r>
    </w:p>
    <w:p>
      <w:pPr>
        <w:pStyle w:val="Heading1"/>
        <w:pageBreakBefore/>
      </w:pPr>
      <w:r>
        <w:rPr>
          <w:rFonts w:ascii="Arial" w:cs="Arial" w:eastAsia="Arial" w:hAnsi="Arial"/>
          <w:b/>
          <w:bCs/>
          <w:color w:val="1F2D3D"/>
          <w:sz w:val="32"/>
          <w:szCs w:val="32"/>
        </w:rPr>
        <w:t xml:space="preserve">6. BitBreak Supply Model</w:t>
      </w:r>
    </w:p>
    <w:p>
      <w:pPr>
        <w:pStyle w:val="Heading2"/>
        <w:spacing w:after="120" w:before="240"/>
      </w:pPr>
      <w:r>
        <w:rPr>
          <w:rFonts w:ascii="Arial" w:cs="Arial" w:eastAsia="Arial" w:hAnsi="Arial"/>
          <w:b/>
          <w:bCs/>
          <w:color w:val="2E4057"/>
          <w:sz w:val="26"/>
          <w:szCs w:val="26"/>
        </w:rPr>
        <w:t xml:space="preserve">6.1 Token Supply</w:t>
      </w:r>
    </w:p>
    <w:p>
      <w:pPr>
        <w:spacing w:after="160"/>
      </w:pPr>
      <w:r>
        <w:rPr>
          <w:rFonts w:ascii="Arial" w:cs="Arial" w:eastAsia="Arial" w:hAnsi="Arial"/>
          <w:sz w:val="24"/>
          <w:szCs w:val="24"/>
        </w:rPr>
        <w:t xml:space="preserve">BitBreak credit supply is capped at 21,000,000 BBK, mirroring Bitcoin’s supply limit. This is not coincidental: the supply cap creates a defined relationship between the two systems. BitBreak credit is not an independent asset — it is a denominated claim on Bitcoin. Capping BBK supply at 21 million creates structural scarcity proportional to Bitcoin’s own scarcity.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Pool</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Allocation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Dust reserve pool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8,400,000 BBK (40%)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Credit issued against registered dust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Credit clearing pool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6,300,000 BBK (30%)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High-velocity credit circulation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Settlement 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4,200,000 BBK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Consolidation reserve holdings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Miner incentive pool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2,100,000 BBK (10%)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Block reward for chain security</w:t>
            </w:r>
          </w:p>
        </w:tc>
      </w:tr>
    </w:tbl>
    <w:p>
      <w:pPr>
        <w:spacing w:after="80"/>
      </w:pPr>
    </w:p>
    <w:p>
      <w:pPr>
        <w:pStyle w:val="Heading2"/>
        <w:spacing w:after="120" w:before="240"/>
      </w:pPr>
      <w:r>
        <w:rPr>
          <w:rFonts w:ascii="Arial" w:cs="Arial" w:eastAsia="Arial" w:hAnsi="Arial"/>
          <w:b/>
          <w:bCs/>
          <w:color w:val="2E4057"/>
          <w:sz w:val="26"/>
          <w:szCs w:val="26"/>
        </w:rPr>
        <w:t xml:space="preserve">6.2 Emission Schedule</w:t>
      </w:r>
    </w:p>
    <w:p>
      <w:pPr>
        <w:spacing w:after="160"/>
      </w:pPr>
      <w:r>
        <w:rPr>
          <w:rFonts w:ascii="Arial" w:cs="Arial" w:eastAsia="Arial" w:hAnsi="Arial"/>
          <w:sz w:val="24"/>
          <w:szCs w:val="24"/>
        </w:rPr>
        <w:t xml:space="preserve">BitBreak credit issuance follows a halving schedule synchronized with Bitcoin’s block epoch intervals of 210,000 blocks. This keeps BitBreak’s issuance timeline aligned with Bitcoin’s own supply curve. As Bitcoin’s block reward decreases, the economic pressure to use block space efficiently increases — which increases the value of BitBreak’s off-chain credit clearing layer precisely when it is needed most.</w:t>
      </w:r>
    </w:p>
    <w:p>
      <w:pPr>
        <w:pStyle w:val="Heading1"/>
        <w:pageBreakBefore/>
      </w:pPr>
      <w:r>
        <w:rPr>
          <w:rFonts w:ascii="Arial" w:cs="Arial" w:eastAsia="Arial" w:hAnsi="Arial"/>
          <w:b/>
          <w:bCs/>
          <w:color w:val="1F2D3D"/>
          <w:sz w:val="32"/>
          <w:szCs w:val="32"/>
        </w:rPr>
        <w:t xml:space="preserve">7. Security Analysis</w:t>
      </w:r>
    </w:p>
    <w:p>
      <w:pPr>
        <w:pStyle w:val="Heading2"/>
        <w:spacing w:after="120" w:before="240"/>
      </w:pPr>
      <w:r>
        <w:rPr>
          <w:rFonts w:ascii="Arial" w:cs="Arial" w:eastAsia="Arial" w:hAnsi="Arial"/>
          <w:b/>
          <w:bCs/>
          <w:color w:val="2E4057"/>
          <w:sz w:val="26"/>
          <w:szCs w:val="26"/>
        </w:rPr>
        <w:t xml:space="preserve">7.1 Credit Inflation</w:t>
      </w:r>
    </w:p>
    <w:p>
      <w:pPr>
        <w:spacing w:after="160"/>
      </w:pPr>
      <w:r>
        <w:rPr>
          <w:rFonts w:ascii="Arial" w:cs="Arial" w:eastAsia="Arial" w:hAnsi="Arial"/>
          <w:sz w:val="24"/>
          <w:szCs w:val="24"/>
        </w:rPr>
        <w:t xml:space="preserve">Prevented by mandatory Bitcoin anchoring and the conservation rule. Every BBK credit in circulation is backed by a cryptographically verified Bitcoin UTXO. Credit cannot be created without a valid SPV proof. The conservation rule prevents any transaction from producing more credit than it consumes.</w:t>
      </w:r>
    </w:p>
    <w:p>
      <w:pPr>
        <w:pStyle w:val="Heading2"/>
        <w:spacing w:after="120" w:before="240"/>
      </w:pPr>
      <w:r>
        <w:rPr>
          <w:rFonts w:ascii="Arial" w:cs="Arial" w:eastAsia="Arial" w:hAnsi="Arial"/>
          <w:b/>
          <w:bCs/>
          <w:color w:val="2E4057"/>
          <w:sz w:val="26"/>
          <w:szCs w:val="26"/>
        </w:rPr>
        <w:t xml:space="preserve">7.2 51% Attacks</w:t>
      </w:r>
    </w:p>
    <w:p>
      <w:pPr>
        <w:spacing w:after="160"/>
      </w:pPr>
      <w:r>
        <w:rPr>
          <w:rFonts w:ascii="Arial" w:cs="Arial" w:eastAsia="Arial" w:hAnsi="Arial"/>
          <w:sz w:val="24"/>
          <w:szCs w:val="24"/>
        </w:rPr>
        <w:t xml:space="preserve">A BitBreak-specific 51% attack may disrupt credit ordering on the BitBreak chain but cannot inflate Bitcoin, invalidate settled transactions, or affect the Bitcoin main chain in any way. The one-way dependency from BitBreak to Bitcoin means Bitcoin’s security is unaffected by any failure on the BitBreak chain.</w:t>
      </w:r>
    </w:p>
    <w:p>
      <w:pPr>
        <w:pStyle w:val="Heading2"/>
        <w:spacing w:after="120" w:before="240"/>
      </w:pPr>
      <w:r>
        <w:rPr>
          <w:rFonts w:ascii="Arial" w:cs="Arial" w:eastAsia="Arial" w:hAnsi="Arial"/>
          <w:b/>
          <w:bCs/>
          <w:color w:val="2E4057"/>
          <w:sz w:val="26"/>
          <w:szCs w:val="26"/>
        </w:rPr>
        <w:t xml:space="preserve">7.3 Anchor Forgery</w:t>
      </w:r>
    </w:p>
    <w:p>
      <w:pPr>
        <w:spacing w:after="160"/>
      </w:pPr>
      <w:r>
        <w:rPr>
          <w:rFonts w:ascii="Arial" w:cs="Arial" w:eastAsia="Arial" w:hAnsi="Arial"/>
          <w:sz w:val="24"/>
          <w:szCs w:val="24"/>
        </w:rPr>
        <w:t xml:space="preserve">Mitigated by SPV verification requiring a valid Merkle inclusion proof and corresponding Bitcoin block header with sufficient proof-of-work. Forging an anchor requires forging a Bitcoin block — which is secured by Bitcoin’s full hash rate.</w:t>
      </w:r>
    </w:p>
    <w:p>
      <w:pPr>
        <w:pStyle w:val="Heading2"/>
        <w:spacing w:after="120" w:before="240"/>
      </w:pPr>
      <w:r>
        <w:rPr>
          <w:rFonts w:ascii="Arial" w:cs="Arial" w:eastAsia="Arial" w:hAnsi="Arial"/>
          <w:b/>
          <w:bCs/>
          <w:color w:val="2E4057"/>
          <w:sz w:val="26"/>
          <w:szCs w:val="26"/>
        </w:rPr>
        <w:t xml:space="preserve">7.4 Failure Modes</w:t>
      </w:r>
    </w:p>
    <w:p>
      <w:pPr>
        <w:spacing w:after="160"/>
      </w:pPr>
      <w:r>
        <w:rPr>
          <w:rFonts w:ascii="Arial" w:cs="Arial" w:eastAsia="Arial" w:hAnsi="Arial"/>
          <w:sz w:val="24"/>
          <w:szCs w:val="24"/>
        </w:rPr>
        <w:t xml:space="preserve">BitBreak is designed to fail safely. The chain may halt, fork, or become inoperative without affecting Bitcoin’s validity or the security of settled transactions. Outstanding BBK credit that has not been settled represents the only value at risk in any BitBreak failure scenario. Bitcoin itself is unaffected.</w:t>
      </w:r>
    </w:p>
    <w:p>
      <w:pPr>
        <w:pStyle w:val="Heading1"/>
        <w:pageBreakBefore/>
      </w:pPr>
      <w:r>
        <w:rPr>
          <w:rFonts w:ascii="Arial" w:cs="Arial" w:eastAsia="Arial" w:hAnsi="Arial"/>
          <w:b/>
          <w:bCs/>
          <w:color w:val="1F2D3D"/>
          <w:sz w:val="32"/>
          <w:szCs w:val="32"/>
        </w:rPr>
        <w:t xml:space="preserve">8. Deployment and Integration</w:t>
      </w:r>
    </w:p>
    <w:p>
      <w:pPr>
        <w:pStyle w:val="Heading2"/>
        <w:spacing w:after="120" w:before="240"/>
      </w:pPr>
      <w:r>
        <w:rPr>
          <w:rFonts w:ascii="Arial" w:cs="Arial" w:eastAsia="Arial" w:hAnsi="Arial"/>
          <w:b/>
          <w:bCs/>
          <w:color w:val="2E4057"/>
          <w:sz w:val="26"/>
          <w:szCs w:val="26"/>
        </w:rPr>
        <w:t xml:space="preserve">8.1 Bitcoin Core Interface</w:t>
      </w:r>
    </w:p>
    <w:p>
      <w:pPr>
        <w:spacing w:after="160"/>
      </w:pPr>
      <w:r>
        <w:rPr>
          <w:rFonts w:ascii="Arial" w:cs="Arial" w:eastAsia="Arial" w:hAnsi="Arial"/>
          <w:sz w:val="24"/>
          <w:szCs w:val="24"/>
        </w:rPr>
        <w:t xml:space="preserve">BitBreak connects to a running Bitcoin Core node via JSON-RPC. It requires no changes to Bitcoin Core or Bitcoin’s consensus rules. Integration uses only standard RPC calls: getblockcount, getblockheader, getrawtransaction, and estimatesmartfee. Participation is opt-in and non-participants are unaffected.</w:t>
      </w:r>
    </w:p>
    <w:p>
      <w:pPr>
        <w:pStyle w:val="Heading2"/>
        <w:spacing w:after="120" w:before="240"/>
      </w:pPr>
      <w:r>
        <w:rPr>
          <w:rFonts w:ascii="Arial" w:cs="Arial" w:eastAsia="Arial" w:hAnsi="Arial"/>
          <w:b/>
          <w:bCs/>
          <w:color w:val="2E4057"/>
          <w:sz w:val="26"/>
          <w:szCs w:val="26"/>
        </w:rPr>
        <w:t xml:space="preserve">8.2 Node Architecture</w:t>
      </w:r>
    </w:p>
    <w:p>
      <w:pPr>
        <w:spacing w:after="160"/>
      </w:pPr>
      <w:r>
        <w:rPr>
          <w:rFonts w:ascii="Arial" w:cs="Arial" w:eastAsia="Arial" w:hAnsi="Arial"/>
          <w:sz w:val="24"/>
          <w:szCs w:val="24"/>
        </w:rPr>
        <w:t xml:space="preserve">A BitBreak node runs alongside a Bitcoin Core node and exposes its own JSON-RPC interface. The node integrates five modules: chain management and block validation, consensus and difficulty adjustment, wallet and credit issuance, the BitBreak Index price layer, and a P2P network layer for block and transaction propagation.</w:t>
      </w:r>
    </w:p>
    <w:p>
      <w:pPr>
        <w:pStyle w:val="Heading2"/>
        <w:spacing w:after="120" w:before="240"/>
      </w:pPr>
      <w:r>
        <w:rPr>
          <w:rFonts w:ascii="Arial" w:cs="Arial" w:eastAsia="Arial" w:hAnsi="Arial"/>
          <w:b/>
          <w:bCs/>
          <w:color w:val="2E4057"/>
          <w:sz w:val="26"/>
          <w:szCs w:val="26"/>
        </w:rPr>
        <w:t xml:space="preserve">8.3 Current Status</w:t>
      </w:r>
    </w:p>
    <w:p>
      <w:pPr>
        <w:spacing w:after="160"/>
      </w:pPr>
      <w:r>
        <w:rPr>
          <w:rFonts w:ascii="Arial" w:cs="Arial" w:eastAsia="Arial" w:hAnsi="Arial"/>
          <w:sz w:val="24"/>
          <w:szCs w:val="24"/>
        </w:rPr>
        <w:t xml:space="preserve">The BitBreak protocol is currently at the prototype research stage. The following deliverables are complete:</w:t>
      </w:r>
    </w:p>
    <w:p>
      <w:pPr>
        <w:pStyle w:val="ListParagraph"/>
        <w:numPr>
          <w:ilvl w:val="0"/>
          <w:numId w:val="3"/>
        </w:numPr>
      </w:pPr>
      <w:r>
        <w:rPr>
          <w:rFonts w:ascii="Arial" w:cs="Arial" w:eastAsia="Arial" w:hAnsi="Arial"/>
          <w:sz w:val="24"/>
          <w:szCs w:val="24"/>
        </w:rPr>
        <w:t xml:space="preserve">Published whitepaper defining protocol architecture</w:t>
      </w:r>
    </w:p>
    <w:p>
      <w:pPr>
        <w:pStyle w:val="ListParagraph"/>
        <w:numPr>
          <w:ilvl w:val="0"/>
          <w:numId w:val="3"/>
        </w:numPr>
      </w:pPr>
      <w:r>
        <w:rPr>
          <w:rFonts w:ascii="Arial" w:cs="Arial" w:eastAsia="Arial" w:hAnsi="Arial"/>
          <w:sz w:val="24"/>
          <w:szCs w:val="24"/>
        </w:rPr>
        <w:t xml:space="preserve">Open-source Python prototype framework on GitHub (MIT license)</w:t>
      </w:r>
    </w:p>
    <w:p>
      <w:pPr>
        <w:pStyle w:val="ListParagraph"/>
        <w:numPr>
          <w:ilvl w:val="0"/>
          <w:numId w:val="3"/>
        </w:numPr>
      </w:pPr>
      <w:r>
        <w:rPr>
          <w:rFonts w:ascii="Arial" w:cs="Arial" w:eastAsia="Arial" w:hAnsi="Arial"/>
          <w:sz w:val="24"/>
          <w:szCs w:val="24"/>
        </w:rPr>
        <w:t xml:space="preserve">26-test unit test suite covering core data structures, consensus rules, and credit issuance</w:t>
      </w:r>
    </w:p>
    <w:p>
      <w:pPr>
        <w:pStyle w:val="ListParagraph"/>
        <w:numPr>
          <w:ilvl w:val="0"/>
          <w:numId w:val="3"/>
        </w:numPr>
      </w:pPr>
      <w:r>
        <w:rPr>
          <w:rFonts w:ascii="Arial" w:cs="Arial" w:eastAsia="Arial" w:hAnsi="Arial"/>
          <w:sz w:val="24"/>
          <w:szCs w:val="24"/>
        </w:rPr>
        <w:t xml:space="preserve">Live BitBreak Index web application demonstrating satoshi purchasing power and inflation comparison</w:t>
      </w:r>
    </w:p>
    <w:p>
      <w:pPr>
        <w:pStyle w:val="ListParagraph"/>
        <w:numPr>
          <w:ilvl w:val="0"/>
          <w:numId w:val="3"/>
        </w:numPr>
        <w:spacing w:after="160"/>
      </w:pPr>
      <w:r>
        <w:rPr>
          <w:rFonts w:ascii="Arial" w:cs="Arial" w:eastAsia="Arial" w:hAnsi="Arial"/>
          <w:sz w:val="24"/>
          <w:szCs w:val="24"/>
        </w:rPr>
        <w:t xml:space="preserve">Integrated price index module in node codebase with CoinGecko and World Bank API connections</w:t>
      </w:r>
    </w:p>
    <w:p>
      <w:pPr>
        <w:spacing w:after="160"/>
      </w:pPr>
      <w:r>
        <w:rPr>
          <w:rFonts w:ascii="Arial" w:cs="Arial" w:eastAsia="Arial" w:hAnsi="Arial"/>
          <w:sz w:val="24"/>
          <w:szCs w:val="24"/>
        </w:rPr>
        <w:t xml:space="preserve">The following require further engineering before production deployment: C++ Bitcoin Core integration, full Merkle proof verification, complete P2P network protocol, persistent chain storage, mining implementation, and extensive testnet validation.</w:t>
      </w:r>
    </w:p>
    <w:p>
      <w:pPr>
        <w:pStyle w:val="Heading1"/>
        <w:pageBreakBefore/>
      </w:pPr>
      <w:r>
        <w:rPr>
          <w:rFonts w:ascii="Arial" w:cs="Arial" w:eastAsia="Arial" w:hAnsi="Arial"/>
          <w:b/>
          <w:bCs/>
          <w:color w:val="1F2D3D"/>
          <w:sz w:val="32"/>
          <w:szCs w:val="32"/>
        </w:rPr>
        <w:t xml:space="preserve">9. Research Directions</w:t>
      </w:r>
    </w:p>
    <w:p>
      <w:pPr>
        <w:spacing w:after="160"/>
      </w:pPr>
      <w:r>
        <w:rPr>
          <w:rFonts w:ascii="Arial" w:cs="Arial" w:eastAsia="Arial" w:hAnsi="Arial"/>
          <w:sz w:val="24"/>
          <w:szCs w:val="24"/>
        </w:rPr>
        <w:t xml:space="preserve">The following research questions are identified as primary for advancing the BitBreak protocol toward production readiness:</w:t>
      </w:r>
    </w:p>
    <w:p>
      <w:pPr>
        <w:pStyle w:val="ListParagraph"/>
        <w:numPr>
          <w:ilvl w:val="0"/>
          <w:numId w:val="2"/>
        </w:numPr>
      </w:pPr>
      <w:r>
        <w:rPr>
          <w:rFonts w:ascii="Arial" w:cs="Arial" w:eastAsia="Arial" w:hAnsi="Arial"/>
          <w:sz w:val="24"/>
          <w:szCs w:val="24"/>
        </w:rPr>
        <w:t xml:space="preserve">What fee market optimization and difficulty coupling mechanisms best support the credit layer at scale alongside Bitcoin’s base layer?</w:t>
      </w:r>
    </w:p>
    <w:p>
      <w:pPr>
        <w:pStyle w:val="ListParagraph"/>
        <w:numPr>
          <w:ilvl w:val="0"/>
          <w:numId w:val="2"/>
        </w:numPr>
      </w:pPr>
      <w:r>
        <w:rPr>
          <w:rFonts w:ascii="Arial" w:cs="Arial" w:eastAsia="Arial" w:hAnsi="Arial"/>
          <w:sz w:val="24"/>
          <w:szCs w:val="24"/>
        </w:rPr>
        <w:t xml:space="preserve">What is the minimum economically rational dust intake threshold as Bitcoin’s fee market evolves?</w:t>
      </w:r>
    </w:p>
    <w:p>
      <w:pPr>
        <w:pStyle w:val="ListParagraph"/>
        <w:numPr>
          <w:ilvl w:val="0"/>
          <w:numId w:val="2"/>
        </w:numPr>
      </w:pPr>
      <w:r>
        <w:rPr>
          <w:rFonts w:ascii="Arial" w:cs="Arial" w:eastAsia="Arial" w:hAnsi="Arial"/>
          <w:sz w:val="24"/>
          <w:szCs w:val="24"/>
        </w:rPr>
        <w:t xml:space="preserve">How should consolidation reserve release be triggered to avoid creating new congestion on the base layer?</w:t>
      </w:r>
    </w:p>
    <w:p>
      <w:pPr>
        <w:pStyle w:val="ListParagraph"/>
        <w:numPr>
          <w:ilvl w:val="0"/>
          <w:numId w:val="2"/>
        </w:numPr>
      </w:pPr>
      <w:r>
        <w:rPr>
          <w:rFonts w:ascii="Arial" w:cs="Arial" w:eastAsia="Arial" w:hAnsi="Arial"/>
          <w:sz w:val="24"/>
          <w:szCs w:val="24"/>
        </w:rPr>
        <w:t xml:space="preserve">What parallel validation incentive structures best ensure adequate hash power allocation to the BitBreak chain?</w:t>
      </w:r>
    </w:p>
    <w:p>
      <w:pPr>
        <w:pStyle w:val="ListParagraph"/>
        <w:numPr>
          <w:ilvl w:val="0"/>
          <w:numId w:val="2"/>
        </w:numPr>
      </w:pPr>
      <w:r>
        <w:rPr>
          <w:rFonts w:ascii="Arial" w:cs="Arial" w:eastAsia="Arial" w:hAnsi="Arial"/>
          <w:sz w:val="24"/>
          <w:szCs w:val="24"/>
        </w:rPr>
        <w:t xml:space="preserve">How should the BitBreak Index be extended to include energy generation source data as the Sleep Kernel infrastructure financing model develops?</w:t>
      </w:r>
    </w:p>
    <w:p>
      <w:pPr>
        <w:pStyle w:val="ListParagraph"/>
        <w:numPr>
          <w:ilvl w:val="0"/>
          <w:numId w:val="2"/>
        </w:numPr>
        <w:spacing w:after="160"/>
      </w:pPr>
      <w:r>
        <w:rPr>
          <w:rFonts w:ascii="Arial" w:cs="Arial" w:eastAsia="Arial" w:hAnsi="Arial"/>
          <w:sz w:val="24"/>
          <w:szCs w:val="24"/>
        </w:rPr>
        <w:t xml:space="preserve">What formal verification methods are appropriate for the conservation rule and anchor validation logic in a C++ production implementation?</w:t>
      </w:r>
    </w:p>
    <w:p>
      <w:pPr>
        <w:pStyle w:val="Heading1"/>
        <w:pageBreakBefore/>
      </w:pPr>
      <w:r>
        <w:rPr>
          <w:rFonts w:ascii="Arial" w:cs="Arial" w:eastAsia="Arial" w:hAnsi="Arial"/>
          <w:b/>
          <w:bCs/>
          <w:color w:val="1F2D3D"/>
          <w:sz w:val="32"/>
          <w:szCs w:val="32"/>
        </w:rPr>
        <w:t xml:space="preserve">10. Conclusion</w:t>
      </w:r>
    </w:p>
    <w:p>
      <w:pPr>
        <w:spacing w:after="160"/>
      </w:pPr>
      <w:r>
        <w:rPr>
          <w:rFonts w:ascii="Arial" w:cs="Arial" w:eastAsia="Arial" w:hAnsi="Arial"/>
          <w:sz w:val="24"/>
          <w:szCs w:val="24"/>
        </w:rPr>
        <w:t xml:space="preserve">Bitcoin’s greatest strength — its fixed supply, trustless settlement, and censorship resistance — is also the source of its practical limitation for high-frequency, low-value exchange. BitBreak addresses this not by weakening Bitcoin but by extending it: a parallel proof-of-work credit layer that unlocks the value stranded in Bitcoin dust while leaving Bitcoin’s base properties entirely intact.</w:t>
      </w:r>
    </w:p>
    <w:p>
      <w:pPr>
        <w:spacing w:after="160"/>
      </w:pPr>
      <w:r>
        <w:rPr>
          <w:rFonts w:ascii="Arial" w:cs="Arial" w:eastAsia="Arial" w:hAnsi="Arial"/>
          <w:sz w:val="24"/>
          <w:szCs w:val="24"/>
        </w:rPr>
        <w:t xml:space="preserve">The BitBreak Index is the practical proof of this proposition. Before the full protocol is deployed, the Index makes the value of satoshi-denominated credit visible and measurable to anyone. It shows, in real numbers updated every minute, that a satoshi is not an abstraction — it is purchasing power that can be compared to gold, silver, inflation, and the price of rice in twelve countries simultaneously.</w:t>
      </w:r>
    </w:p>
    <w:p>
      <w:pPr>
        <w:spacing w:after="160"/>
      </w:pPr>
      <w:r>
        <w:rPr>
          <w:rFonts w:ascii="Arial" w:cs="Arial" w:eastAsia="Arial" w:hAnsi="Arial"/>
          <w:sz w:val="24"/>
          <w:szCs w:val="24"/>
        </w:rPr>
        <w:t xml:space="preserve">The architecture is open source, the license is MIT, and the research is in the public record. The Index is the beginning. The protocol is the goal.</w:t>
      </w:r>
    </w:p>
    <w:p>
      <w:pPr>
        <w:spacing w:after="80"/>
      </w:pPr>
    </w:p>
    <w:p>
      <w:pPr>
        <w:pBdr>
          <w:top w:val="single" w:color="CCCCCC" w:sz="4" w:space="4"/>
        </w:pBdr>
        <w:spacing w:after="80" w:before="480"/>
      </w:pPr>
      <w:r>
        <w:rPr>
          <w:rFonts w:ascii="Arial" w:cs="Arial" w:eastAsia="Arial" w:hAnsi="Arial"/>
          <w:i/>
          <w:iCs/>
          <w:color w:val="444444"/>
          <w:sz w:val="24"/>
          <w:szCs w:val="24"/>
        </w:rPr>
        <w:t xml:space="preserve">Bitcoin remains the settlement layer. BitBreak becomes the ledger of obligations.</w:t>
      </w:r>
    </w:p>
    <w:p>
      <w:pPr>
        <w:spacing w:after="80"/>
      </w:pPr>
    </w:p>
    <w:p>
      <w:pPr>
        <w:spacing w:after="80"/>
      </w:pPr>
      <w:r>
        <w:rPr>
          <w:rFonts w:ascii="Arial" w:cs="Arial" w:eastAsia="Arial" w:hAnsi="Arial"/>
          <w:b/>
          <w:bCs/>
          <w:sz w:val="24"/>
          <w:szCs w:val="24"/>
        </w:rPr>
        <w:t xml:space="preserve">Author: Jared Soriente Chang</w:t>
      </w:r>
    </w:p>
    <w:p>
      <w:pPr>
        <w:spacing w:after="80"/>
      </w:pPr>
      <w:r>
        <w:rPr>
          <w:rFonts w:ascii="Arial" w:cs="Arial" w:eastAsia="Arial" w:hAnsi="Arial"/>
          <w:color w:val="666666"/>
          <w:sz w:val="22"/>
          <w:szCs w:val="22"/>
        </w:rPr>
        <w:t xml:space="preserve">License: MIT — Open Source</w:t>
      </w:r>
    </w:p>
    <w:p>
      <w:pPr>
        <w:spacing w:after="80"/>
      </w:pPr>
      <w:r>
        <w:rPr>
          <w:rFonts w:ascii="Arial" w:cs="Arial" w:eastAsia="Arial" w:hAnsi="Arial"/>
          <w:color w:val="666666"/>
          <w:sz w:val="22"/>
          <w:szCs w:val="22"/>
        </w:rPr>
        <w:t xml:space="preserve">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2D3D" w:sz="6" w:space="1"/>
      </w:pBd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MIT License — Open Source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2D3D" w:sz="6" w:space="1"/>
      </w:pBdr>
      <w:tabs>
        <w:tab w:val="right" w:pos="9360"/>
      </w:tabs>
    </w:pPr>
    <w:r>
      <w:rPr>
        <w:rFonts w:ascii="Arial" w:cs="Arial" w:eastAsia="Arial" w:hAnsi="Arial"/>
        <w:color w:val="888888"/>
        <w:sz w:val="18"/>
        <w:szCs w:val="18"/>
      </w:rPr>
      <w:t xml:space="preserve">BitBreak Whitepaper</w:t>
    </w:r>
    <w:r>
      <w:rPr>
        <w:rFonts w:ascii="Arial" w:cs="Arial" w:eastAsia="Arial" w:hAnsi="Arial"/>
        <w:sz w:val="18"/>
        <w:szCs w:val="18"/>
      </w:rPr>
      <w:t xml:space="preserve">	</w:t>
    </w:r>
    <w:r>
      <w:rPr>
        <w:rFonts w:ascii="Arial" w:cs="Arial" w:eastAsia="Arial" w:hAnsi="Arial"/>
        <w:color w:val="888888"/>
        <w:sz w:val="18"/>
        <w:szCs w:val="18"/>
      </w:rPr>
      <w:t xml:space="preserve">Jared Soriente Chang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2D3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2026-05-07T19:52:24.360Z</dcterms:created>
  <dcterms:modified xsi:type="dcterms:W3CDTF">2026-05-07T19:52:24.377Z</dcterms:modified>
</cp:coreProperties>
</file>

<file path=docProps/custom.xml><?xml version="1.0" encoding="utf-8"?>
<Properties xmlns="http://schemas.openxmlformats.org/officeDocument/2006/custom-properties" xmlns:vt="http://schemas.openxmlformats.org/officeDocument/2006/docPropsVTypes"/>
</file>