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6.png" ContentType="image/png"/>
  <Override PartName="/word/media/rId49.png" ContentType="image/png"/>
  <Override PartName="/word/media/rId21.png" ContentType="image/png"/>
  <Override PartName="/word/media/rId25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110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113.png" ContentType="image/png"/>
  <Override PartName="/word/media/rId116.png" ContentType="image/png"/>
  <Override PartName="/word/media/rId87.png" ContentType="image/png"/>
  <Override PartName="/word/media/rId54.png" ContentType="image/png"/>
  <Override PartName="/word/media/rId90.png" ContentType="image/png"/>
  <Override PartName="/word/media/rId57.png" ContentType="image/png"/>
  <Override PartName="/word/media/rId93.png" ContentType="image/png"/>
  <Override PartName="/word/media/rId60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19.png" ContentType="image/png"/>
  <Override PartName="/word/media/rId30.png" ContentType="image/png"/>
  <Override PartName="/word/media/rId34.png" ContentType="image/png"/>
  <Override PartName="/word/media/rId135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38.png" ContentType="image/png"/>
  <Override PartName="/word/media/rId143.png" ContentType="image/png"/>
  <Override PartName="/word/media/rId126.png" ContentType="image/png"/>
  <Override PartName="/word/media/rId1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Generation</w:t>
      </w:r>
    </w:p>
    <w:p>
      <w:pPr>
        <w:pStyle w:val="Author"/>
      </w:pPr>
      <w:r>
        <w:t xml:space="preserve">Jayjay,</w:t>
      </w:r>
      <w:r>
        <w:t xml:space="preserve"> </w:t>
      </w:r>
      <w:r>
        <w:t xml:space="preserve">Tuna,</w:t>
      </w:r>
      <w:r>
        <w:t xml:space="preserve"> </w:t>
      </w:r>
      <w:r>
        <w:t xml:space="preserve">Jason,</w:t>
      </w:r>
      <w:r>
        <w:t xml:space="preserve"> </w:t>
      </w:r>
      <w:r>
        <w:t xml:space="preserve">Richard</w:t>
      </w:r>
    </w:p>
    <w:p>
      <w:pPr>
        <w:pStyle w:val="Date"/>
      </w:pPr>
      <w:r>
        <w:t xml:space="preserve">2024-09-30</w:t>
      </w:r>
    </w:p>
    <w:bookmarkStart w:id="20" w:name="surrogate-modeling-for-which-system"/>
    <w:p>
      <w:pPr>
        <w:pStyle w:val="Heading1"/>
      </w:pPr>
      <w:r>
        <w:t xml:space="preserve">Surrogate Modeling for Which System?</w:t>
      </w:r>
    </w:p>
    <w:p>
      <w:pPr>
        <w:pStyle w:val="Compact"/>
        <w:numPr>
          <w:ilvl w:val="0"/>
          <w:numId w:val="1001"/>
        </w:numPr>
      </w:pPr>
      <w:r>
        <w:t xml:space="preserve">Simplified Geological Carbon Storage (Francis’ paper)</w:t>
      </w:r>
    </w:p>
    <w:p>
      <w:pPr>
        <w:pStyle w:val="Compact"/>
        <w:numPr>
          <w:ilvl w:val="0"/>
          <w:numId w:val="1001"/>
        </w:numPr>
      </w:pPr>
      <w:r>
        <w:t xml:space="preserve">Incompressible Navier Stokes</w:t>
      </w:r>
    </w:p>
    <w:bookmarkEnd w:id="20"/>
    <w:bookmarkStart w:id="125" w:name="twophase-flow-for-the-co2-saturation"/>
    <w:p>
      <w:pPr>
        <w:pStyle w:val="Heading1"/>
      </w:pPr>
      <w:r>
        <w:t xml:space="preserve">Twophase flow for the CO2 saturation</w:t>
      </w:r>
    </w:p>
    <w:p>
      <w:pPr>
        <w:pStyle w:val="Compact"/>
        <w:numPr>
          <w:ilvl w:val="0"/>
          <w:numId w:val="1002"/>
        </w:numPr>
      </w:pPr>
      <w:r>
        <w:t xml:space="preserve">We regenerate Francis’ dataset, and additionally compute Fisher Information Matrix as well.</w:t>
      </w:r>
    </w:p>
    <w:p>
      <w:pPr>
        <w:pStyle w:val="Compact"/>
        <w:numPr>
          <w:ilvl w:val="0"/>
          <w:numId w:val="1002"/>
        </w:numPr>
      </w:pPr>
      <w:r>
        <w:t xml:space="preserve">For the purpose of validation, we currently form full Fisher Infromation Matrix and then compute eigenvector.</w:t>
      </w:r>
    </w:p>
    <w:p>
      <w:pPr>
        <w:pStyle w:val="Compact"/>
        <w:numPr>
          <w:ilvl w:val="0"/>
          <w:numId w:val="1002"/>
        </w:numPr>
      </w:pPr>
      <w:r>
        <w:t xml:space="preserve">Our next step will be low rank approximation or trace estimation so that we don’t have to form the full matrix.</w:t>
      </w:r>
    </w:p>
    <w:bookmarkStart w:id="39" w:name="dataset"/>
    <w:p>
      <w:pPr>
        <w:pStyle w:val="Heading2"/>
      </w:pPr>
      <w:r>
        <w:t xml:space="preserve">Dataset</w:t>
      </w:r>
    </w:p>
    <w:p>
      <w:pPr>
        <w:pStyle w:val="FirstParagraph"/>
      </w:pPr>
      <w:r>
        <w:t xml:space="preserve">Our dataset consists of</w:t>
      </w:r>
      <w:r>
        <w:t xml:space="preserve"> </w:t>
      </w:r>
      <m:oMath>
        <m:r>
          <m:t>2000</m:t>
        </m:r>
      </m:oMath>
      <w:r>
        <w:t xml:space="preserve"> </w:t>
      </w:r>
      <w:r>
        <w:t xml:space="preserve">pairs of</w:t>
      </w:r>
      <w:r>
        <w:t xml:space="preserve"> </w:t>
      </w:r>
      <m:oMath>
        <m:r>
          <m:rPr>
            <m:sty m:val="p"/>
          </m:rPr>
          <m:t>{</m:t>
        </m:r>
        <m:r>
          <m:t>K</m:t>
        </m:r>
        <m:r>
          <m:rPr>
            <m:sty m:val="p"/>
          </m:rPr>
          <m:t>,</m:t>
        </m:r>
        <m:sSup>
          <m:e>
            <m:r>
              <m:t>S</m:t>
            </m:r>
          </m:e>
          <m:sup>
            <m:r>
              <m:t>t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sSubSup>
          <m:e>
            <m:r>
              <m:rPr>
                <m:sty m:val="p"/>
              </m:rPr>
              <m:t>}</m:t>
            </m:r>
          </m:e>
          <m:sub>
            <m:r>
              <m:t>t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8</m:t>
            </m:r>
          </m:sup>
        </m:sSubSup>
      </m:oMath>
      <w:r>
        <w:t xml:space="preserve">.</w:t>
      </w:r>
    </w:p>
    <w:bookmarkStart w:id="29" w:name="fig-K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3880"/>
        <w:gridCol w:w="3880"/>
      </w:tblGrid>
      <w:tr>
        <w:tc>
          <w:tcPr/>
          <w:tbl>
            <w:tblPr>
              <w:tblStyle w:val="Table"/>
              <w:tblW w:type="pct" w:w="4900"/>
              <w:tblLayout w:type="fixed"/>
              <w:tblLook w:firstRow="0" w:lastRow="0" w:firstColumn="0" w:lastColumn="0" w:noHBand="0" w:noVBand="0" w:val="0000"/>
            </w:tblPr>
            <w:tblGrid>
              <w:gridCol w:w="7761"/>
            </w:tblGrid>
            <w:tr>
              <w:tc>
                <w:tcPr/>
                <w:bookmarkStart w:id="24" w:name="fig-surus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537339"/>
                        <wp:effectExtent b="0" l="0" r="0" t="0"/>
                        <wp:docPr descr="" title="" id="22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../../data/Ks_0.png" id="23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5373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(a) K0</w:t>
                  </w:r>
                </w:p>
                <w:bookmarkEnd w:id="24"/>
              </w:tc>
            </w:tr>
          </w:tbl>
          <w:p/>
        </w:tc>
        <w:tc>
          <w:tcPr/>
          <w:p>
            <w:pPr>
              <w:jc w:val="left"/>
            </w:pPr>
            <w:r>
              <w:t xml:space="preserve"> </w:t>
            </w:r>
          </w:p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7761"/>
      </w:tblGrid>
      <w:tr>
        <w:tc>
          <w:tcPr/>
          <w:tbl>
            <w:tblPr>
              <w:tblStyle w:val="Table"/>
              <w:tblW w:type="pct" w:w="4900"/>
              <w:tblLayout w:type="fixed"/>
              <w:tblLook w:firstRow="0" w:lastRow="0" w:firstColumn="0" w:lastColumn="0" w:noHBand="0" w:noVBand="0" w:val="0000"/>
            </w:tblPr>
            <w:tblGrid>
              <w:gridCol w:w="7761"/>
            </w:tblGrid>
            <w:tr>
              <w:tc>
                <w:tcPr/>
                <w:bookmarkStart w:id="28" w:name="fig-hanno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537339"/>
                        <wp:effectExtent b="0" l="0" r="0" t="0"/>
                        <wp:docPr descr="" title="" id="26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../../data/Ks_1.png" id="27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5373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(b) K1</w:t>
                  </w:r>
                </w:p>
                <w:bookmarkEnd w:id="28"/>
              </w:tc>
            </w:tr>
          </w:tbl>
          <w:p/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1: Example Permeability Model</w:t>
      </w:r>
    </w:p>
    <w:bookmarkEnd w:id="29"/>
    <w:p>
      <w:pPr>
        <w:pStyle w:val="BodyText"/>
      </w:pPr>
      <w:r>
        <w:t xml:space="preserve"> </w:t>
      </w:r>
    </w:p>
    <w:bookmarkStart w:id="38" w:name="fig-S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3880"/>
        <w:gridCol w:w="3880"/>
      </w:tblGrid>
      <w:tr>
        <w:tc>
          <w:tcPr/>
          <w:tbl>
            <w:tblPr>
              <w:tblStyle w:val="Table"/>
              <w:tblW w:type="pct" w:w="4900"/>
              <w:tblLayout w:type="fixed"/>
              <w:tblLook w:firstRow="0" w:lastRow="0" w:firstColumn="0" w:lastColumn="0" w:noHBand="0" w:noVBand="0" w:val="0000"/>
            </w:tblPr>
            <w:tblGrid>
              <w:gridCol w:w="7761"/>
            </w:tblGrid>
            <w:tr>
              <w:tc>
                <w:tcPr/>
                <w:bookmarkStart w:id="33" w:name="fig-S0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348277"/>
                        <wp:effectExtent b="0" l="0" r="0" t="0"/>
                        <wp:docPr descr="" title="" id="31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../../data/Snew_series.png" id="32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3482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(a) Time Series of Saturation of K0</w:t>
                  </w:r>
                </w:p>
                <w:bookmarkEnd w:id="33"/>
              </w:tc>
            </w:tr>
          </w:tbl>
          <w:p/>
        </w:tc>
        <w:tc>
          <w:tcPr/>
          <w:p>
            <w:pPr>
              <w:jc w:val="left"/>
            </w:pPr>
            <w:r>
              <w:t xml:space="preserve"> </w:t>
            </w:r>
          </w:p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7761"/>
      </w:tblGrid>
      <w:tr>
        <w:tc>
          <w:tcPr/>
          <w:tbl>
            <w:tblPr>
              <w:tblStyle w:val="Table"/>
              <w:tblW w:type="pct" w:w="4900"/>
              <w:tblLayout w:type="fixed"/>
              <w:tblLook w:firstRow="0" w:lastRow="0" w:firstColumn="0" w:lastColumn="0" w:noHBand="0" w:noVBand="0" w:val="0000"/>
            </w:tblPr>
            <w:tblGrid>
              <w:gridCol w:w="7761"/>
            </w:tblGrid>
            <w:tr>
              <w:tc>
                <w:tcPr/>
                <w:bookmarkStart w:id="37" w:name="fig-S1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348277"/>
                        <wp:effectExtent b="0" l="0" r="0" t="0"/>
                        <wp:docPr descr="" title="" id="35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../../data/Snew_series1.png" id="36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3482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(b) Time Series of Saturation of K1</w:t>
                  </w:r>
                </w:p>
                <w:bookmarkEnd w:id="37"/>
              </w:tc>
            </w:tr>
          </w:tbl>
          <w:p/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2: Example Saturation Time Series</w:t>
      </w:r>
    </w:p>
    <w:bookmarkEnd w:id="38"/>
    <w:bookmarkEnd w:id="39"/>
    <w:bookmarkStart w:id="124" w:name="fisher-information-matrix"/>
    <w:p>
      <w:pPr>
        <w:pStyle w:val="Heading2"/>
      </w:pPr>
      <w:r>
        <w:t xml:space="preserve">Fisher Information Matrix</w:t>
      </w:r>
    </w:p>
    <w:p>
      <w:pPr>
        <w:pStyle w:val="Compact"/>
        <w:numPr>
          <w:ilvl w:val="0"/>
          <w:numId w:val="1003"/>
        </w:numPr>
      </w:pPr>
      <w:r>
        <w:t xml:space="preserve">To find the optimal number of observations,</w:t>
      </w:r>
      <w:r>
        <w:t xml:space="preserve"> </w:t>
      </w:r>
      <m:oMath>
        <m:r>
          <m:t>M</m:t>
        </m:r>
      </m:oMath>
      <w:r>
        <w:t xml:space="preserve">, we visualize eigenvector and vector jacobian product.</w:t>
      </w:r>
    </w:p>
    <w:p>
      <w:pPr>
        <w:pStyle w:val="Compact"/>
        <w:numPr>
          <w:ilvl w:val="0"/>
          <w:numId w:val="1003"/>
        </w:numPr>
      </w:pPr>
      <w:r>
        <w:t xml:space="preserve">We observe that as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increases, the clearer we see the boundary of the permeabiltiy, which will be more informative during training and inference.</w:t>
      </w:r>
      <w:r>
        <w:t xml:space="preserve"> </w:t>
      </w:r>
      <w:r>
        <w:rPr>
          <w:rStyle w:val="FootnoteReference"/>
        </w:rPr>
        <w:footnoteReference w:id="40"/>
      </w:r>
    </w:p>
    <w:p>
      <w:pPr>
        <w:pStyle w:val="Compact"/>
        <w:numPr>
          <w:ilvl w:val="0"/>
          <w:numId w:val="1003"/>
        </w:numPr>
      </w:pPr>
      <w:r>
        <w:t xml:space="preserve">Given 1 pair of dataset,</w:t>
      </w:r>
      <w:r>
        <w:t xml:space="preserve"> </w:t>
      </w:r>
      <m:oMath>
        <m:r>
          <m:rPr>
            <m:sty m:val="p"/>
          </m:rPr>
          <m:t>{</m:t>
        </m:r>
        <m:r>
          <m:t>K</m:t>
        </m:r>
        <m:r>
          <m:rPr>
            <m:sty m:val="p"/>
          </m:rPr>
          <m:t>,</m:t>
        </m:r>
        <m:sSup>
          <m:e>
            <m:r>
              <m:t>S</m:t>
            </m:r>
          </m:e>
          <m:sup>
            <m:r>
              <m:t>t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sSubSup>
          <m:e>
            <m:r>
              <m:rPr>
                <m:sty m:val="p"/>
              </m:rPr>
              <m:t>}</m:t>
            </m:r>
          </m:e>
          <m:sub>
            <m:r>
              <m:t>t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8</m:t>
            </m:r>
          </m:sup>
        </m:sSubSup>
      </m:oMath>
      <w:r>
        <w:t xml:space="preserve">, we get a single FIM.</w:t>
      </w:r>
    </w:p>
    <w:bookmarkStart w:id="42" w:name="X1c1caf4d0988700f16ec152f28c03a112f7fc19"/>
    <w:p>
      <w:pPr>
        <w:pStyle w:val="Heading3"/>
      </w:pPr>
      <w:r>
        <w:t xml:space="preserve">Computing Fisher Information Matrix for each datapoint</w:t>
      </w:r>
    </w:p>
    <w:p>
      <w:pPr>
        <w:pStyle w:val="FirstParagraph"/>
      </w:pPr>
      <w:r>
        <w:t xml:space="preserve">We consider a realistic scenario when we only have access to samples, but not distribution. When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is number of samples and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d</m:t>
            </m:r>
            <m:r>
              <m:rPr>
                <m:sty m:val="p"/>
              </m:rPr>
              <m:t>×</m:t>
            </m:r>
            <m:r>
              <m:t>d</m:t>
            </m:r>
          </m:sup>
        </m:sSup>
      </m:oMath>
      <w:r>
        <w:t xml:space="preserve">, neural network model</w:t>
      </w:r>
      <w:r>
        <w:t xml:space="preserve"> </w:t>
      </w:r>
      <m:oMath>
        <m:sSub>
          <m:e>
            <m:r>
              <m:t>F</m:t>
            </m:r>
          </m:e>
          <m:sub>
            <m:r>
              <m:t>n</m:t>
            </m:r>
            <m:r>
              <m:t>n</m:t>
            </m:r>
          </m:sub>
        </m:sSub>
      </m:oMath>
      <w:r>
        <w:t xml:space="preserve"> </w:t>
      </w:r>
      <w:r>
        <w:t xml:space="preserve">learns mapping from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→</m:t>
        </m:r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. For each pair of</w:t>
      </w:r>
      <w:r>
        <w:t xml:space="preserve"> </w:t>
      </w:r>
      <m:oMath>
        <m:sSubSup>
          <m:e>
            <m:d>
              <m:dPr>
                <m:begChr m:val="{"/>
                <m:endChr m:val="}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e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</m:sSubSup>
      </m:oMath>
      <w:r>
        <w:t xml:space="preserve">, we generate</w:t>
      </w:r>
      <w:r>
        <w:t xml:space="preserve"> </w:t>
      </w:r>
      <m:oMath>
        <m:sSubSup>
          <m:e>
            <m:d>
              <m:dPr>
                <m:begChr m:val="{"/>
                <m:endChr m:val="}"/>
                <m:sepChr m:val=""/>
                <m:grow/>
              </m:dPr>
              <m:e>
                <m:r>
                  <m:t>F</m:t>
                </m:r>
                <m:r>
                  <m:t>I</m:t>
                </m:r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e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</m:sSubSup>
      </m:oMath>
      <w:r>
        <w:t xml:space="preserve">.</w:t>
      </w:r>
    </w:p>
    <w:p>
      <w:pPr>
        <w:pStyle w:val="Compact"/>
        <w:numPr>
          <w:ilvl w:val="0"/>
          <w:numId w:val="1004"/>
        </w:numPr>
      </w:pPr>
      <m:oMath>
        <m:r>
          <m:t>N</m:t>
        </m:r>
      </m:oMath>
      <w:r>
        <w:t xml:space="preserve"> </w:t>
      </w:r>
      <w:r>
        <w:t xml:space="preserve">: number of data points,</w:t>
      </w:r>
      <w:r>
        <w:t xml:space="preserve"> </w:t>
      </w:r>
      <m:oMath>
        <m:d>
          <m:dPr>
            <m:begChr m:val="{"/>
            <m:endChr m:val="}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pStyle w:val="Compact"/>
        <w:numPr>
          <w:ilvl w:val="0"/>
          <w:numId w:val="1004"/>
        </w:numPr>
      </w:pPr>
      <m:oMath>
        <m:r>
          <m:t>M</m:t>
        </m:r>
      </m:oMath>
      <w:r>
        <w:t xml:space="preserve"> </w:t>
      </w:r>
      <w:r>
        <w:t xml:space="preserve">: number of observation,</w:t>
      </w:r>
      <w:r>
        <w:t xml:space="preserve"> </w:t>
      </w:r>
      <m:oMath>
        <m:r>
          <m:t>Y</m:t>
        </m:r>
      </m:oMath>
    </w:p>
    <w:p>
      <w:pPr>
        <w:pStyle w:val="BlockText"/>
      </w:pPr>
      <m:oMathPara>
        <m:oMathParaPr>
          <m:jc m:val="center"/>
        </m:oMathParaPr>
        <m:oMath>
          <m:sSubSup>
            <m:e>
              <m:d>
                <m:dPr>
                  <m:begChr m:val="{"/>
                  <m:endChr m:val="}"/>
                  <m:sepChr m:val="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e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</m:sSubSup>
          <m:r>
            <m:rPr>
              <m:sty m:val="p"/>
            </m:rPr>
            <m:t>∼</m:t>
          </m:r>
          <m:sSub>
            <m:e>
              <m:r>
                <m:t>p</m:t>
              </m:r>
            </m:e>
            <m:sub>
              <m:r>
                <m:t>X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,</m:t>
          </m:r>
          <m:r>
            <m:t> </m:t>
          </m:r>
          <m:r>
            <m:t>ϵ</m:t>
          </m:r>
          <m:r>
            <m:rPr>
              <m:sty m:val="p"/>
            </m:rPr>
            <m:t>∼</m:t>
          </m:r>
          <m:r>
            <m:rPr>
              <m:sty m:val="p"/>
              <m:scr m:val="script"/>
            </m:rP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,</m:t>
          </m:r>
          <m:r>
            <m:t> </m:t>
          </m:r>
          <m:r>
            <m:t>Σ</m:t>
          </m:r>
          <m:r>
            <m:rPr>
              <m:sty m:val="p"/>
            </m:rPr>
            <m:t>=</m:t>
          </m:r>
          <m:r>
            <m:t>I</m:t>
          </m:r>
        </m:oMath>
      </m:oMathPara>
    </w:p>
    <w:p>
      <w:pPr>
        <w:pStyle w:val="BlockText"/>
      </w:pPr>
      <w:r>
        <w:t xml:space="preserve">For a single data pair, we generate multiple observations.</w:t>
      </w:r>
    </w:p>
    <w:p>
      <w:pPr>
        <w:pStyle w:val="Block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,</m:t>
          </m:r>
          <m:r>
            <m:t> </m:t>
          </m:r>
          <m:r>
            <m:t>w</m:t>
          </m:r>
          <m:r>
            <m:t>h</m:t>
          </m:r>
          <m:r>
            <m:t>e</m:t>
          </m:r>
          <m:r>
            <m:t>r</m:t>
          </m:r>
          <m:r>
            <m:t>e</m:t>
          </m:r>
          <m:sSubSup>
            <m:e>
              <m:d>
                <m:dPr>
                  <m:begChr m:val="{"/>
                  <m:endChr m:val="}"/>
                  <m:sepChr m:val=""/>
                  <m:grow/>
                </m:dPr>
                <m:e>
                  <m:sSub>
                    <m:e>
                      <m:r>
                        <m:t>ϵ</m:t>
                      </m:r>
                    </m:e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J</m:t>
                      </m:r>
                    </m:sub>
                  </m:sSub>
                </m:e>
              </m:d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,</m:t>
              </m:r>
              <m:r>
                <m:t>M</m:t>
              </m:r>
            </m:sup>
          </m:sSubSup>
        </m:oMath>
      </m:oMathPara>
    </w:p>
    <w:p>
      <w:pPr>
        <w:pStyle w:val="BlockText"/>
      </w:pPr>
      <w:r>
        <w:t xml:space="preserve">As we assumed Gaussian, we define likelihood as following.</w:t>
      </w:r>
    </w:p>
    <w:p>
      <w:pPr>
        <w:pStyle w:val="Block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=</m:t>
          </m:r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r>
                <m:rPr>
                  <m:sty m:val="p"/>
                </m:rPr>
                <m:t>∥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sSubSup>
                <m:e>
                  <m:r>
                    <m:rPr>
                      <m:sty m:val="p"/>
                    </m:rPr>
                    <m:t>∥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</m:sup>
          </m:sSup>
        </m:oMath>
      </m:oMathPara>
    </w:p>
    <w:p>
      <w:pPr>
        <w:pStyle w:val="BlockText"/>
      </w:pPr>
      <m:oMathPara>
        <m:oMathParaPr>
          <m:jc m:val="center"/>
        </m:oMathParaPr>
        <m:oMath>
          <m:r>
            <m:t>l</m:t>
          </m:r>
          <m:r>
            <m:t>o</m:t>
          </m:r>
          <m:r>
            <m:t>g</m:t>
          </m:r>
          <m:r>
            <m:t> 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≈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</m:den>
          </m:f>
          <m:r>
            <m:rPr>
              <m:sty m:val="p"/>
            </m:rPr>
            <m:t>∥</m:t>
          </m:r>
          <m:sSub>
            <m:e>
              <m:r>
                <m:t>Y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sSubSup>
            <m:e>
              <m:r>
                <m:rPr>
                  <m:sty m:val="p"/>
                </m:rPr>
                <m:t>∥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BlockText"/>
      </w:pPr>
      <w:r>
        <w:t xml:space="preserve">A FIM for a single data pair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is:</w:t>
      </w:r>
    </w:p>
    <w:p>
      <w:pPr>
        <w:pStyle w:val="BlockText"/>
      </w:pPr>
      <m:oMathPara>
        <m:oMathParaPr>
          <m:jc m:val="center"/>
        </m:oMathParaPr>
        <m:oMath>
          <m:r>
            <m:t>F</m:t>
          </m:r>
          <m:r>
            <m:t>I</m:t>
          </m:r>
          <m:sSub>
            <m:e>
              <m:r>
                <m:t>M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sty m:val="p"/>
                  <m:scr m:val="double-struck"/>
                </m:rPr>
                <m:t>E</m:t>
              </m:r>
            </m:e>
            <m:sub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{</m:t>
                  </m:r>
                  <m:r>
                    <m:t>J</m:t>
                  </m:r>
                  <m:sSubSup>
                    <m:e>
                      <m:r>
                        <m:rPr>
                          <m:sty m:val="p"/>
                        </m:rPr>
                        <m:t>}</m:t>
                      </m:r>
                    </m:e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</m:sSubSup>
                </m:sub>
              </m:sSub>
              <m:r>
                <m:rPr>
                  <m:sty m:val="p"/>
                </m:rPr>
                <m:t>∼</m:t>
              </m:r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∇</m:t>
                  </m:r>
                  <m:r>
                    <m:t>l</m:t>
                  </m:r>
                  <m:r>
                    <m:t>o</m:t>
                  </m:r>
                  <m:r>
                    <m:t>g</m:t>
                  </m:r>
                  <m:r>
                    <m:t> </m:t>
                  </m:r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m:t>|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</m:d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∇</m:t>
                      </m:r>
                      <m:r>
                        <m:t>l</m:t>
                      </m:r>
                      <m:r>
                        <m:t>o</m:t>
                      </m:r>
                      <m:r>
                        <m:t>g</m:t>
                      </m:r>
                      <m:r>
                        <m:t> </m:t>
                      </m:r>
                      <m:r>
                        <m:t>p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|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m:t>T</m:t>
                  </m:r>
                </m:sup>
              </m:sSup>
            </m:e>
          </m:d>
        </m:oMath>
      </m:oMathPara>
    </w:p>
    <w:bookmarkEnd w:id="42"/>
    <w:bookmarkStart w:id="53" w:name="X9ad06a14cd5394351e9b873e5a21150eaea1999"/>
    <w:p>
      <w:pPr>
        <w:pStyle w:val="Heading3"/>
      </w:pPr>
      <w:r>
        <w:t xml:space="preserve">How does FIM change as number of observation increases?</w:t>
      </w:r>
    </w:p>
    <w:p>
      <w:pPr>
        <w:pStyle w:val="FirstParagraph"/>
      </w:pPr>
      <w:r>
        <w:t xml:space="preserve">FIM is expectation of covariance of derivative of log likelihood. As we expected, we see clearer definition in diagonal relationship as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increases.</w:t>
      </w:r>
    </w:p>
    <w:bookmarkStart w:id="52" w:name="fig-fim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2587"/>
        <w:gridCol w:w="2587"/>
        <w:gridCol w:w="258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502270"/>
                  <wp:effectExtent b="0" l="0" r="0" t="0"/>
                  <wp:docPr descr="M = 1" title="" id="44" name="Picture"/>
                  <a:graphic>
                    <a:graphicData uri="http://schemas.openxmlformats.org/drawingml/2006/picture">
                      <pic:pic>
                        <pic:nvPicPr>
                          <pic:cNvPr descr="../../data/FIM/FIM0_sub0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02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M = 1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610271"/>
                  <wp:effectExtent b="0" l="0" r="0" t="0"/>
                  <wp:docPr descr="M = 10" title="" id="47" name="Picture"/>
                  <a:graphic>
                    <a:graphicData uri="http://schemas.openxmlformats.org/drawingml/2006/picture">
                      <pic:pic>
                        <pic:nvPicPr>
                          <pic:cNvPr descr="../../data/FIM/FIM0_sub0_multi_10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10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M = 10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709113"/>
                  <wp:effectExtent b="0" l="0" r="0" t="0"/>
                  <wp:docPr descr="M = 100" title="" id="50" name="Picture"/>
                  <a:graphic>
                    <a:graphicData uri="http://schemas.openxmlformats.org/drawingml/2006/picture">
                      <pic:pic>
                        <pic:nvPicPr>
                          <pic:cNvPr descr="../../data/FIM/FIM0_sub0_multi_100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09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M = 100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3: Change in FIM[:256, :256] of single data pair</w:t>
      </w:r>
      <w:r>
        <w:t xml:space="preserve"> </w:t>
      </w:r>
      <m:oMath>
        <m:r>
          <m:rPr>
            <m:sty m:val="p"/>
          </m:rPr>
          <m:t>{</m:t>
        </m:r>
        <m:r>
          <m:t>K</m:t>
        </m:r>
        <m:r>
          <m:rPr>
            <m:sty m:val="p"/>
          </m:rPr>
          <m:t>,</m:t>
        </m:r>
        <m:sSup>
          <m:e>
            <m:r>
              <m:t>S</m:t>
            </m:r>
          </m:e>
          <m:sup>
            <m:r>
              <m:t>t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sSubSup>
          <m:e>
            <m:r>
              <m:rPr>
                <m:sty m:val="p"/>
              </m:rPr>
              <m:t>}</m:t>
            </m:r>
          </m:e>
          <m:sub>
            <m:r>
              <m:t>t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8</m:t>
            </m:r>
          </m:sup>
        </m:sSubSup>
      </m:oMath>
      <w:r>
        <w:t xml:space="preserve"> </w:t>
      </w:r>
      <w:r>
        <w:t xml:space="preserve">as number of observation,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increases</w:t>
      </w:r>
    </w:p>
    <w:bookmarkEnd w:id="52"/>
    <w:bookmarkEnd w:id="53"/>
    <w:bookmarkStart w:id="64" w:name="making-sense-of-fim-obtained"/>
    <w:p>
      <w:pPr>
        <w:pStyle w:val="Heading3"/>
      </w:pPr>
      <w:r>
        <w:t xml:space="preserve">Making Sense of FIM obtained</w:t>
      </w:r>
    </w:p>
    <w:p>
      <w:pPr>
        <w:pStyle w:val="BlockText"/>
      </w:pPr>
      <w:r>
        <w:t xml:space="preserve">Still, does our FIM make sense? How can we better understand what FIM is representing?</w:t>
      </w:r>
    </w:p>
    <w:p>
      <w:pPr>
        <w:pStyle w:val="FirstParagraph"/>
      </w:pPr>
      <w:r>
        <w:t xml:space="preserve">Let’s look at the first row of the FIM and reshape it to [64, 64].</w:t>
      </w:r>
    </w:p>
    <w:bookmarkStart w:id="63" w:name="fig-fimrow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2587"/>
        <w:gridCol w:w="2587"/>
        <w:gridCol w:w="258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684007"/>
                  <wp:effectExtent b="0" l="0" r="0" t="0"/>
                  <wp:docPr descr="FIM[0,:]" title="" id="55" name="Picture"/>
                  <a:graphic>
                    <a:graphicData uri="http://schemas.openxmlformats.org/drawingml/2006/picture">
                      <pic:pic>
                        <pic:nvPicPr>
                          <pic:cNvPr descr="../../data/N=100/FIM_first_row_multi_100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84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FIM[0,:]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572566"/>
                  <wp:effectExtent b="0" l="0" r="0" t="0"/>
                  <wp:docPr descr="FIM[1,:]" title="" id="58" name="Picture"/>
                  <a:graphic>
                    <a:graphicData uri="http://schemas.openxmlformats.org/drawingml/2006/picture">
                      <pic:pic>
                        <pic:nvPicPr>
                          <pic:cNvPr descr="../../data/N=100/FIM_sec_row_multi_100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72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FIM[1,:]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684007"/>
                  <wp:effectExtent b="0" l="0" r="0" t="0"/>
                  <wp:docPr descr="FIM[2,:]" title="" id="61" name="Picture"/>
                  <a:graphic>
                    <a:graphicData uri="http://schemas.openxmlformats.org/drawingml/2006/picture">
                      <pic:pic>
                        <pic:nvPicPr>
                          <pic:cNvPr descr="../../data/N=100/FIM_third_row_multi_100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84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FIM[2,:]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4: Fist, Second, and Third row in FIM</w:t>
      </w:r>
    </w:p>
    <w:bookmarkEnd w:id="63"/>
    <w:p>
      <w:pPr>
        <w:pStyle w:val="Compact"/>
        <w:numPr>
          <w:ilvl w:val="0"/>
          <w:numId w:val="1005"/>
        </w:numPr>
      </w:pPr>
      <w:r>
        <w:t xml:space="preserve">Like we expected from the definition of FIM, we observe each plot is just different linear transformation of</w:t>
      </w:r>
      <w:r>
        <w:t xml:space="preserve"> </w:t>
      </w:r>
      <m:oMath>
        <m:r>
          <m:rPr>
            <m:sty m:val="p"/>
          </m:rPr>
          <m:t>∇</m:t>
        </m:r>
        <m:r>
          <m:t>l</m:t>
        </m:r>
        <m:r>
          <m:t>o</m:t>
        </m:r>
        <m:r>
          <m:t>g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{</m:t>
            </m:r>
            <m:sSup>
              <m:e>
                <m:r>
                  <m:t>S</m:t>
                </m:r>
              </m:e>
              <m:sup>
                <m:r>
                  <m:t>t</m:t>
                </m:r>
              </m:sup>
            </m:sSup>
            <m:sSubSup>
              <m:e>
                <m:r>
                  <m:rPr>
                    <m:sty m:val="p"/>
                  </m:rPr>
                  <m:t>}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8</m:t>
                </m:r>
              </m:sup>
            </m:sSubSup>
            <m:r>
              <m:rPr>
                <m:sty m:val="p"/>
              </m:rPr>
              <m:t>|</m:t>
            </m:r>
            <m:r>
              <m:t>K</m:t>
            </m:r>
          </m:e>
        </m:d>
      </m:oMath>
    </w:p>
    <w:p>
      <w:pPr>
        <w:pStyle w:val="Compact"/>
        <w:numPr>
          <w:ilvl w:val="0"/>
          <w:numId w:val="1005"/>
        </w:numPr>
      </w:pPr>
      <w:r>
        <w:t xml:space="preserve">As we will see from below, each rows in FIM is noisy version of its eigenvector.</w:t>
      </w:r>
    </w:p>
    <w:bookmarkEnd w:id="64"/>
    <w:bookmarkStart w:id="109" w:name="X865c57f40364ef35cc2aac2a15795e74c6a66ba"/>
    <w:p>
      <w:pPr>
        <w:pStyle w:val="Heading3"/>
      </w:pPr>
      <w:r>
        <w:t xml:space="preserve">How does eigenvectors of FIM look like as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increases?</w:t>
      </w:r>
    </w:p>
    <w:bookmarkStart w:id="75" w:name="m-1-single-observation"/>
    <w:p>
      <w:pPr>
        <w:pStyle w:val="Heading4"/>
      </w:pPr>
      <m:oMath>
        <m:r>
          <m:t>M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(Single Observation)</w:t>
      </w:r>
    </w:p>
    <w:bookmarkStart w:id="74" w:name="fig-eig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2587"/>
        <w:gridCol w:w="2587"/>
        <w:gridCol w:w="258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57189"/>
                  <wp:effectExtent b="0" l="0" r="0" t="0"/>
                  <wp:docPr descr="First Eigenvector" title="" id="66" name="Picture"/>
                  <a:graphic>
                    <a:graphicData uri="http://schemas.openxmlformats.org/drawingml/2006/picture">
                      <pic:pic>
                        <pic:nvPicPr>
                          <pic:cNvPr descr="../../data/N=1/FIM_1_first_eig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57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First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81221"/>
                  <wp:effectExtent b="0" l="0" r="0" t="0"/>
                  <wp:docPr descr="Second Eigenvector" title="" id="69" name="Picture"/>
                  <a:graphic>
                    <a:graphicData uri="http://schemas.openxmlformats.org/drawingml/2006/picture">
                      <pic:pic>
                        <pic:nvPicPr>
                          <pic:cNvPr descr="../../data/N=1/FIM_1_sec_eig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Second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81221"/>
                  <wp:effectExtent b="0" l="0" r="0" t="0"/>
                  <wp:docPr descr="Third Eigenvector" title="" id="72" name="Picture"/>
                  <a:graphic>
                    <a:graphicData uri="http://schemas.openxmlformats.org/drawingml/2006/picture">
                      <pic:pic>
                        <pic:nvPicPr>
                          <pic:cNvPr descr="../../data/N=1/FIM_1_third_eig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Third Eigenvector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5: First three largest eigenvector of FIM</w:t>
      </w:r>
    </w:p>
    <w:bookmarkEnd w:id="74"/>
    <w:p>
      <w:pPr>
        <w:pStyle w:val="Compact"/>
        <w:numPr>
          <w:ilvl w:val="0"/>
          <w:numId w:val="1006"/>
        </w:numPr>
      </w:pPr>
      <w:r>
        <w:t xml:space="preserve">Even when FIM is computed with single observation, we see that the largest eigenvector has the most definition in the shape of permeability. Rest of eigenvector looks more like noise.</w:t>
      </w:r>
    </w:p>
    <w:bookmarkEnd w:id="75"/>
    <w:bookmarkStart w:id="86" w:name="m-10"/>
    <w:p>
      <w:pPr>
        <w:pStyle w:val="Heading4"/>
      </w:pPr>
      <m:oMath>
        <m:r>
          <m:t>M</m:t>
        </m:r>
        <m:r>
          <m:rPr>
            <m:sty m:val="p"/>
          </m:rPr>
          <m:t>=</m:t>
        </m:r>
        <m:r>
          <m:t>10</m:t>
        </m:r>
      </m:oMath>
    </w:p>
    <w:bookmarkStart w:id="85" w:name="fig-eig10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2587"/>
        <w:gridCol w:w="2587"/>
        <w:gridCol w:w="258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12459"/>
                  <wp:effectExtent b="0" l="0" r="0" t="0"/>
                  <wp:docPr descr="First Eigenvector" title="" id="77" name="Picture"/>
                  <a:graphic>
                    <a:graphicData uri="http://schemas.openxmlformats.org/drawingml/2006/picture">
                      <pic:pic>
                        <pic:nvPicPr>
                          <pic:cNvPr descr="../../data/N=10/FIM_10_first_eig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12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First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81221"/>
                  <wp:effectExtent b="0" l="0" r="0" t="0"/>
                  <wp:docPr descr="Second Eigenvector" title="" id="80" name="Picture"/>
                  <a:graphic>
                    <a:graphicData uri="http://schemas.openxmlformats.org/drawingml/2006/picture">
                      <pic:pic>
                        <pic:nvPicPr>
                          <pic:cNvPr descr="../../data/N=10/FIM_10_sec_eig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Second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14886"/>
                  <wp:effectExtent b="0" l="0" r="0" t="0"/>
                  <wp:docPr descr="Third Eigenvector" title="" id="83" name="Picture"/>
                  <a:graphic>
                    <a:graphicData uri="http://schemas.openxmlformats.org/drawingml/2006/picture">
                      <pic:pic>
                        <pic:nvPicPr>
                          <pic:cNvPr descr="../../data/N=10/FIM_10_third_eig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14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Third Eigenvector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6: First three largest eigenvector of FIM</w:t>
      </w:r>
    </w:p>
    <w:bookmarkEnd w:id="85"/>
    <w:bookmarkEnd w:id="86"/>
    <w:bookmarkStart w:id="97" w:name="m-100"/>
    <w:p>
      <w:pPr>
        <w:pStyle w:val="Heading4"/>
      </w:pPr>
      <m:oMath>
        <m:r>
          <m:t>M</m:t>
        </m:r>
        <m:r>
          <m:rPr>
            <m:sty m:val="p"/>
          </m:rPr>
          <m:t>=</m:t>
        </m:r>
        <m:r>
          <m:t>100</m:t>
        </m:r>
      </m:oMath>
    </w:p>
    <w:bookmarkStart w:id="96" w:name="fig-eig100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2587"/>
        <w:gridCol w:w="2587"/>
        <w:gridCol w:w="258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81221"/>
                  <wp:effectExtent b="0" l="0" r="0" t="0"/>
                  <wp:docPr descr="First Eigenvector" title="" id="88" name="Picture"/>
                  <a:graphic>
                    <a:graphicData uri="http://schemas.openxmlformats.org/drawingml/2006/picture">
                      <pic:pic>
                        <pic:nvPicPr>
                          <pic:cNvPr descr="../../data/N=100/FIM_first_eig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First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14886"/>
                  <wp:effectExtent b="0" l="0" r="0" t="0"/>
                  <wp:docPr descr="Second Eigenvector" title="" id="91" name="Picture"/>
                  <a:graphic>
                    <a:graphicData uri="http://schemas.openxmlformats.org/drawingml/2006/picture">
                      <pic:pic>
                        <pic:nvPicPr>
                          <pic:cNvPr descr="../../data/N=100/FIM_sec_eig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14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Second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14886"/>
                  <wp:effectExtent b="0" l="0" r="0" t="0"/>
                  <wp:docPr descr="Third Eigenvector" title="" id="94" name="Picture"/>
                  <a:graphic>
                    <a:graphicData uri="http://schemas.openxmlformats.org/drawingml/2006/picture">
                      <pic:pic>
                        <pic:nvPicPr>
                          <pic:cNvPr descr="../../data/N=100/FIM_third_eig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14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Third Eigenvector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7: First three largest eigenvector of FIM</w:t>
      </w:r>
    </w:p>
    <w:bookmarkEnd w:id="96"/>
    <w:bookmarkEnd w:id="97"/>
    <w:bookmarkStart w:id="108" w:name="m-1000"/>
    <w:p>
      <w:pPr>
        <w:pStyle w:val="Heading4"/>
      </w:pPr>
      <m:oMath>
        <m:r>
          <m:t>M</m:t>
        </m:r>
        <m:r>
          <m:rPr>
            <m:sty m:val="p"/>
          </m:rPr>
          <m:t>=</m:t>
        </m:r>
        <m:r>
          <m:t>1000</m:t>
        </m:r>
      </m:oMath>
    </w:p>
    <w:bookmarkStart w:id="107" w:name="fig-eig1000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2587"/>
        <w:gridCol w:w="2587"/>
        <w:gridCol w:w="258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81221"/>
                  <wp:effectExtent b="0" l="0" r="0" t="0"/>
                  <wp:docPr descr="First Eigenvector" title="" id="99" name="Picture"/>
                  <a:graphic>
                    <a:graphicData uri="http://schemas.openxmlformats.org/drawingml/2006/picture">
                      <pic:pic>
                        <pic:nvPicPr>
                          <pic:cNvPr descr="../../data/N=1000/FIM_1000_first_eig.png" id="1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First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14886"/>
                  <wp:effectExtent b="0" l="0" r="0" t="0"/>
                  <wp:docPr descr="Second Eigenvector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../../data/N=1000/FIM_1000_sec_eig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14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Second Eigenvector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81221"/>
                  <wp:effectExtent b="0" l="0" r="0" t="0"/>
                  <wp:docPr descr="Third Eigenvector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../../data/N=1000/FIM_1000_third_eig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Third Eigenvector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8: First three largest eigenvector of FIM</w:t>
      </w:r>
    </w:p>
    <w:bookmarkEnd w:id="107"/>
    <w:p>
      <w:pPr>
        <w:pStyle w:val="Compact"/>
        <w:numPr>
          <w:ilvl w:val="0"/>
          <w:numId w:val="1007"/>
        </w:numPr>
      </w:pPr>
      <w:r>
        <w:t xml:space="preserve">As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increases, we observe flow through the channel clearer.</w:t>
      </w:r>
    </w:p>
    <w:p>
      <w:pPr>
        <w:pStyle w:val="Compact"/>
        <w:numPr>
          <w:ilvl w:val="0"/>
          <w:numId w:val="1007"/>
        </w:numPr>
      </w:pPr>
      <w:r>
        <w:t xml:space="preserve">We see the boundary of permeability gets clearer.</w:t>
      </w:r>
    </w:p>
    <w:p>
      <w:pPr>
        <w:pStyle w:val="Compact"/>
        <w:numPr>
          <w:ilvl w:val="0"/>
          <w:numId w:val="1007"/>
        </w:numPr>
      </w:pPr>
      <w:r>
        <w:t xml:space="preserve">In general, it gets less noisy.</w:t>
      </w:r>
    </w:p>
    <w:bookmarkEnd w:id="108"/>
    <w:bookmarkEnd w:id="109"/>
    <w:bookmarkStart w:id="123" w:name="Xd620d300edb5d02880a5c5fb5bee424c68d1848"/>
    <w:p>
      <w:pPr>
        <w:pStyle w:val="Heading3"/>
      </w:pPr>
      <w:r>
        <w:t xml:space="preserve">How does vector Jacobian product look like as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increases?</w:t>
      </w:r>
    </w:p>
    <w:bookmarkStart w:id="122" w:name="fig-eig1000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3880"/>
        <w:gridCol w:w="388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24174"/>
                  <wp:effectExtent b="0" l="0" r="0" t="0"/>
                  <wp:docPr descr="vjp (M=1)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../../data/N=1/FIM_1_vj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4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vjp (</w:t>
            </w:r>
            <m:oMath>
              <m:r>
                <m:t>M</m:t>
              </m:r>
              <m:r>
                <m:rPr>
                  <m:sty m:val="p"/>
                </m:rPr>
                <m:t>=</m:t>
              </m:r>
              <m:r>
                <m:t>1</m:t>
              </m:r>
            </m:oMath>
            <w:r>
              <w:t xml:space="preserve">)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24174"/>
                  <wp:effectExtent b="0" l="0" r="0" t="0"/>
                  <wp:docPr descr="vjp (M=10)" title="" id="114" name="Picture"/>
                  <a:graphic>
                    <a:graphicData uri="http://schemas.openxmlformats.org/drawingml/2006/picture">
                      <pic:pic>
                        <pic:nvPicPr>
                          <pic:cNvPr descr="../../data/N=10/FIM_10_vjp.png" id="1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4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vjp (</w:t>
            </w:r>
            <m:oMath>
              <m:r>
                <m:t>M</m:t>
              </m:r>
              <m:r>
                <m:rPr>
                  <m:sty m:val="p"/>
                </m:rPr>
                <m:t>=</m:t>
              </m:r>
              <m:r>
                <m:t>10</m:t>
              </m:r>
            </m:oMath>
            <w:r>
              <w:t xml:space="preserve">)</w:t>
            </w:r>
          </w:p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3880"/>
        <w:gridCol w:w="388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24174"/>
                  <wp:effectExtent b="0" l="0" r="0" t="0"/>
                  <wp:docPr descr="vjp (M=100)" title="" id="117" name="Picture"/>
                  <a:graphic>
                    <a:graphicData uri="http://schemas.openxmlformats.org/drawingml/2006/picture">
                      <pic:pic>
                        <pic:nvPicPr>
                          <pic:cNvPr descr="../../data/N=100/FIM_100_vjp.png" id="11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4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vjp (</w:t>
            </w:r>
            <m:oMath>
              <m:r>
                <m:t>M</m:t>
              </m:r>
              <m:r>
                <m:rPr>
                  <m:sty m:val="p"/>
                </m:rPr>
                <m:t>=</m:t>
              </m:r>
              <m:r>
                <m:t>100</m:t>
              </m:r>
            </m:oMath>
            <w:r>
              <w:t xml:space="preserve">)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24174"/>
                  <wp:effectExtent b="0" l="0" r="0" t="0"/>
                  <wp:docPr descr="vjp (M=1000)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../../data/N=1000/FIM_1000_vj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4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vjp (</w:t>
            </w:r>
            <m:oMath>
              <m:r>
                <m:t>M</m:t>
              </m:r>
              <m:r>
                <m:rPr>
                  <m:sty m:val="p"/>
                </m:rPr>
                <m:t>=</m:t>
              </m:r>
              <m:r>
                <m:t>1000</m:t>
              </m:r>
            </m:oMath>
            <w:r>
              <w:t xml:space="preserve">)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9: Normalized Vector Jacobian Product when vector is the largest eigenvector</w:t>
      </w:r>
    </w:p>
    <w:bookmarkEnd w:id="122"/>
    <w:p>
      <w:pPr>
        <w:pStyle w:val="Compact"/>
        <w:numPr>
          <w:ilvl w:val="0"/>
          <w:numId w:val="1008"/>
        </w:numPr>
      </w:pPr>
      <w:r>
        <w:t xml:space="preserve">We observe that vector Jacobian product looks more like saturation rather than permeability.</w:t>
      </w:r>
    </w:p>
    <w:p>
      <w:pPr>
        <w:pStyle w:val="Compact"/>
        <w:numPr>
          <w:ilvl w:val="0"/>
          <w:numId w:val="1008"/>
        </w:numPr>
      </w:pPr>
      <w:r>
        <w:t xml:space="preserve">As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increases, scale in color bar also increases.</w:t>
      </w:r>
    </w:p>
    <w:p>
      <w:pPr>
        <w:pStyle w:val="Compact"/>
        <w:numPr>
          <w:ilvl w:val="0"/>
          <w:numId w:val="1008"/>
        </w:numPr>
      </w:pPr>
      <w:r>
        <w:t xml:space="preserve">One possible conclusion:</w:t>
      </w:r>
    </w:p>
    <w:p>
      <w:pPr>
        <w:pStyle w:val="Compact"/>
        <w:numPr>
          <w:ilvl w:val="1"/>
          <w:numId w:val="1009"/>
        </w:numPr>
      </w:pPr>
      <w:r>
        <w:t xml:space="preserve">vjp tells us the location in the spatial distribution (likelihood space) where there exists the largest variation, thus have the most information on parameter.</w:t>
      </w:r>
    </w:p>
    <w:p>
      <w:pPr>
        <w:pStyle w:val="Compact"/>
        <w:numPr>
          <w:ilvl w:val="1"/>
          <w:numId w:val="1009"/>
        </w:numPr>
      </w:pPr>
      <m:oMath>
        <m:sSup>
          <m:e>
            <m:r>
              <m:t>J</m:t>
            </m:r>
          </m:e>
          <m:sup>
            <m:r>
              <m:t>T</m:t>
            </m:r>
          </m:sup>
        </m:sSup>
        <m:r>
          <m:t>v</m:t>
        </m:r>
      </m:oMath>
      <w:r>
        <w:t xml:space="preserve">, when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is the largest eigenvector of FIM, is projecting Jacobian onto direction of maximum sensitivity.</w:t>
      </w:r>
    </w:p>
    <w:bookmarkEnd w:id="123"/>
    <w:bookmarkEnd w:id="124"/>
    <w:bookmarkEnd w:id="125"/>
    <w:bookmarkStart w:id="163" w:name="incompressible-navier-stokes"/>
    <w:p>
      <w:pPr>
        <w:pStyle w:val="Heading1"/>
      </w:pPr>
      <w:r>
        <w:t xml:space="preserve">Incompressible Navier Stokes</w:t>
      </w:r>
    </w:p>
    <w:bookmarkStart w:id="133" w:name="dataset-1"/>
    <w:p>
      <w:pPr>
        <w:pStyle w:val="Heading2"/>
      </w:pPr>
      <w:r>
        <w:t xml:space="preserve">Dataset</w:t>
      </w:r>
    </w:p>
    <w:bookmarkStart w:id="132" w:name="fig-vort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3880"/>
        <w:gridCol w:w="388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558071"/>
                  <wp:effectExtent b="0" l="0" r="0" t="0"/>
                  <wp:docPr descr="Vorticity at t=0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input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58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Vorticity at</w:t>
            </w:r>
            <w:r>
              <w:t xml:space="preserve"> </w:t>
            </w: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0</m:t>
              </m:r>
            </m:oMath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558071"/>
                  <wp:effectExtent b="0" l="0" r="0" t="0"/>
                  <wp:docPr descr="Vorticity at t=40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output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58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Vorticity at</w:t>
            </w:r>
            <w:r>
              <w:t xml:space="preserve"> </w:t>
            </w: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40</m:t>
              </m:r>
            </m:oMath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10: The first and the last vorticity in a single time series</w:t>
      </w:r>
    </w:p>
    <w:bookmarkEnd w:id="132"/>
    <w:p>
      <w:pPr>
        <w:pStyle w:val="BodyText"/>
      </w:pPr>
      <w:r>
        <w:t xml:space="preserve">Our dataset consists of 50 pairs of</w:t>
      </w:r>
      <w:r>
        <w:t xml:space="preserve"> </w:t>
      </w:r>
      <m:oMath>
        <m:r>
          <m:rPr>
            <m:sty m:val="p"/>
          </m:rPr>
          <m:t>{</m:t>
        </m:r>
        <m:sSup>
          <m:e>
            <m:r>
              <m:t>φ</m:t>
            </m:r>
          </m:e>
          <m:sup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</m:sup>
        </m:sSup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,</m:t>
        </m:r>
        <m:sSup>
          <m:e>
            <m:r>
              <m:t>φ</m:t>
            </m:r>
          </m:e>
          <m:sup>
            <m:r>
              <m:t>t</m:t>
            </m:r>
          </m:sup>
        </m:sSup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sSubSup>
          <m:e>
            <m:r>
              <m:rPr>
                <m:sty m:val="p"/>
              </m:rPr>
              <m:t>}</m:t>
            </m:r>
          </m:e>
          <m:sub>
            <m:r>
              <m:t>t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T</m:t>
            </m:r>
          </m:sup>
        </m:sSubSup>
      </m:oMath>
      <w:r>
        <w:t xml:space="preserve">, where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r>
          <m:t>44</m:t>
        </m:r>
      </m:oMath>
      <w:r>
        <w:t xml:space="preserve">. Initial vorticities are a Gaussian Random Fields.</w:t>
      </w:r>
    </w:p>
    <w:bookmarkEnd w:id="133"/>
    <w:bookmarkStart w:id="160" w:name="fisher-information-matrix-1"/>
    <w:p>
      <w:pPr>
        <w:pStyle w:val="Heading2"/>
      </w:pPr>
      <w:r>
        <w:t xml:space="preserve">Fisher Information Matrix</w:t>
      </w:r>
    </w:p>
    <w:bookmarkStart w:id="134" w:name="how-do-we-compute-fim"/>
    <w:p>
      <w:pPr>
        <w:pStyle w:val="Heading3"/>
      </w:pPr>
      <w:r>
        <w:t xml:space="preserve">How do we compute FIM?</w:t>
      </w:r>
    </w:p>
    <w:p>
      <w:pPr>
        <w:pStyle w:val="FirstParagraph"/>
      </w:pPr>
      <m:oMath>
        <m:r>
          <m:t>F</m:t>
        </m:r>
        <m:r>
          <m:t>I</m:t>
        </m:r>
        <m:r>
          <m:t>M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∇</m:t>
            </m:r>
            <m:r>
              <m:t>l</m:t>
            </m:r>
            <m:r>
              <m:t>o</m:t>
            </m:r>
            <m:r>
              <m:t>g</m:t>
            </m:r>
            <m:r>
              <m:t>p</m:t>
            </m:r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φ</m:t>
                    </m:r>
                  </m:e>
                  <m:sup>
                    <m:r>
                      <m:t>t</m:t>
                    </m:r>
                  </m:sup>
                </m:sSu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|</m:t>
                </m:r>
                <m:sSup>
                  <m:e>
                    <m:r>
                      <m:t>φ</m:t>
                    </m:r>
                  </m:e>
                  <m:sup>
                    <m:r>
                      <m:t>0</m:t>
                    </m:r>
                  </m:sup>
                </m:sSu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d>
              </m:e>
            </m:d>
          </m:e>
        </m:d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rPr>
                    <m:sty m:val="p"/>
                  </m:rPr>
                  <m:t>∇</m:t>
                </m:r>
                <m:r>
                  <m:t>l</m:t>
                </m:r>
                <m:r>
                  <m:t>o</m:t>
                </m:r>
                <m:r>
                  <m:t>g</m:t>
                </m:r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φ</m:t>
                        </m:r>
                      </m:e>
                      <m:sup>
                        <m:r>
                          <m:t>t</m:t>
                        </m:r>
                      </m:sup>
                    </m:sSu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|</m:t>
                    </m:r>
                    <m:sSup>
                      <m:e>
                        <m:r>
                          <m:t>φ</m:t>
                        </m:r>
                      </m:e>
                      <m:sup>
                        <m:r>
                          <m:t>0</m:t>
                        </m:r>
                      </m:sup>
                    </m:sSu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p>
            <m:r>
              <m:t>T</m:t>
            </m:r>
          </m:sup>
        </m:sSup>
      </m:oMath>
    </w:p>
    <w:p>
      <w:pPr>
        <w:pStyle w:val="Compact"/>
        <w:numPr>
          <w:ilvl w:val="0"/>
          <w:numId w:val="1010"/>
        </w:numPr>
      </w:pPr>
      <w:r>
        <w:t xml:space="preserve">Just means that we are computing FIM with respect to the initial vorticity,</w:t>
      </w:r>
      <w:r>
        <w:t xml:space="preserve"> </w:t>
      </w:r>
      <m:oMath>
        <m:sSup>
          <m:e>
            <m:r>
              <m:t>φ</m:t>
            </m:r>
          </m:e>
          <m:sup>
            <m:r>
              <m:t>t</m:t>
            </m:r>
          </m:sup>
        </m:sSup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.</w:t>
      </w:r>
    </w:p>
    <w:bookmarkEnd w:id="134"/>
    <w:bookmarkStart w:id="142" w:name="how-does-fim-looks-like-as-m-changes"/>
    <w:p>
      <w:pPr>
        <w:pStyle w:val="Heading3"/>
      </w:pPr>
      <w:r>
        <w:t xml:space="preserve">How does FIM looks like as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changes?</w:t>
      </w:r>
    </w:p>
    <w:bookmarkStart w:id="141" w:name="fig-fim_NS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3880"/>
        <w:gridCol w:w="388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98313"/>
                  <wp:effectExtent b="0" l="0" r="0" t="0"/>
                  <wp:docPr descr="M=10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10/fim_sub_0_9_t=0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98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m:oMath>
              <m:r>
                <m:t>M</m:t>
              </m:r>
              <m:r>
                <m:rPr>
                  <m:sty m:val="p"/>
                </m:rPr>
                <m:t>=</m:t>
              </m:r>
              <m:r>
                <m:t>10</m:t>
              </m:r>
            </m:oMath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98313"/>
                  <wp:effectExtent b="0" l="0" r="0" t="0"/>
                  <wp:docPr descr="M=100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100/fim_sub_0_9_t=0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98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m:oMath>
              <m:r>
                <m:t>M</m:t>
              </m:r>
              <m:r>
                <m:rPr>
                  <m:sty m:val="p"/>
                </m:rPr>
                <m:t>=</m:t>
              </m:r>
              <m:r>
                <m:t>100</m:t>
              </m:r>
            </m:oMath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11: FIM[:100, :100] of varying</w:t>
      </w:r>
      <w:r>
        <w:t xml:space="preserve"> </w:t>
      </w:r>
      <m:oMath>
        <m:r>
          <m:t>M</m:t>
        </m:r>
      </m:oMath>
    </w:p>
    <w:bookmarkEnd w:id="141"/>
    <w:bookmarkEnd w:id="142"/>
    <w:bookmarkStart w:id="159" w:name="making-sense-of-fim-obtained-1"/>
    <w:p>
      <w:pPr>
        <w:pStyle w:val="Heading3"/>
      </w:pPr>
      <w:r>
        <w:t xml:space="preserve">Making Sense of FIM obtained</w:t>
      </w:r>
    </w:p>
    <w:p>
      <w:pPr>
        <w:pStyle w:val="BlockText"/>
      </w:pPr>
      <w:r>
        <w:t xml:space="preserve">Still, does our FIM make sense? How can we better understand what FIM is representing?</w:t>
      </w:r>
    </w:p>
    <w:p>
      <w:pPr>
        <w:pStyle w:val="FirstParagraph"/>
      </w:pPr>
      <w:r>
        <w:t xml:space="preserve">Let’s look at the first row of the Fisher Information Matrix and reshape it to [64,64].</w:t>
      </w:r>
    </w:p>
    <w:bookmarkStart w:id="148" w:name="fig-eig100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3880"/>
        <w:gridCol w:w="388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558071"/>
                  <wp:effectExtent b="0" l="0" r="0" t="0"/>
                  <wp:docPr descr="FIM[0, :]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FIM/past/fim_sub_reshape_0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58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FIM[0, :]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558071"/>
                  <wp:effectExtent b="0" l="0" r="0" t="0"/>
                  <wp:docPr descr="Input Vorticity" title="" id="146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input.png" id="1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58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Input Vorticity</w:t>
            </w:r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12: Comparison of the input parameter with the first element of FIM</w:t>
      </w:r>
    </w:p>
    <w:bookmarkEnd w:id="148"/>
    <w:p>
      <w:pPr>
        <w:pStyle w:val="BodyText"/>
      </w:pPr>
      <w:r>
        <w:t xml:space="preserve">Also, let’s look at how the first row of the FIM changes as time evolves. When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10</m:t>
        </m:r>
      </m:oMath>
      <w:r>
        <w:t xml:space="preserve">,</w:t>
      </w:r>
    </w:p>
    <w:bookmarkStart w:id="158" w:name="fig-fim_NS"/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1552"/>
        <w:gridCol w:w="1552"/>
        <w:gridCol w:w="1552"/>
        <w:gridCol w:w="1552"/>
        <w:gridCol w:w="1552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381221"/>
                  <wp:effectExtent b="0" l="0" r="0" t="0"/>
                  <wp:docPr descr="t=1" title="" id="150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10/fim_sub_reshape_0_9_t=0.png" id="1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1</m:t>
              </m:r>
            </m:oMath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558071"/>
                  <wp:effectExtent b="0" l="0" r="0" t="0"/>
                  <wp:docPr descr="t=5" title="" id="153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10/fim_sub_reshape_0_9_t=4.png" id="1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58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5</m:t>
              </m:r>
            </m:oMath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4486317"/>
                  <wp:effectExtent b="0" l="0" r="0" t="0"/>
                  <wp:docPr descr="t=10" title="" id="156" name="Picture"/>
                  <a:graphic>
                    <a:graphicData uri="http://schemas.openxmlformats.org/drawingml/2006/picture">
                      <pic:pic>
                        <pic:nvPicPr>
                          <pic:cNvPr descr="../../plot/NS_plot/10/fim_sub_reshape_0_9_t=9.png" id="1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86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10</m:t>
              </m:r>
            </m:oMath>
          </w:p>
        </w:tc>
        <w:tc>
          <w:tcPr/>
          <w:tbl>
            <w:tblPr>
              <w:tblStyle w:val="FigureTable"/>
              <w:tblW w:type="auto" w:w="0"/>
              <w:jc w:val="center"/>
              <w:tblLook w:firstRow="0" w:lastRow="0" w:firstColumn="0" w:lastColumn="0"/>
            </w:tblPr>
            <w:tblGrid>
              <w:gridCol w:w="7920"/>
            </w:tblGrid>
            <w:tr>
              <w:tc>
                <w:tcPr/>
                <w:p>
                  <w:pPr>
                    <w:pStyle w:val="Compact"/>
                    <w:jc w:val="center"/>
                    <w:jc w:val="left"/>
                  </w:pPr>
                  <m:oMath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15</m:t>
                    </m:r>
                  </m:oMath>
                </w:p>
              </w:tc>
            </w:tr>
          </w:tbl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15</m:t>
              </m:r>
            </m:oMath>
          </w:p>
        </w:tc>
        <w:tc>
          <w:tcPr/>
          <w:tbl>
            <w:tblPr>
              <w:tblStyle w:val="FigureTable"/>
              <w:tblW w:type="auto" w:w="0"/>
              <w:jc w:val="center"/>
              <w:tblLook w:firstRow="0" w:lastRow="0" w:firstColumn="0" w:lastColumn="0"/>
            </w:tblPr>
            <w:tblGrid>
              <w:gridCol w:w="7920"/>
            </w:tblGrid>
            <w:tr>
              <w:tc>
                <w:tcPr/>
                <w:p>
                  <w:pPr>
                    <w:pStyle w:val="Compact"/>
                    <w:jc w:val="center"/>
                    <w:jc w:val="left"/>
                  </w:pPr>
                  <m:oMath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20</m:t>
                    </m:r>
                  </m:oMath>
                </w:p>
              </w:tc>
            </w:tr>
          </w:tbl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20</m:t>
              </m:r>
            </m:oMath>
          </w:p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4900"/>
        <w:tblLayout w:type="fixed"/>
        <w:tblLook w:firstRow="0" w:lastRow="0" w:firstColumn="0" w:lastColumn="0" w:noHBand="0" w:noVBand="0" w:val="0000"/>
      </w:tblPr>
      <w:tblGrid>
        <w:gridCol w:w="1552"/>
        <w:gridCol w:w="1552"/>
        <w:gridCol w:w="1552"/>
        <w:gridCol w:w="1552"/>
        <w:gridCol w:w="1552"/>
      </w:tblGrid>
      <w:tr>
        <w:tc>
          <w:tcPr/>
          <w:tbl>
            <w:tblPr>
              <w:tblStyle w:val="FigureTable"/>
              <w:tblW w:type="auto" w:w="0"/>
              <w:jc w:val="center"/>
              <w:tblLook w:firstRow="0" w:lastRow="0" w:firstColumn="0" w:lastColumn="0"/>
            </w:tblPr>
            <w:tblGrid>
              <w:gridCol w:w="7920"/>
            </w:tblGrid>
            <w:tr>
              <w:tc>
                <w:tcPr/>
                <w:p>
                  <w:pPr>
                    <w:pStyle w:val="Compact"/>
                    <w:jc w:val="center"/>
                    <w:jc w:val="left"/>
                  </w:pPr>
                  <m:oMath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25</m:t>
                    </m:r>
                  </m:oMath>
                </w:p>
              </w:tc>
            </w:tr>
          </w:tbl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25</m:t>
              </m:r>
            </m:oMath>
          </w:p>
        </w:tc>
        <w:tc>
          <w:tcPr/>
          <w:tbl>
            <w:tblPr>
              <w:tblStyle w:val="FigureTable"/>
              <w:tblW w:type="auto" w:w="0"/>
              <w:jc w:val="center"/>
              <w:tblLook w:firstRow="0" w:lastRow="0" w:firstColumn="0" w:lastColumn="0"/>
            </w:tblPr>
            <w:tblGrid>
              <w:gridCol w:w="7920"/>
            </w:tblGrid>
            <w:tr>
              <w:tc>
                <w:tcPr/>
                <w:p>
                  <w:pPr>
                    <w:pStyle w:val="Compact"/>
                    <w:jc w:val="center"/>
                    <w:jc w:val="left"/>
                  </w:pPr>
                  <m:oMath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30</m:t>
                    </m:r>
                  </m:oMath>
                </w:p>
              </w:tc>
            </w:tr>
          </w:tbl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30</m:t>
              </m:r>
            </m:oMath>
          </w:p>
        </w:tc>
        <w:tc>
          <w:tcPr/>
          <w:tbl>
            <w:tblPr>
              <w:tblStyle w:val="FigureTable"/>
              <w:tblW w:type="auto" w:w="0"/>
              <w:jc w:val="center"/>
              <w:tblLook w:firstRow="0" w:lastRow="0" w:firstColumn="0" w:lastColumn="0"/>
            </w:tblPr>
            <w:tblGrid>
              <w:gridCol w:w="7920"/>
            </w:tblGrid>
            <w:tr>
              <w:tc>
                <w:tcPr/>
                <w:p>
                  <w:pPr>
                    <w:pStyle w:val="Compact"/>
                    <w:jc w:val="center"/>
                    <w:jc w:val="left"/>
                  </w:pPr>
                  <m:oMath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35</m:t>
                    </m:r>
                  </m:oMath>
                </w:p>
              </w:tc>
            </w:tr>
          </w:tbl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35</m:t>
              </m:r>
            </m:oMath>
          </w:p>
        </w:tc>
        <w:tc>
          <w:tcPr/>
          <w:tbl>
            <w:tblPr>
              <w:tblStyle w:val="FigureTable"/>
              <w:tblW w:type="auto" w:w="0"/>
              <w:jc w:val="center"/>
              <w:tblLook w:firstRow="0" w:lastRow="0" w:firstColumn="0" w:lastColumn="0"/>
            </w:tblPr>
            <w:tblGrid>
              <w:gridCol w:w="7920"/>
            </w:tblGrid>
            <w:tr>
              <w:tc>
                <w:tcPr/>
                <w:p>
                  <w:pPr>
                    <w:pStyle w:val="Compact"/>
                    <w:jc w:val="center"/>
                    <w:jc w:val="left"/>
                  </w:pPr>
                  <m:oMath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40</m:t>
                    </m:r>
                  </m:oMath>
                </w:p>
              </w:tc>
            </w:tr>
          </w:tbl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40</m:t>
              </m:r>
            </m:oMath>
          </w:p>
        </w:tc>
        <w:tc>
          <w:tcPr/>
          <w:tbl>
            <w:tblPr>
              <w:tblStyle w:val="FigureTable"/>
              <w:tblW w:type="auto" w:w="0"/>
              <w:jc w:val="center"/>
              <w:tblLook w:firstRow="0" w:lastRow="0" w:firstColumn="0" w:lastColumn="0"/>
            </w:tblPr>
            <w:tblGrid>
              <w:gridCol w:w="7920"/>
            </w:tblGrid>
            <w:tr>
              <w:tc>
                <w:tcPr/>
                <w:p>
                  <w:pPr>
                    <w:pStyle w:val="Compact"/>
                    <w:jc w:val="center"/>
                    <w:jc w:val="left"/>
                  </w:pPr>
                  <m:oMath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44</m:t>
                    </m:r>
                  </m:oMath>
                </w:p>
              </w:tc>
            </w:tr>
          </w:tbl>
          <w:p>
            <w:pPr>
              <w:pStyle w:val="ImageCaption"/>
              <w:jc w:val="left"/>
            </w:pPr>
            <m:oMath>
              <m:r>
                <m:t>t</m:t>
              </m:r>
              <m:r>
                <m:rPr>
                  <m:sty m:val="p"/>
                </m:rPr>
                <m:t>=</m:t>
              </m:r>
              <m:r>
                <m:t>44</m:t>
              </m:r>
            </m:oMath>
          </w:p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13: The evolution of the first row of FIM</w:t>
      </w:r>
    </w:p>
    <w:bookmarkEnd w:id="158"/>
    <w:bookmarkEnd w:id="159"/>
    <w:bookmarkEnd w:id="160"/>
    <w:bookmarkStart w:id="161" w:name="future-step"/>
    <w:p>
      <w:pPr>
        <w:pStyle w:val="Heading2"/>
      </w:pPr>
      <w:r>
        <w:t xml:space="preserve">Future Step</w:t>
      </w:r>
    </w:p>
    <w:p>
      <w:pPr>
        <w:pStyle w:val="Compact"/>
        <w:numPr>
          <w:ilvl w:val="0"/>
          <w:numId w:val="1011"/>
        </w:numPr>
      </w:pPr>
      <w:r>
        <w:t xml:space="preserve">TODO: Debug NS eigenvector and vjp.</w:t>
      </w:r>
    </w:p>
    <w:p>
      <w:pPr>
        <w:pStyle w:val="Compact"/>
        <w:numPr>
          <w:ilvl w:val="0"/>
          <w:numId w:val="1011"/>
        </w:numPr>
      </w:pPr>
      <w:r>
        <w:t xml:space="preserve">TODO: Want to generate the full dataset for Francis’ dataset (which might take 1 or 2 days).</w:t>
      </w:r>
    </w:p>
    <w:p>
      <w:pPr>
        <w:pStyle w:val="Compact"/>
        <w:numPr>
          <w:ilvl w:val="0"/>
          <w:numId w:val="1011"/>
        </w:numPr>
      </w:pPr>
      <w:r>
        <w:t xml:space="preserve">TODO: Try it on Jason’s dataset (Now that we fixed the problem with FIM computation, we are optimistic about the experiment, so we want to try it again.)</w:t>
      </w:r>
    </w:p>
    <w:bookmarkEnd w:id="161"/>
    <w:bookmarkStart w:id="162" w:name="question"/>
    <w:p>
      <w:pPr>
        <w:pStyle w:val="Heading2"/>
      </w:pPr>
      <w:r>
        <w:t xml:space="preserve">Question</w:t>
      </w:r>
    </w:p>
    <w:p>
      <w:pPr>
        <w:pStyle w:val="Compact"/>
        <w:numPr>
          <w:ilvl w:val="0"/>
          <w:numId w:val="1012"/>
        </w:numPr>
      </w:pPr>
      <w:r>
        <w:t xml:space="preserve">What would be the optimal number for observations,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when computing Fisher Information Matrix?</w:t>
      </w:r>
    </w:p>
    <w:bookmarkEnd w:id="162"/>
    <w:bookmarkEnd w:id="1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4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1">
        <w:r>
          <w:rPr>
            <w:rStyle w:val="Hyperlink"/>
          </w:rPr>
          <w:t xml:space="preserve">Note on Learning Problem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110" Target="media/rId110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87" Target="media/rId87.png" /><Relationship Type="http://schemas.openxmlformats.org/officeDocument/2006/relationships/image" Id="rId54" Target="media/rId54.png" /><Relationship Type="http://schemas.openxmlformats.org/officeDocument/2006/relationships/image" Id="rId90" Target="media/rId90.png" /><Relationship Type="http://schemas.openxmlformats.org/officeDocument/2006/relationships/image" Id="rId57" Target="media/rId57.png" /><Relationship Type="http://schemas.openxmlformats.org/officeDocument/2006/relationships/image" Id="rId93" Target="media/rId93.png" /><Relationship Type="http://schemas.openxmlformats.org/officeDocument/2006/relationships/image" Id="rId60" Target="media/rId60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19" Target="media/rId11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135" Target="media/rId135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hyperlink" Id="rId41" Target="https://www.overleaf.com/1149716711hxnvfbyfpzvb#a799c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s://www.overleaf.com/1149716711hxnvfbyfpzvb#a799c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Generation</dc:title>
  <dc:creator>Jayjay, Tuna, Jason, Richard</dc:creator>
  <cp:keywords/>
  <dcterms:created xsi:type="dcterms:W3CDTF">2024-10-04T17:11:20Z</dcterms:created>
  <dcterms:modified xsi:type="dcterms:W3CDTF">2024-10-04T17:11:20Z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skeleton.bib</vt:lpwstr>
  </property>
  <property fmtid="{D5CDD505-2E9C-101B-9397-08002B2CF9AE}" pid="5" name="by-author">
    <vt:lpwstr/>
  </property>
  <property fmtid="{D5CDD505-2E9C-101B-9397-08002B2CF9AE}" pid="6" name="citation-location">
    <vt:lpwstr>margin</vt:lpwstr>
  </property>
  <property fmtid="{D5CDD505-2E9C-101B-9397-08002B2CF9AE}" pid="7" name="date">
    <vt:lpwstr>2024-09-30</vt:lpwstr>
  </property>
  <property fmtid="{D5CDD505-2E9C-101B-9397-08002B2CF9AE}" pid="8" name="execute">
    <vt:lpwstr/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