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3364" w14:textId="77777777" w:rsidR="002F7F33" w:rsidRPr="00CE4507" w:rsidRDefault="00000000" w:rsidP="002F7F33">
      <w:pPr>
        <w:spacing w:line="276" w:lineRule="auto"/>
        <w:jc w:val="center"/>
        <w:rPr>
          <w:b/>
          <w:bCs/>
          <w:sz w:val="24"/>
          <w:szCs w:val="24"/>
        </w:rPr>
      </w:pPr>
      <w:r w:rsidRPr="00CE4507">
        <w:rPr>
          <w:b/>
          <w:bCs/>
          <w:sz w:val="24"/>
          <w:szCs w:val="24"/>
        </w:rPr>
        <w:t>NATIONAL MALARIA SURVEILLANCE DASHBOARD</w:t>
      </w:r>
    </w:p>
    <w:p w14:paraId="22DA6B2F" w14:textId="3D00A52B" w:rsidR="003F0B81" w:rsidRPr="002F7F33" w:rsidRDefault="00000000" w:rsidP="002F7F33">
      <w:pPr>
        <w:spacing w:line="276" w:lineRule="auto"/>
        <w:jc w:val="center"/>
        <w:rPr>
          <w:sz w:val="24"/>
          <w:szCs w:val="24"/>
        </w:rPr>
      </w:pPr>
      <w:r w:rsidRPr="002F7F33">
        <w:rPr>
          <w:color w:val="008B8B"/>
        </w:rPr>
        <w:t xml:space="preserve">Project </w:t>
      </w:r>
      <w:proofErr w:type="gramStart"/>
      <w:r w:rsidRPr="002F7F33">
        <w:rPr>
          <w:color w:val="008B8B"/>
        </w:rPr>
        <w:t>Summary  |</w:t>
      </w:r>
      <w:proofErr w:type="gramEnd"/>
      <w:r w:rsidRPr="002F7F33">
        <w:rPr>
          <w:color w:val="008B8B"/>
        </w:rPr>
        <w:t xml:space="preserve">  2015–</w:t>
      </w:r>
      <w:proofErr w:type="gramStart"/>
      <w:r w:rsidRPr="002F7F33">
        <w:rPr>
          <w:color w:val="008B8B"/>
        </w:rPr>
        <w:t>2025  |</w:t>
      </w:r>
      <w:proofErr w:type="gramEnd"/>
      <w:r w:rsidRPr="002F7F33">
        <w:rPr>
          <w:color w:val="008B8B"/>
        </w:rPr>
        <w:t xml:space="preserve">  Synthetic Dataset</w:t>
      </w:r>
    </w:p>
    <w:p w14:paraId="304EBD9F" w14:textId="77777777" w:rsidR="003F0B81" w:rsidRPr="00D53C9B" w:rsidRDefault="00000000" w:rsidP="00D53C9B">
      <w:pPr>
        <w:spacing w:line="360" w:lineRule="auto"/>
        <w:jc w:val="both"/>
        <w:rPr>
          <w:b/>
          <w:bCs/>
        </w:rPr>
      </w:pPr>
      <w:r w:rsidRPr="00D53C9B">
        <w:rPr>
          <w:b/>
          <w:bCs/>
          <w:color w:val="0B192C"/>
        </w:rPr>
        <w:t>DATASET OVERVIEW</w:t>
      </w:r>
    </w:p>
    <w:p w14:paraId="57CD448B" w14:textId="71E553C2" w:rsidR="003F0B81" w:rsidRDefault="00000000" w:rsidP="00D53C9B">
      <w:pPr>
        <w:spacing w:line="360" w:lineRule="auto"/>
        <w:jc w:val="both"/>
      </w:pPr>
      <w:r>
        <w:rPr>
          <w:color w:val="1A1A1A"/>
          <w:sz w:val="18"/>
          <w:szCs w:val="18"/>
        </w:rPr>
        <w:t xml:space="preserve">The dashboard is built on a synthetic, monthly malaria surveillance dataset covering all 37 Nigerian states (36 states + FCT) from 2015 to 2025. Each record combines state-level population and regional classification with monthly case counts, deaths, mortality rate, incidence per 1,000 population, and a derived risk-level tier (Very High, High, Moderate). Seasonal context is captured through a rainy-season flag (May–October) built into the calendar dimension. The data was generated to reflect realistic epidemiological </w:t>
      </w:r>
      <w:r w:rsidR="00D53C9B">
        <w:rPr>
          <w:color w:val="1A1A1A"/>
          <w:sz w:val="18"/>
          <w:szCs w:val="18"/>
        </w:rPr>
        <w:t>patterns regional</w:t>
      </w:r>
      <w:r>
        <w:rPr>
          <w:color w:val="1A1A1A"/>
          <w:sz w:val="18"/>
          <w:szCs w:val="18"/>
        </w:rPr>
        <w:t xml:space="preserve"> concentration in the north, a rainy-season case surge, and population-scaled incidence for the purpose of dashboard design and analysis practice, not for public health decision-making.</w:t>
      </w:r>
    </w:p>
    <w:p w14:paraId="78CB62C8" w14:textId="77777777" w:rsidR="003F0B81" w:rsidRDefault="00000000" w:rsidP="00D53C9B">
      <w:pPr>
        <w:spacing w:before="240" w:line="360" w:lineRule="auto"/>
        <w:jc w:val="both"/>
      </w:pPr>
      <w:r>
        <w:rPr>
          <w:color w:val="0B192C"/>
        </w:rPr>
        <w:t>DASHBOARD OVERVIEW</w:t>
      </w:r>
    </w:p>
    <w:p w14:paraId="10AF4B25" w14:textId="213488E4" w:rsidR="00D53C9B" w:rsidRPr="00D53C9B" w:rsidRDefault="00000000" w:rsidP="00D53C9B">
      <w:pPr>
        <w:pStyle w:val="ListParagraph"/>
        <w:numPr>
          <w:ilvl w:val="0"/>
          <w:numId w:val="3"/>
        </w:numPr>
        <w:spacing w:line="360" w:lineRule="auto"/>
        <w:jc w:val="both"/>
      </w:pPr>
      <w:r w:rsidRPr="00D53C9B">
        <w:rPr>
          <w:color w:val="1A1A1A"/>
          <w:sz w:val="18"/>
          <w:szCs w:val="18"/>
        </w:rPr>
        <w:t xml:space="preserve">Page </w:t>
      </w:r>
      <w:r w:rsidR="00D53C9B" w:rsidRPr="00D53C9B">
        <w:rPr>
          <w:color w:val="1A1A1A"/>
          <w:sz w:val="18"/>
          <w:szCs w:val="18"/>
        </w:rPr>
        <w:t xml:space="preserve">1: </w:t>
      </w:r>
      <w:r w:rsidRPr="00D53C9B">
        <w:rPr>
          <w:color w:val="1A1A1A"/>
          <w:sz w:val="18"/>
          <w:szCs w:val="18"/>
        </w:rPr>
        <w:t>Home: A landing page with direct navigation into the Executive Summary and Geographic Analysis pages.</w:t>
      </w:r>
    </w:p>
    <w:p w14:paraId="6284C400" w14:textId="77777777" w:rsidR="00D53C9B" w:rsidRPr="00D53C9B" w:rsidRDefault="00000000" w:rsidP="00D53C9B">
      <w:pPr>
        <w:pStyle w:val="ListParagraph"/>
        <w:numPr>
          <w:ilvl w:val="0"/>
          <w:numId w:val="3"/>
        </w:numPr>
        <w:spacing w:line="360" w:lineRule="auto"/>
        <w:jc w:val="both"/>
      </w:pPr>
      <w:r w:rsidRPr="00D53C9B">
        <w:rPr>
          <w:color w:val="1A1A1A"/>
          <w:sz w:val="18"/>
          <w:szCs w:val="18"/>
        </w:rPr>
        <w:t>Page 2</w:t>
      </w:r>
      <w:r w:rsidR="00D53C9B">
        <w:rPr>
          <w:color w:val="1A1A1A"/>
          <w:sz w:val="18"/>
          <w:szCs w:val="18"/>
        </w:rPr>
        <w:t>:</w:t>
      </w:r>
      <w:r w:rsidRPr="00D53C9B">
        <w:rPr>
          <w:color w:val="1A1A1A"/>
          <w:sz w:val="18"/>
          <w:szCs w:val="18"/>
        </w:rPr>
        <w:t xml:space="preserve"> Executive Summary: Five KPI cards (Total Cases, Total Deaths, Death Rate, Peak Year Volume, YoY Growth) alongside an annual cases-vs-deaths trend, regional case distribution, monthly seasonality, and a risk-level breakdown.</w:t>
      </w:r>
    </w:p>
    <w:p w14:paraId="6DF997A9" w14:textId="77777777" w:rsidR="00D53C9B" w:rsidRPr="00D53C9B" w:rsidRDefault="00000000" w:rsidP="00D53C9B">
      <w:pPr>
        <w:pStyle w:val="ListParagraph"/>
        <w:numPr>
          <w:ilvl w:val="0"/>
          <w:numId w:val="3"/>
        </w:numPr>
        <w:spacing w:line="360" w:lineRule="auto"/>
        <w:jc w:val="both"/>
      </w:pPr>
      <w:r w:rsidRPr="00D53C9B">
        <w:rPr>
          <w:color w:val="1A1A1A"/>
          <w:sz w:val="18"/>
          <w:szCs w:val="18"/>
        </w:rPr>
        <w:t>Page 3</w:t>
      </w:r>
      <w:r w:rsidR="00D53C9B">
        <w:rPr>
          <w:color w:val="1A1A1A"/>
          <w:sz w:val="18"/>
          <w:szCs w:val="18"/>
        </w:rPr>
        <w:t>:</w:t>
      </w:r>
      <w:r w:rsidRPr="00D53C9B">
        <w:rPr>
          <w:color w:val="1A1A1A"/>
          <w:sz w:val="18"/>
          <w:szCs w:val="18"/>
        </w:rPr>
        <w:t xml:space="preserve"> Geographic Analysis: State-level case burden map, a population-vs-incidence scatter plot highlighting outlier states, Top 10 rankings by case volume and by death rate, and a full time-intelligence matrix (YTD, YoY, MoM growth).</w:t>
      </w:r>
    </w:p>
    <w:p w14:paraId="39DE0B99" w14:textId="77777777" w:rsidR="00D53C9B" w:rsidRPr="00D53C9B" w:rsidRDefault="00000000" w:rsidP="00D53C9B">
      <w:pPr>
        <w:pStyle w:val="ListParagraph"/>
        <w:numPr>
          <w:ilvl w:val="0"/>
          <w:numId w:val="3"/>
        </w:numPr>
        <w:spacing w:line="360" w:lineRule="auto"/>
        <w:jc w:val="both"/>
      </w:pPr>
      <w:r w:rsidRPr="00D53C9B">
        <w:rPr>
          <w:color w:val="1A1A1A"/>
          <w:sz w:val="18"/>
          <w:szCs w:val="18"/>
        </w:rPr>
        <w:t>Page 4</w:t>
      </w:r>
      <w:r w:rsidR="00D53C9B">
        <w:rPr>
          <w:color w:val="1A1A1A"/>
          <w:sz w:val="18"/>
          <w:szCs w:val="18"/>
        </w:rPr>
        <w:t>:</w:t>
      </w:r>
      <w:r w:rsidRPr="00D53C9B">
        <w:rPr>
          <w:color w:val="1A1A1A"/>
          <w:sz w:val="18"/>
          <w:szCs w:val="18"/>
        </w:rPr>
        <w:t xml:space="preserve"> Key Insights &amp; Recommendations: Narrative synthesis of the dashboard's findings, with actionable recommendations and a closing conclusion.</w:t>
      </w:r>
    </w:p>
    <w:p w14:paraId="6CBC77CD" w14:textId="50AAB68D" w:rsidR="003F0B81" w:rsidRDefault="00000000" w:rsidP="00D53C9B">
      <w:pPr>
        <w:pStyle w:val="ListParagraph"/>
        <w:numPr>
          <w:ilvl w:val="0"/>
          <w:numId w:val="3"/>
        </w:numPr>
        <w:spacing w:line="360" w:lineRule="auto"/>
        <w:jc w:val="both"/>
      </w:pPr>
      <w:r w:rsidRPr="00D53C9B">
        <w:rPr>
          <w:color w:val="1A1A1A"/>
          <w:sz w:val="18"/>
          <w:szCs w:val="18"/>
        </w:rPr>
        <w:t>Page 5</w:t>
      </w:r>
      <w:r w:rsidR="00D53C9B">
        <w:rPr>
          <w:color w:val="1A1A1A"/>
          <w:sz w:val="18"/>
          <w:szCs w:val="18"/>
        </w:rPr>
        <w:t>:</w:t>
      </w:r>
      <w:r w:rsidRPr="00D53C9B">
        <w:rPr>
          <w:color w:val="1A1A1A"/>
          <w:sz w:val="18"/>
          <w:szCs w:val="18"/>
        </w:rPr>
        <w:t xml:space="preserve"> Thank You: A closing page for the report.</w:t>
      </w:r>
    </w:p>
    <w:p w14:paraId="154CD75B" w14:textId="77777777" w:rsidR="003F0B81" w:rsidRDefault="00000000" w:rsidP="00D53C9B">
      <w:pPr>
        <w:spacing w:before="240" w:line="360" w:lineRule="auto"/>
        <w:jc w:val="both"/>
      </w:pPr>
      <w:r>
        <w:rPr>
          <w:color w:val="008B8B"/>
        </w:rPr>
        <w:t>KEY FINDINGS</w:t>
      </w:r>
    </w:p>
    <w:p w14:paraId="0BA86A4C" w14:textId="77777777" w:rsidR="00D53C9B" w:rsidRPr="00D53C9B" w:rsidRDefault="00000000" w:rsidP="00D53C9B">
      <w:pPr>
        <w:pStyle w:val="ListParagraph"/>
        <w:numPr>
          <w:ilvl w:val="0"/>
          <w:numId w:val="4"/>
        </w:numPr>
        <w:spacing w:line="360" w:lineRule="auto"/>
        <w:jc w:val="both"/>
      </w:pPr>
      <w:r w:rsidRPr="00D53C9B">
        <w:rPr>
          <w:color w:val="1A1A1A"/>
          <w:sz w:val="18"/>
          <w:szCs w:val="18"/>
        </w:rPr>
        <w:t>National burden:  54.98M cases and 206.93K deaths recorded across the eleven-year period, an overall death rate of 0.38%, with case volume peaking at 5.77M in 2025.</w:t>
      </w:r>
    </w:p>
    <w:p w14:paraId="428A14A6" w14:textId="77777777" w:rsidR="00D53C9B" w:rsidRPr="00D53C9B" w:rsidRDefault="00000000" w:rsidP="00D53C9B">
      <w:pPr>
        <w:pStyle w:val="ListParagraph"/>
        <w:numPr>
          <w:ilvl w:val="0"/>
          <w:numId w:val="4"/>
        </w:numPr>
        <w:spacing w:line="360" w:lineRule="auto"/>
        <w:jc w:val="both"/>
      </w:pPr>
      <w:r w:rsidRPr="00D53C9B">
        <w:rPr>
          <w:color w:val="1A1A1A"/>
          <w:sz w:val="18"/>
          <w:szCs w:val="18"/>
        </w:rPr>
        <w:t>Regional concentration:  North West carries the largest share of national cases at 26.93%, followed by North East (17.33%) and South West (16.56%); South East is lowest at 9.3%.</w:t>
      </w:r>
    </w:p>
    <w:p w14:paraId="69FDC9DB" w14:textId="77777777" w:rsidR="00D53C9B" w:rsidRPr="00D53C9B" w:rsidRDefault="00000000" w:rsidP="00D53C9B">
      <w:pPr>
        <w:pStyle w:val="ListParagraph"/>
        <w:numPr>
          <w:ilvl w:val="0"/>
          <w:numId w:val="4"/>
        </w:numPr>
        <w:spacing w:line="360" w:lineRule="auto"/>
        <w:jc w:val="both"/>
      </w:pPr>
      <w:r w:rsidRPr="00D53C9B">
        <w:rPr>
          <w:color w:val="1A1A1A"/>
          <w:sz w:val="18"/>
          <w:szCs w:val="18"/>
        </w:rPr>
        <w:t>Seasonality:  Cases rise sharply during the May–October window each year, consistent with known transmission seasonality.</w:t>
      </w:r>
    </w:p>
    <w:p w14:paraId="1F852D08" w14:textId="77777777" w:rsidR="00D53C9B" w:rsidRPr="00D53C9B" w:rsidRDefault="00000000" w:rsidP="00D53C9B">
      <w:pPr>
        <w:pStyle w:val="ListParagraph"/>
        <w:numPr>
          <w:ilvl w:val="0"/>
          <w:numId w:val="4"/>
        </w:numPr>
        <w:spacing w:line="360" w:lineRule="auto"/>
        <w:jc w:val="both"/>
      </w:pPr>
      <w:r w:rsidRPr="00D53C9B">
        <w:rPr>
          <w:color w:val="1A1A1A"/>
          <w:sz w:val="18"/>
          <w:szCs w:val="18"/>
        </w:rPr>
        <w:t>Risk distribution:  Very High-risk states account for the largest share of total case volume, well ahead of the High and Moderate tiers.</w:t>
      </w:r>
    </w:p>
    <w:p w14:paraId="44C4A4E6" w14:textId="445582BC" w:rsidR="003F0B81" w:rsidRDefault="00000000" w:rsidP="00D53C9B">
      <w:pPr>
        <w:pStyle w:val="ListParagraph"/>
        <w:numPr>
          <w:ilvl w:val="0"/>
          <w:numId w:val="4"/>
        </w:numPr>
        <w:spacing w:line="360" w:lineRule="auto"/>
        <w:jc w:val="both"/>
      </w:pPr>
      <w:r w:rsidRPr="00D53C9B">
        <w:rPr>
          <w:color w:val="1A1A1A"/>
          <w:sz w:val="18"/>
          <w:szCs w:val="18"/>
        </w:rPr>
        <w:t>State-level divergence:  Kano and Lagos lead in absolute case volume, while Bauchi and Borno lead in death rate — volume and mortality are concentrated in different states, not the same ones.</w:t>
      </w:r>
    </w:p>
    <w:p w14:paraId="46F6ECA9" w14:textId="77777777" w:rsidR="003F0B81" w:rsidRDefault="00000000" w:rsidP="00D53C9B">
      <w:pPr>
        <w:spacing w:before="240" w:line="360" w:lineRule="auto"/>
        <w:jc w:val="both"/>
      </w:pPr>
      <w:r>
        <w:rPr>
          <w:color w:val="D9534F"/>
        </w:rPr>
        <w:t>RECOMMENDATIONS</w:t>
      </w:r>
    </w:p>
    <w:p w14:paraId="09E1F8D2" w14:textId="77777777" w:rsidR="003F0B81" w:rsidRDefault="00000000" w:rsidP="00D53C9B">
      <w:pPr>
        <w:spacing w:line="360" w:lineRule="auto"/>
        <w:jc w:val="both"/>
      </w:pPr>
      <w:r>
        <w:rPr>
          <w:color w:val="1A1A1A"/>
          <w:sz w:val="18"/>
          <w:szCs w:val="18"/>
        </w:rPr>
        <w:t>1.  Prioritize intervention resources in Bauchi and Borno first, given their disproportionately high death rates relative to case volume.</w:t>
      </w:r>
    </w:p>
    <w:p w14:paraId="3D135992" w14:textId="77777777" w:rsidR="003F0B81" w:rsidRDefault="00000000" w:rsidP="00D53C9B">
      <w:pPr>
        <w:spacing w:line="360" w:lineRule="auto"/>
        <w:jc w:val="both"/>
      </w:pPr>
      <w:r>
        <w:rPr>
          <w:color w:val="1A1A1A"/>
          <w:sz w:val="18"/>
          <w:szCs w:val="18"/>
        </w:rPr>
        <w:t>2.  Pre-position supplies and staff ahead of the May seasonal peak rather than during it.</w:t>
      </w:r>
    </w:p>
    <w:p w14:paraId="2A60023E" w14:textId="77777777" w:rsidR="003F0B81" w:rsidRDefault="00000000" w:rsidP="00D53C9B">
      <w:pPr>
        <w:spacing w:line="360" w:lineRule="auto"/>
        <w:jc w:val="both"/>
      </w:pPr>
      <w:r>
        <w:rPr>
          <w:color w:val="1A1A1A"/>
          <w:sz w:val="18"/>
          <w:szCs w:val="18"/>
        </w:rPr>
        <w:t>3.  Track high-volume states (Kano, Lagos) and high-mortality states (Bauchi, Borno) as two distinct response priorities.</w:t>
      </w:r>
    </w:p>
    <w:p w14:paraId="4042D3F3" w14:textId="77777777" w:rsidR="003F0B81" w:rsidRDefault="00000000" w:rsidP="00D53C9B">
      <w:pPr>
        <w:spacing w:line="360" w:lineRule="auto"/>
        <w:jc w:val="both"/>
      </w:pPr>
      <w:r>
        <w:rPr>
          <w:color w:val="1A1A1A"/>
          <w:sz w:val="18"/>
          <w:szCs w:val="18"/>
        </w:rPr>
        <w:t>4.  Investigate Borno and Bauchi's high incidence relative to population size to understand local drivers (access, reporting, environment).</w:t>
      </w:r>
    </w:p>
    <w:p w14:paraId="5EC9D96F" w14:textId="77777777" w:rsidR="003F0B81" w:rsidRDefault="00000000" w:rsidP="00D53C9B">
      <w:pPr>
        <w:spacing w:before="240" w:line="360" w:lineRule="auto"/>
        <w:jc w:val="both"/>
      </w:pPr>
      <w:r>
        <w:rPr>
          <w:color w:val="0B192C"/>
        </w:rPr>
        <w:t>CONCLUSION</w:t>
      </w:r>
    </w:p>
    <w:p w14:paraId="00A74E18" w14:textId="77777777" w:rsidR="003F0B81" w:rsidRDefault="00000000" w:rsidP="00D53C9B">
      <w:pPr>
        <w:spacing w:line="360" w:lineRule="auto"/>
        <w:jc w:val="both"/>
      </w:pPr>
      <w:r>
        <w:rPr>
          <w:color w:val="1A1A1A"/>
          <w:sz w:val="18"/>
          <w:szCs w:val="18"/>
        </w:rPr>
        <w:t>Between 2015 and 2025, Nigeria's malaria burden grew steadily in absolute case volume, with regional and seasonal patterns remaining consistent — concentrated in the North West and North East, and peaking during the rainy season. Mortality, however, is concentrated in a different set of states than case volume, showing that national totals alone can mask where intervention is most urgent. A resource strategy informed by this dashboard should treat case volume and mortality as separate, complementary signals rather than a single ranking.</w:t>
      </w:r>
    </w:p>
    <w:sectPr w:rsidR="003F0B81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ABD"/>
    <w:multiLevelType w:val="hybridMultilevel"/>
    <w:tmpl w:val="59C44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53517"/>
    <w:multiLevelType w:val="hybridMultilevel"/>
    <w:tmpl w:val="E0A009B0"/>
    <w:lvl w:ilvl="0" w:tplc="E3F2599E">
      <w:start w:val="1"/>
      <w:numFmt w:val="bullet"/>
      <w:lvlText w:val="•"/>
      <w:lvlJc w:val="left"/>
      <w:pPr>
        <w:ind w:left="316" w:hanging="215"/>
      </w:pPr>
    </w:lvl>
    <w:lvl w:ilvl="1" w:tplc="8ECE19D6">
      <w:numFmt w:val="decimal"/>
      <w:lvlText w:val=""/>
      <w:lvlJc w:val="left"/>
    </w:lvl>
    <w:lvl w:ilvl="2" w:tplc="AD3A0736">
      <w:numFmt w:val="decimal"/>
      <w:lvlText w:val=""/>
      <w:lvlJc w:val="left"/>
    </w:lvl>
    <w:lvl w:ilvl="3" w:tplc="255A604A">
      <w:numFmt w:val="decimal"/>
      <w:lvlText w:val=""/>
      <w:lvlJc w:val="left"/>
    </w:lvl>
    <w:lvl w:ilvl="4" w:tplc="50949E78">
      <w:numFmt w:val="decimal"/>
      <w:lvlText w:val=""/>
      <w:lvlJc w:val="left"/>
    </w:lvl>
    <w:lvl w:ilvl="5" w:tplc="F91AFF54">
      <w:numFmt w:val="decimal"/>
      <w:lvlText w:val=""/>
      <w:lvlJc w:val="left"/>
    </w:lvl>
    <w:lvl w:ilvl="6" w:tplc="DBDE6504">
      <w:numFmt w:val="decimal"/>
      <w:lvlText w:val=""/>
      <w:lvlJc w:val="left"/>
    </w:lvl>
    <w:lvl w:ilvl="7" w:tplc="B3DEEBBA">
      <w:numFmt w:val="decimal"/>
      <w:lvlText w:val=""/>
      <w:lvlJc w:val="left"/>
    </w:lvl>
    <w:lvl w:ilvl="8" w:tplc="DF6CC528">
      <w:numFmt w:val="decimal"/>
      <w:lvlText w:val=""/>
      <w:lvlJc w:val="left"/>
    </w:lvl>
  </w:abstractNum>
  <w:abstractNum w:abstractNumId="2" w15:restartNumberingAfterBreak="0">
    <w:nsid w:val="30057A70"/>
    <w:multiLevelType w:val="hybridMultilevel"/>
    <w:tmpl w:val="F62E055E"/>
    <w:lvl w:ilvl="0" w:tplc="49CC71FA">
      <w:start w:val="1"/>
      <w:numFmt w:val="bullet"/>
      <w:lvlText w:val="●"/>
      <w:lvlJc w:val="left"/>
      <w:pPr>
        <w:ind w:left="720" w:hanging="360"/>
      </w:pPr>
    </w:lvl>
    <w:lvl w:ilvl="1" w:tplc="FFC282EA">
      <w:start w:val="1"/>
      <w:numFmt w:val="bullet"/>
      <w:lvlText w:val="○"/>
      <w:lvlJc w:val="left"/>
      <w:pPr>
        <w:ind w:left="1440" w:hanging="360"/>
      </w:pPr>
    </w:lvl>
    <w:lvl w:ilvl="2" w:tplc="B3D6BF5C">
      <w:start w:val="1"/>
      <w:numFmt w:val="bullet"/>
      <w:lvlText w:val="■"/>
      <w:lvlJc w:val="left"/>
      <w:pPr>
        <w:ind w:left="2160" w:hanging="360"/>
      </w:pPr>
    </w:lvl>
    <w:lvl w:ilvl="3" w:tplc="AAF2B4C4">
      <w:start w:val="1"/>
      <w:numFmt w:val="bullet"/>
      <w:lvlText w:val="●"/>
      <w:lvlJc w:val="left"/>
      <w:pPr>
        <w:ind w:left="2880" w:hanging="360"/>
      </w:pPr>
    </w:lvl>
    <w:lvl w:ilvl="4" w:tplc="663A5934">
      <w:start w:val="1"/>
      <w:numFmt w:val="bullet"/>
      <w:lvlText w:val="○"/>
      <w:lvlJc w:val="left"/>
      <w:pPr>
        <w:ind w:left="3600" w:hanging="360"/>
      </w:pPr>
    </w:lvl>
    <w:lvl w:ilvl="5" w:tplc="92462FAA">
      <w:start w:val="1"/>
      <w:numFmt w:val="bullet"/>
      <w:lvlText w:val="■"/>
      <w:lvlJc w:val="left"/>
      <w:pPr>
        <w:ind w:left="4320" w:hanging="360"/>
      </w:pPr>
    </w:lvl>
    <w:lvl w:ilvl="6" w:tplc="D73838F4">
      <w:start w:val="1"/>
      <w:numFmt w:val="bullet"/>
      <w:lvlText w:val="●"/>
      <w:lvlJc w:val="left"/>
      <w:pPr>
        <w:ind w:left="5040" w:hanging="360"/>
      </w:pPr>
    </w:lvl>
    <w:lvl w:ilvl="7" w:tplc="4216A37E">
      <w:start w:val="1"/>
      <w:numFmt w:val="bullet"/>
      <w:lvlText w:val="●"/>
      <w:lvlJc w:val="left"/>
      <w:pPr>
        <w:ind w:left="5760" w:hanging="360"/>
      </w:pPr>
    </w:lvl>
    <w:lvl w:ilvl="8" w:tplc="8E1087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B82594"/>
    <w:multiLevelType w:val="hybridMultilevel"/>
    <w:tmpl w:val="AF469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130648">
    <w:abstractNumId w:val="2"/>
    <w:lvlOverride w:ilvl="0">
      <w:startOverride w:val="1"/>
    </w:lvlOverride>
  </w:num>
  <w:num w:numId="2" w16cid:durableId="1592545051">
    <w:abstractNumId w:val="1"/>
    <w:lvlOverride w:ilvl="0">
      <w:startOverride w:val="1"/>
    </w:lvlOverride>
  </w:num>
  <w:num w:numId="3" w16cid:durableId="1458600204">
    <w:abstractNumId w:val="0"/>
  </w:num>
  <w:num w:numId="4" w16cid:durableId="1952586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B81"/>
    <w:rsid w:val="00201CE9"/>
    <w:rsid w:val="002F7F33"/>
    <w:rsid w:val="003B0862"/>
    <w:rsid w:val="003F0B81"/>
    <w:rsid w:val="00CE4507"/>
    <w:rsid w:val="00D11EE4"/>
    <w:rsid w:val="00D5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3602"/>
  <w15:docId w15:val="{119D0186-F315-4EAD-8567-344CE51C5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Omotosho Johnson</cp:lastModifiedBy>
  <cp:revision>5</cp:revision>
  <dcterms:created xsi:type="dcterms:W3CDTF">2026-08-22T22:13:00Z</dcterms:created>
  <dcterms:modified xsi:type="dcterms:W3CDTF">2026-10-12T18:01:00Z</dcterms:modified>
</cp:coreProperties>
</file>