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36"/>
        </w:rPr>
        <w:t>EXTRACTION INTO THE SYSTEM</w:t>
      </w:r>
    </w:p>
    <w:p>
      <w:pPr>
        <w:jc w:val="center"/>
      </w:pPr>
      <w:r>
        <w:rPr>
          <w:sz w:val="24"/>
        </w:rPr>
        <w:t>Four-Section Classification Map</w:t>
      </w:r>
    </w:p>
    <w:p>
      <w:pPr>
        <w:jc w:val="center"/>
      </w:pPr>
      <w:r>
        <w:rPr>
          <w:color w:val="646464"/>
          <w:sz w:val="20"/>
        </w:rPr>
        <w:t>Heyer Livin LLC | Jair Valley | 2026-04-02</w:t>
      </w:r>
    </w:p>
    <w:p/>
    <w:p>
      <w:r>
        <w:rPr>
          <w:b/>
          <w:color w:val="1A5276"/>
          <w:sz w:val="28"/>
        </w:rPr>
        <w:t>SECTION 1 — HEYER LIVIN GLYPH RECORDS</w:t>
      </w:r>
    </w:p>
    <w:p>
      <w:r>
        <w:rPr>
          <w:i/>
          <w:sz w:val="18"/>
        </w:rPr>
        <w:t>Operations. Infrastructure. Deployment. Business SOPs. Platform relationships.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Arial" w:hAnsi="Arial"/>
                <w:b/>
                <w:sz w:val="16"/>
              </w:rPr>
              <w:t>FILE</w:t>
            </w:r>
          </w:p>
        </w:tc>
        <w:tc>
          <w:tcPr>
            <w:tcW w:type="dxa" w:w="1872"/>
          </w:tcPr>
          <w:p>
            <w:r>
              <w:rPr>
                <w:rFonts w:ascii="Arial" w:hAnsi="Arial"/>
                <w:b/>
                <w:sz w:val="16"/>
              </w:rPr>
              <w:t>SUBSECTION</w:t>
            </w:r>
          </w:p>
        </w:tc>
        <w:tc>
          <w:tcPr>
            <w:tcW w:type="dxa" w:w="1872"/>
          </w:tcPr>
          <w:p>
            <w:r>
              <w:rPr>
                <w:rFonts w:ascii="Arial" w:hAnsi="Arial"/>
                <w:b/>
                <w:sz w:val="16"/>
              </w:rPr>
              <w:t>STATUS</w:t>
            </w:r>
          </w:p>
        </w:tc>
        <w:tc>
          <w:tcPr>
            <w:tcW w:type="dxa" w:w="1872"/>
          </w:tcPr>
          <w:p>
            <w:r>
              <w:rPr>
                <w:rFonts w:ascii="Arial" w:hAnsi="Arial"/>
                <w:b/>
                <w:sz w:val="16"/>
              </w:rPr>
              <w:t>VISIBILITY</w:t>
            </w:r>
          </w:p>
        </w:tc>
        <w:tc>
          <w:tcPr>
            <w:tcW w:type="dxa" w:w="1872"/>
          </w:tcPr>
          <w:p>
            <w:r>
              <w:rPr>
                <w:rFonts w:ascii="Arial" w:hAnsi="Arial"/>
                <w:b/>
                <w:sz w:val="16"/>
              </w:rPr>
              <w:t>CLASSIFICATION REASON</w:t>
            </w:r>
          </w:p>
        </w:tc>
      </w:tr>
      <w:tr>
        <w:tc>
          <w:tcPr>
            <w:tcW w:type="dxa" w:w="1872"/>
          </w:tcPr>
          <w:p>
            <w:r>
              <w:rPr>
                <w:rFonts w:ascii="Arial" w:hAnsi="Arial"/>
                <w:sz w:val="16"/>
              </w:rPr>
              <w:t>You're right. A grant search with no website...</w:t>
            </w:r>
          </w:p>
        </w:tc>
        <w:tc>
          <w:tcPr>
            <w:tcW w:type="dxa" w:w="1872"/>
          </w:tcPr>
          <w:p>
            <w:r>
              <w:rPr>
                <w:rFonts w:ascii="Arial" w:hAnsi="Arial"/>
                <w:sz w:val="16"/>
              </w:rPr>
              <w:t>active build records / site audit</w:t>
            </w:r>
          </w:p>
        </w:tc>
        <w:tc>
          <w:tcPr>
            <w:tcW w:type="dxa" w:w="1872"/>
          </w:tcPr>
          <w:p>
            <w:r>
              <w:rPr>
                <w:rFonts w:ascii="Arial" w:hAnsi="Arial"/>
                <w:sz w:val="16"/>
              </w:rPr>
              <w:t>correctly placed</w:t>
            </w:r>
          </w:p>
        </w:tc>
        <w:tc>
          <w:tcPr>
            <w:tcW w:type="dxa" w:w="1872"/>
          </w:tcPr>
          <w:p>
            <w:r>
              <w:rPr>
                <w:rFonts w:ascii="Arial" w:hAnsi="Arial"/>
                <w:sz w:val="16"/>
              </w:rPr>
              <w:t>INTERNAL</w:t>
            </w:r>
          </w:p>
        </w:tc>
        <w:tc>
          <w:tcPr>
            <w:tcW w:type="dxa" w:w="1872"/>
          </w:tcPr>
          <w:p>
            <w:r>
              <w:rPr>
                <w:rFonts w:ascii="Arial" w:hAnsi="Arial"/>
                <w:sz w:val="16"/>
              </w:rPr>
              <w:t>Full site inventory: what exists, what's broken, what's missing. 3 of 5 Fourthwall blocks present. DNS parked. 4 competing site builds identified. Deployment sequence specified.</w:t>
            </w:r>
          </w:p>
        </w:tc>
      </w:tr>
      <w:tr>
        <w:tc>
          <w:tcPr>
            <w:tcW w:type="dxa" w:w="1872"/>
          </w:tcPr>
          <w:p>
            <w:r>
              <w:rPr>
                <w:rFonts w:ascii="Arial" w:hAnsi="Arial"/>
                <w:sz w:val="16"/>
              </w:rPr>
              <w:t>What ships first: Family Transmission Calculator...</w:t>
            </w:r>
          </w:p>
        </w:tc>
        <w:tc>
          <w:tcPr>
            <w:tcW w:type="dxa" w:w="1872"/>
          </w:tcPr>
          <w:p>
            <w:r>
              <w:rPr>
                <w:rFonts w:ascii="Arial" w:hAnsi="Arial"/>
                <w:sz w:val="16"/>
              </w:rPr>
              <w:t>workflows / deployment sequence</w:t>
            </w:r>
          </w:p>
        </w:tc>
        <w:tc>
          <w:tcPr>
            <w:tcW w:type="dxa" w:w="1872"/>
          </w:tcPr>
          <w:p>
            <w:r>
              <w:rPr>
                <w:rFonts w:ascii="Arial" w:hAnsi="Arial"/>
                <w:sz w:val="16"/>
              </w:rPr>
              <w:t>correctly placed</w:t>
            </w:r>
          </w:p>
        </w:tc>
        <w:tc>
          <w:tcPr>
            <w:tcW w:type="dxa" w:w="1872"/>
          </w:tcPr>
          <w:p>
            <w:r>
              <w:rPr>
                <w:rFonts w:ascii="Arial" w:hAnsi="Arial"/>
                <w:sz w:val="16"/>
              </w:rPr>
              <w:t>INTERNAL</w:t>
            </w:r>
          </w:p>
        </w:tc>
        <w:tc>
          <w:tcPr>
            <w:tcW w:type="dxa" w:w="1872"/>
          </w:tcPr>
          <w:p>
            <w:r>
              <w:rPr>
                <w:rFonts w:ascii="Arial" w:hAnsi="Arial"/>
                <w:sz w:val="16"/>
              </w:rPr>
              <w:t>90-day execution plan. March 25 through June 15. Pricing, product launch order, Gumroad setup, Fourthwall storefront, Haas admissions email, patent timeline. Commerce funnel: free tool &gt; paid tool &gt; consultation &gt; license.</w:t>
            </w:r>
          </w:p>
        </w:tc>
      </w:tr>
      <w:tr>
        <w:tc>
          <w:tcPr>
            <w:tcW w:type="dxa" w:w="1872"/>
          </w:tcPr>
          <w:p>
            <w:r>
              <w:rPr>
                <w:rFonts w:ascii="Arial" w:hAnsi="Arial"/>
                <w:sz w:val="16"/>
              </w:rPr>
              <w:t>members.2025-12-16.csv</w:t>
            </w:r>
          </w:p>
        </w:tc>
        <w:tc>
          <w:tcPr>
            <w:tcW w:type="dxa" w:w="1872"/>
          </w:tcPr>
          <w:p>
            <w:r>
              <w:rPr>
                <w:rFonts w:ascii="Arial" w:hAnsi="Arial"/>
                <w:sz w:val="16"/>
              </w:rPr>
              <w:t>business operations / membership</w:t>
            </w:r>
          </w:p>
        </w:tc>
        <w:tc>
          <w:tcPr>
            <w:tcW w:type="dxa" w:w="1872"/>
          </w:tcPr>
          <w:p>
            <w:r>
              <w:rPr>
                <w:rFonts w:ascii="Arial" w:hAnsi="Arial"/>
                <w:sz w:val="16"/>
              </w:rPr>
              <w:t>correctly placed</w:t>
            </w:r>
          </w:p>
        </w:tc>
        <w:tc>
          <w:tcPr>
            <w:tcW w:type="dxa" w:w="1872"/>
          </w:tcPr>
          <w:p>
            <w:r>
              <w:rPr>
                <w:rFonts w:ascii="Arial" w:hAnsi="Arial"/>
                <w:sz w:val="16"/>
              </w:rPr>
              <w:t>INTERNAL</w:t>
            </w:r>
          </w:p>
        </w:tc>
        <w:tc>
          <w:tcPr>
            <w:tcW w:type="dxa" w:w="1872"/>
          </w:tcPr>
          <w:p>
            <w:r>
              <w:rPr>
                <w:rFonts w:ascii="Arial" w:hAnsi="Arial"/>
                <w:sz w:val="16"/>
              </w:rPr>
              <w:t>Fourthwall membership data. 41 members. Email, name, subscription status, Stripe IDs, labels, tiers. CRM source file.</w:t>
            </w:r>
          </w:p>
        </w:tc>
      </w:tr>
      <w:tr>
        <w:tc>
          <w:tcPr>
            <w:tcW w:type="dxa" w:w="1872"/>
          </w:tcPr>
          <w:p>
            <w:r>
              <w:rPr>
                <w:rFonts w:ascii="Arial" w:hAnsi="Arial"/>
                <w:sz w:val="16"/>
              </w:rPr>
              <w:t>civicrm.tar.gz + 8 extensions</w:t>
            </w:r>
          </w:p>
        </w:tc>
        <w:tc>
          <w:tcPr>
            <w:tcW w:type="dxa" w:w="1872"/>
          </w:tcPr>
          <w:p>
            <w:r>
              <w:rPr>
                <w:rFonts w:ascii="Arial" w:hAnsi="Arial"/>
                <w:sz w:val="16"/>
              </w:rPr>
              <w:t>systems / CRM infrastructure</w:t>
            </w:r>
          </w:p>
        </w:tc>
        <w:tc>
          <w:tcPr>
            <w:tcW w:type="dxa" w:w="1872"/>
          </w:tcPr>
          <w:p>
            <w:r>
              <w:rPr>
                <w:rFonts w:ascii="Arial" w:hAnsi="Arial"/>
                <w:sz w:val="16"/>
              </w:rPr>
              <w:t>correctly placed</w:t>
            </w:r>
          </w:p>
        </w:tc>
        <w:tc>
          <w:tcPr>
            <w:tcW w:type="dxa" w:w="1872"/>
          </w:tcPr>
          <w:p>
            <w:r>
              <w:rPr>
                <w:rFonts w:ascii="Arial" w:hAnsi="Arial"/>
                <w:sz w:val="16"/>
              </w:rPr>
              <w:t>INTERNAL</w:t>
            </w:r>
          </w:p>
        </w:tc>
        <w:tc>
          <w:tcPr>
            <w:tcW w:type="dxa" w:w="1872"/>
          </w:tcPr>
          <w:p>
            <w:r>
              <w:rPr>
                <w:rFonts w:ascii="Arial" w:hAnsi="Arial"/>
                <w:sz w:val="16"/>
              </w:rPr>
              <w:t>CiviCRM core + extensions (gift memberships, tokens, CSS inline, angular profiles, custom search, form defaults, member dashboard, payment processing). Membership management stack.</w:t>
            </w:r>
          </w:p>
        </w:tc>
      </w:tr>
      <w:tr>
        <w:tc>
          <w:tcPr>
            <w:tcW w:type="dxa" w:w="1872"/>
          </w:tcPr>
          <w:p>
            <w:r>
              <w:rPr>
                <w:rFonts w:ascii="Arial" w:hAnsi="Arial"/>
                <w:sz w:val="16"/>
              </w:rPr>
              <w:t>civiwci.tar.gz</w:t>
            </w:r>
          </w:p>
        </w:tc>
        <w:tc>
          <w:tcPr>
            <w:tcW w:type="dxa" w:w="1872"/>
          </w:tcPr>
          <w:p>
            <w:r>
              <w:rPr>
                <w:rFonts w:ascii="Arial" w:hAnsi="Arial"/>
                <w:sz w:val="16"/>
              </w:rPr>
              <w:t>systems / CRM infrastructure</w:t>
            </w:r>
          </w:p>
        </w:tc>
        <w:tc>
          <w:tcPr>
            <w:tcW w:type="dxa" w:w="1872"/>
          </w:tcPr>
          <w:p>
            <w:r>
              <w:rPr>
                <w:rFonts w:ascii="Arial" w:hAnsi="Arial"/>
                <w:sz w:val="16"/>
              </w:rPr>
              <w:t>correctly placed</w:t>
            </w:r>
          </w:p>
        </w:tc>
        <w:tc>
          <w:tcPr>
            <w:tcW w:type="dxa" w:w="1872"/>
          </w:tcPr>
          <w:p>
            <w:r>
              <w:rPr>
                <w:rFonts w:ascii="Arial" w:hAnsi="Arial"/>
                <w:sz w:val="16"/>
              </w:rPr>
              <w:t>INTERNAL</w:t>
            </w:r>
          </w:p>
        </w:tc>
        <w:tc>
          <w:tcPr>
            <w:tcW w:type="dxa" w:w="1872"/>
          </w:tcPr>
          <w:p>
            <w:r>
              <w:rPr>
                <w:rFonts w:ascii="Arial" w:hAnsi="Arial"/>
                <w:sz w:val="16"/>
              </w:rPr>
              <w:t>CiviCRM integration component.</w:t>
            </w:r>
          </w:p>
        </w:tc>
      </w:tr>
      <w:tr>
        <w:tc>
          <w:tcPr>
            <w:tcW w:type="dxa" w:w="1872"/>
          </w:tcPr>
          <w:p>
            <w:r>
              <w:rPr>
                <w:rFonts w:ascii="Arial" w:hAnsi="Arial"/>
                <w:sz w:val="16"/>
              </w:rPr>
              <w:t>dbd-modules-libs-themes.tgz</w:t>
            </w:r>
          </w:p>
        </w:tc>
        <w:tc>
          <w:tcPr>
            <w:tcW w:type="dxa" w:w="1872"/>
          </w:tcPr>
          <w:p>
            <w:r>
              <w:rPr>
                <w:rFonts w:ascii="Arial" w:hAnsi="Arial"/>
                <w:sz w:val="16"/>
              </w:rPr>
              <w:t>systems / CMS infrastructure</w:t>
            </w:r>
          </w:p>
        </w:tc>
        <w:tc>
          <w:tcPr>
            <w:tcW w:type="dxa" w:w="1872"/>
          </w:tcPr>
          <w:p>
            <w:r>
              <w:rPr>
                <w:rFonts w:ascii="Arial" w:hAnsi="Arial"/>
                <w:sz w:val="16"/>
              </w:rPr>
              <w:t>correctly placed</w:t>
            </w:r>
          </w:p>
        </w:tc>
        <w:tc>
          <w:tcPr>
            <w:tcW w:type="dxa" w:w="1872"/>
          </w:tcPr>
          <w:p>
            <w:r>
              <w:rPr>
                <w:rFonts w:ascii="Arial" w:hAnsi="Arial"/>
                <w:sz w:val="16"/>
              </w:rPr>
              <w:t>INTERNAL</w:t>
            </w:r>
          </w:p>
        </w:tc>
        <w:tc>
          <w:tcPr>
            <w:tcW w:type="dxa" w:w="1872"/>
          </w:tcPr>
          <w:p>
            <w:r>
              <w:rPr>
                <w:rFonts w:ascii="Arial" w:hAnsi="Arial"/>
                <w:sz w:val="16"/>
              </w:rPr>
              <w:t>Drupal modules, libraries, themes. CMS backend for site deployment.</w:t>
            </w:r>
          </w:p>
        </w:tc>
      </w:tr>
      <w:tr>
        <w:tc>
          <w:tcPr>
            <w:tcW w:type="dxa" w:w="1872"/>
          </w:tcPr>
          <w:p>
            <w:r>
              <w:rPr>
                <w:rFonts w:ascii="Arial" w:hAnsi="Arial"/>
                <w:sz w:val="16"/>
              </w:rPr>
              <w:t>my-modules-libs-themes.tgz</w:t>
            </w:r>
          </w:p>
        </w:tc>
        <w:tc>
          <w:tcPr>
            <w:tcW w:type="dxa" w:w="1872"/>
          </w:tcPr>
          <w:p>
            <w:r>
              <w:rPr>
                <w:rFonts w:ascii="Arial" w:hAnsi="Arial"/>
                <w:sz w:val="16"/>
              </w:rPr>
              <w:t>systems / CMS infrastructure</w:t>
            </w:r>
          </w:p>
        </w:tc>
        <w:tc>
          <w:tcPr>
            <w:tcW w:type="dxa" w:w="1872"/>
          </w:tcPr>
          <w:p>
            <w:r>
              <w:rPr>
                <w:rFonts w:ascii="Arial" w:hAnsi="Arial"/>
                <w:sz w:val="16"/>
              </w:rPr>
              <w:t>correctly placed</w:t>
            </w:r>
          </w:p>
        </w:tc>
        <w:tc>
          <w:tcPr>
            <w:tcW w:type="dxa" w:w="1872"/>
          </w:tcPr>
          <w:p>
            <w:r>
              <w:rPr>
                <w:rFonts w:ascii="Arial" w:hAnsi="Arial"/>
                <w:sz w:val="16"/>
              </w:rPr>
              <w:t>INTERNAL</w:t>
            </w:r>
          </w:p>
        </w:tc>
        <w:tc>
          <w:tcPr>
            <w:tcW w:type="dxa" w:w="1872"/>
          </w:tcPr>
          <w:p>
            <w:r>
              <w:rPr>
                <w:rFonts w:ascii="Arial" w:hAnsi="Arial"/>
                <w:sz w:val="16"/>
              </w:rPr>
              <w:t>Custom Drupal modules. Site-specific configuration.</w:t>
            </w:r>
          </w:p>
        </w:tc>
      </w:tr>
      <w:tr>
        <w:tc>
          <w:tcPr>
            <w:tcW w:type="dxa" w:w="1872"/>
          </w:tcPr>
          <w:p>
            <w:r>
              <w:rPr>
                <w:rFonts w:ascii="Arial" w:hAnsi="Arial"/>
                <w:sz w:val="16"/>
              </w:rPr>
              <w:t>directory.tar.gz</w:t>
            </w:r>
          </w:p>
        </w:tc>
        <w:tc>
          <w:tcPr>
            <w:tcW w:type="dxa" w:w="1872"/>
          </w:tcPr>
          <w:p>
            <w:r>
              <w:rPr>
                <w:rFonts w:ascii="Arial" w:hAnsi="Arial"/>
                <w:sz w:val="16"/>
              </w:rPr>
              <w:t>systems / knowledge infrastructure</w:t>
            </w:r>
          </w:p>
        </w:tc>
        <w:tc>
          <w:tcPr>
            <w:tcW w:type="dxa" w:w="1872"/>
          </w:tcPr>
          <w:p>
            <w:r>
              <w:rPr>
                <w:rFonts w:ascii="Arial" w:hAnsi="Arial"/>
                <w:sz w:val="16"/>
              </w:rPr>
              <w:t>correctly placed</w:t>
            </w:r>
          </w:p>
        </w:tc>
        <w:tc>
          <w:tcPr>
            <w:tcW w:type="dxa" w:w="1872"/>
          </w:tcPr>
          <w:p>
            <w:r>
              <w:rPr>
                <w:rFonts w:ascii="Arial" w:hAnsi="Arial"/>
                <w:sz w:val="16"/>
              </w:rPr>
              <w:t>INTERNAL</w:t>
            </w:r>
          </w:p>
        </w:tc>
        <w:tc>
          <w:tcPr>
            <w:tcW w:type="dxa" w:w="1872"/>
          </w:tcPr>
          <w:p>
            <w:r>
              <w:rPr>
                <w:rFonts w:ascii="Arial" w:hAnsi="Arial"/>
                <w:sz w:val="16"/>
              </w:rPr>
              <w:t>MediaWiki 1.31.16 installation. Internal knowledge base / wiki system.</w:t>
            </w:r>
          </w:p>
        </w:tc>
      </w:tr>
      <w:tr>
        <w:tc>
          <w:tcPr>
            <w:tcW w:type="dxa" w:w="1872"/>
          </w:tcPr>
          <w:p>
            <w:r>
              <w:rPr>
                <w:rFonts w:ascii="Arial" w:hAnsi="Arial"/>
                <w:sz w:val="16"/>
              </w:rPr>
              <w:t>gnu-social.tgz</w:t>
            </w:r>
          </w:p>
        </w:tc>
        <w:tc>
          <w:tcPr>
            <w:tcW w:type="dxa" w:w="1872"/>
          </w:tcPr>
          <w:p>
            <w:r>
              <w:rPr>
                <w:rFonts w:ascii="Arial" w:hAnsi="Arial"/>
                <w:sz w:val="16"/>
              </w:rPr>
              <w:t>systems / federated social</w:t>
            </w:r>
          </w:p>
        </w:tc>
        <w:tc>
          <w:tcPr>
            <w:tcW w:type="dxa" w:w="1872"/>
          </w:tcPr>
          <w:p>
            <w:r>
              <w:rPr>
                <w:rFonts w:ascii="Arial" w:hAnsi="Arial"/>
                <w:sz w:val="16"/>
              </w:rPr>
              <w:t>correctly placed</w:t>
            </w:r>
          </w:p>
        </w:tc>
        <w:tc>
          <w:tcPr>
            <w:tcW w:type="dxa" w:w="1872"/>
          </w:tcPr>
          <w:p>
            <w:r>
              <w:rPr>
                <w:rFonts w:ascii="Arial" w:hAnsi="Arial"/>
                <w:sz w:val="16"/>
              </w:rPr>
              <w:t>INTERNAL</w:t>
            </w:r>
          </w:p>
        </w:tc>
        <w:tc>
          <w:tcPr>
            <w:tcW w:type="dxa" w:w="1872"/>
          </w:tcPr>
          <w:p>
            <w:r>
              <w:rPr>
                <w:rFonts w:ascii="Arial" w:hAnsi="Arial"/>
                <w:sz w:val="16"/>
              </w:rPr>
              <w:t>GNU Social (StatusNet). Federated social networking platform. Part of decentralized infrastructure vision.</w:t>
            </w:r>
          </w:p>
        </w:tc>
      </w:tr>
      <w:tr>
        <w:tc>
          <w:tcPr>
            <w:tcW w:type="dxa" w:w="1872"/>
          </w:tcPr>
          <w:p>
            <w:r>
              <w:rPr>
                <w:rFonts w:ascii="Arial" w:hAnsi="Arial"/>
                <w:sz w:val="16"/>
              </w:rPr>
              <w:t>DNS zone file (in CLAUDE.md)</w:t>
            </w:r>
          </w:p>
        </w:tc>
        <w:tc>
          <w:tcPr>
            <w:tcW w:type="dxa" w:w="1872"/>
          </w:tcPr>
          <w:p>
            <w:r>
              <w:rPr>
                <w:rFonts w:ascii="Arial" w:hAnsi="Arial"/>
                <w:sz w:val="16"/>
              </w:rPr>
              <w:t>infrastructure / DNS</w:t>
            </w:r>
          </w:p>
        </w:tc>
        <w:tc>
          <w:tcPr>
            <w:tcW w:type="dxa" w:w="1872"/>
          </w:tcPr>
          <w:p>
            <w:r>
              <w:rPr>
                <w:rFonts w:ascii="Arial" w:hAnsi="Arial"/>
                <w:sz w:val="16"/>
              </w:rPr>
              <w:t>correctly placed</w:t>
            </w:r>
          </w:p>
        </w:tc>
        <w:tc>
          <w:tcPr>
            <w:tcW w:type="dxa" w:w="1872"/>
          </w:tcPr>
          <w:p>
            <w:r>
              <w:rPr>
                <w:rFonts w:ascii="Arial" w:hAnsi="Arial"/>
                <w:sz w:val="16"/>
              </w:rPr>
              <w:t>INTERNAL</w:t>
            </w:r>
          </w:p>
        </w:tc>
        <w:tc>
          <w:tcPr>
            <w:tcW w:type="dxa" w:w="1872"/>
          </w:tcPr>
          <w:p>
            <w:r>
              <w:rPr>
                <w:rFonts w:ascii="Arial" w:hAnsi="Arial"/>
                <w:sz w:val="16"/>
              </w:rPr>
              <w:t>heyerlivin.com zone. SOA, A records (8glyphs27, gmb, instagram pointing to 15.197.225.128 / 3.33.251.168), CNAME for pay (Gumroad), MX for iCloud mail, DKIM for Mailchimp, GitHub Pages challenge TXT. Root A = PARKED (site down).</w:t>
            </w:r>
          </w:p>
        </w:tc>
      </w:tr>
      <w:tr>
        <w:tc>
          <w:tcPr>
            <w:tcW w:type="dxa" w:w="1872"/>
          </w:tcPr>
          <w:p>
            <w:r>
              <w:rPr>
                <w:rFonts w:ascii="Arial" w:hAnsi="Arial"/>
                <w:sz w:val="16"/>
              </w:rPr>
              <w:t>Heyer_Livin_Commerce_Architecture.html</w:t>
            </w:r>
          </w:p>
        </w:tc>
        <w:tc>
          <w:tcPr>
            <w:tcW w:type="dxa" w:w="1872"/>
          </w:tcPr>
          <w:p>
            <w:r>
              <w:rPr>
                <w:rFonts w:ascii="Arial" w:hAnsi="Arial"/>
                <w:sz w:val="16"/>
              </w:rPr>
              <w:t>infrastructure / commerce</w:t>
            </w:r>
          </w:p>
        </w:tc>
        <w:tc>
          <w:tcPr>
            <w:tcW w:type="dxa" w:w="1872"/>
          </w:tcPr>
          <w:p>
            <w:r>
              <w:rPr>
                <w:rFonts w:ascii="Arial" w:hAnsi="Arial"/>
                <w:sz w:val="16"/>
              </w:rPr>
              <w:t>correctly placed</w:t>
            </w:r>
          </w:p>
        </w:tc>
        <w:tc>
          <w:tcPr>
            <w:tcW w:type="dxa" w:w="1872"/>
          </w:tcPr>
          <w:p>
            <w:r>
              <w:rPr>
                <w:rFonts w:ascii="Arial" w:hAnsi="Arial"/>
                <w:sz w:val="16"/>
              </w:rPr>
              <w:t>INTERNAL</w:t>
            </w:r>
          </w:p>
        </w:tc>
        <w:tc>
          <w:tcPr>
            <w:tcW w:type="dxa" w:w="1872"/>
          </w:tcPr>
          <w:p>
            <w:r>
              <w:rPr>
                <w:rFonts w:ascii="Arial" w:hAnsi="Arial"/>
                <w:sz w:val="16"/>
              </w:rPr>
              <w:t>Commerce stack architecture. Referenced in site audit.</w:t>
            </w:r>
          </w:p>
        </w:tc>
      </w:tr>
      <w:tr>
        <w:tc>
          <w:tcPr>
            <w:tcW w:type="dxa" w:w="1872"/>
          </w:tcPr>
          <w:p>
            <w:r>
              <w:rPr>
                <w:rFonts w:ascii="Arial" w:hAnsi="Arial"/>
                <w:sz w:val="16"/>
              </w:rPr>
              <w:t>DEPLOY.md + DEPLOYMENT_RUNBOOK.md</w:t>
            </w:r>
          </w:p>
        </w:tc>
        <w:tc>
          <w:tcPr>
            <w:tcW w:type="dxa" w:w="1872"/>
          </w:tcPr>
          <w:p>
            <w:r>
              <w:rPr>
                <w:rFonts w:ascii="Arial" w:hAnsi="Arial"/>
                <w:sz w:val="16"/>
              </w:rPr>
              <w:t>SOPs / deployment</w:t>
            </w:r>
          </w:p>
        </w:tc>
        <w:tc>
          <w:tcPr>
            <w:tcW w:type="dxa" w:w="1872"/>
          </w:tcPr>
          <w:p>
            <w:r>
              <w:rPr>
                <w:rFonts w:ascii="Arial" w:hAnsi="Arial"/>
                <w:sz w:val="16"/>
              </w:rPr>
              <w:t>correctly placed</w:t>
            </w:r>
          </w:p>
        </w:tc>
        <w:tc>
          <w:tcPr>
            <w:tcW w:type="dxa" w:w="1872"/>
          </w:tcPr>
          <w:p>
            <w:r>
              <w:rPr>
                <w:rFonts w:ascii="Arial" w:hAnsi="Arial"/>
                <w:sz w:val="16"/>
              </w:rPr>
              <w:t>INTERNAL</w:t>
            </w:r>
          </w:p>
        </w:tc>
        <w:tc>
          <w:tcPr>
            <w:tcW w:type="dxa" w:w="1872"/>
          </w:tcPr>
          <w:p>
            <w:r>
              <w:rPr>
                <w:rFonts w:ascii="Arial" w:hAnsi="Arial"/>
                <w:sz w:val="16"/>
              </w:rPr>
              <w:t>Deployment procedures. Redundant pair (need consolidation).</w:t>
            </w:r>
          </w:p>
        </w:tc>
      </w:tr>
      <w:tr>
        <w:tc>
          <w:tcPr>
            <w:tcW w:type="dxa" w:w="1872"/>
          </w:tcPr>
          <w:p>
            <w:r>
              <w:rPr>
                <w:rFonts w:ascii="Arial" w:hAnsi="Arial"/>
                <w:sz w:val="16"/>
              </w:rPr>
              <w:t>Legal_Forms_Draft_Jair_Valley.docx</w:t>
            </w:r>
          </w:p>
        </w:tc>
        <w:tc>
          <w:tcPr>
            <w:tcW w:type="dxa" w:w="1872"/>
          </w:tcPr>
          <w:p>
            <w:r>
              <w:rPr>
                <w:rFonts w:ascii="Arial" w:hAnsi="Arial"/>
                <w:sz w:val="16"/>
              </w:rPr>
              <w:t>business operations / legal</w:t>
            </w:r>
          </w:p>
        </w:tc>
        <w:tc>
          <w:tcPr>
            <w:tcW w:type="dxa" w:w="1872"/>
          </w:tcPr>
          <w:p>
            <w:r>
              <w:rPr>
                <w:rFonts w:ascii="Arial" w:hAnsi="Arial"/>
                <w:sz w:val="16"/>
              </w:rPr>
              <w:t>correctly placed</w:t>
            </w:r>
          </w:p>
        </w:tc>
        <w:tc>
          <w:tcPr>
            <w:tcW w:type="dxa" w:w="1872"/>
          </w:tcPr>
          <w:p>
            <w:r>
              <w:rPr>
                <w:rFonts w:ascii="Arial" w:hAnsi="Arial"/>
                <w:sz w:val="16"/>
              </w:rPr>
              <w:t>INTERNAL</w:t>
            </w:r>
          </w:p>
        </w:tc>
        <w:tc>
          <w:tcPr>
            <w:tcW w:type="dxa" w:w="1872"/>
          </w:tcPr>
          <w:p>
            <w:r>
              <w:rPr>
                <w:rFonts w:ascii="Arial" w:hAnsi="Arial"/>
                <w:sz w:val="16"/>
              </w:rPr>
              <w:t>UD-105 filed from this. Active legal filings.</w:t>
            </w:r>
          </w:p>
        </w:tc>
      </w:tr>
      <w:tr>
        <w:tc>
          <w:tcPr>
            <w:tcW w:type="dxa" w:w="1872"/>
          </w:tcPr>
          <w:p>
            <w:r>
              <w:rPr>
                <w:rFonts w:ascii="Arial" w:hAnsi="Arial"/>
                <w:sz w:val="16"/>
              </w:rPr>
              <w:t>FUNDING.yml</w:t>
            </w:r>
          </w:p>
        </w:tc>
        <w:tc>
          <w:tcPr>
            <w:tcW w:type="dxa" w:w="1872"/>
          </w:tcPr>
          <w:p>
            <w:r>
              <w:rPr>
                <w:rFonts w:ascii="Arial" w:hAnsi="Arial"/>
                <w:sz w:val="16"/>
              </w:rPr>
              <w:t>business operations / sponsor config</w:t>
            </w:r>
          </w:p>
        </w:tc>
        <w:tc>
          <w:tcPr>
            <w:tcW w:type="dxa" w:w="1872"/>
          </w:tcPr>
          <w:p>
            <w:r>
              <w:rPr>
                <w:rFonts w:ascii="Arial" w:hAnsi="Arial"/>
                <w:sz w:val="16"/>
              </w:rPr>
              <w:t>correctly placed</w:t>
            </w:r>
          </w:p>
        </w:tc>
        <w:tc>
          <w:tcPr>
            <w:tcW w:type="dxa" w:w="1872"/>
          </w:tcPr>
          <w:p>
            <w:r>
              <w:rPr>
                <w:rFonts w:ascii="Arial" w:hAnsi="Arial"/>
                <w:sz w:val="16"/>
              </w:rPr>
              <w:t>INTERNAL</w:t>
            </w:r>
          </w:p>
        </w:tc>
        <w:tc>
          <w:tcPr>
            <w:tcW w:type="dxa" w:w="1872"/>
          </w:tcPr>
          <w:p>
            <w:r>
              <w:rPr>
                <w:rFonts w:ascii="Arial" w:hAnsi="Arial"/>
                <w:sz w:val="16"/>
              </w:rPr>
              <w:t>GitHub sponsor button configuration.</w:t>
            </w:r>
          </w:p>
        </w:tc>
      </w:tr>
      <w:tr>
        <w:tc>
          <w:tcPr>
            <w:tcW w:type="dxa" w:w="1872"/>
          </w:tcPr>
          <w:p>
            <w:r>
              <w:rPr>
                <w:rFonts w:ascii="Arial" w:hAnsi="Arial"/>
                <w:sz w:val="16"/>
              </w:rPr>
              <w:t>notion-proxy.js</w:t>
            </w:r>
          </w:p>
        </w:tc>
        <w:tc>
          <w:tcPr>
            <w:tcW w:type="dxa" w:w="1872"/>
          </w:tcPr>
          <w:p>
            <w:r>
              <w:rPr>
                <w:rFonts w:ascii="Arial" w:hAnsi="Arial"/>
                <w:sz w:val="16"/>
              </w:rPr>
              <w:t>infrastructure / integrations</w:t>
            </w:r>
          </w:p>
        </w:tc>
        <w:tc>
          <w:tcPr>
            <w:tcW w:type="dxa" w:w="1872"/>
          </w:tcPr>
          <w:p>
            <w:r>
              <w:rPr>
                <w:rFonts w:ascii="Arial" w:hAnsi="Arial"/>
                <w:sz w:val="16"/>
              </w:rPr>
              <w:t>correctly placed</w:t>
            </w:r>
          </w:p>
        </w:tc>
        <w:tc>
          <w:tcPr>
            <w:tcW w:type="dxa" w:w="1872"/>
          </w:tcPr>
          <w:p>
            <w:r>
              <w:rPr>
                <w:rFonts w:ascii="Arial" w:hAnsi="Arial"/>
                <w:sz w:val="16"/>
              </w:rPr>
              <w:t>INTERNAL</w:t>
            </w:r>
          </w:p>
        </w:tc>
        <w:tc>
          <w:tcPr>
            <w:tcW w:type="dxa" w:w="1872"/>
          </w:tcPr>
          <w:p>
            <w:r>
              <w:rPr>
                <w:rFonts w:ascii="Arial" w:hAnsi="Arial"/>
                <w:sz w:val="16"/>
              </w:rPr>
              <w:t>Cloudflare Worker. Notion proxy for site content.</w:t>
            </w:r>
          </w:p>
        </w:tc>
      </w:tr>
      <w:tr>
        <w:tc>
          <w:tcPr>
            <w:tcW w:type="dxa" w:w="1872"/>
          </w:tcPr>
          <w:p>
            <w:r>
              <w:rPr>
                <w:rFonts w:ascii="Arial" w:hAnsi="Arial"/>
                <w:sz w:val="16"/>
              </w:rPr>
              <w:t>Rate card HTML</w:t>
            </w:r>
          </w:p>
        </w:tc>
        <w:tc>
          <w:tcPr>
            <w:tcW w:type="dxa" w:w="1872"/>
          </w:tcPr>
          <w:p>
            <w:r>
              <w:rPr>
                <w:rFonts w:ascii="Arial" w:hAnsi="Arial"/>
                <w:sz w:val="16"/>
              </w:rPr>
              <w:t>business operations / pricing</w:t>
            </w:r>
          </w:p>
        </w:tc>
        <w:tc>
          <w:tcPr>
            <w:tcW w:type="dxa" w:w="1872"/>
          </w:tcPr>
          <w:p>
            <w:r>
              <w:rPr>
                <w:rFonts w:ascii="Arial" w:hAnsi="Arial"/>
                <w:sz w:val="16"/>
              </w:rPr>
              <w:t>correctly placed</w:t>
            </w:r>
          </w:p>
        </w:tc>
        <w:tc>
          <w:tcPr>
            <w:tcW w:type="dxa" w:w="1872"/>
          </w:tcPr>
          <w:p>
            <w:r>
              <w:rPr>
                <w:rFonts w:ascii="Arial" w:hAnsi="Arial"/>
                <w:sz w:val="16"/>
              </w:rPr>
              <w:t>INTERNAL</w:t>
            </w:r>
          </w:p>
        </w:tc>
        <w:tc>
          <w:tcPr>
            <w:tcW w:type="dxa" w:w="1872"/>
          </w:tcPr>
          <w:p>
            <w:r>
              <w:rPr>
                <w:rFonts w:ascii="Arial" w:hAnsi="Arial"/>
                <w:sz w:val="16"/>
              </w:rPr>
              <w:t>Service pricing structure.</w:t>
            </w:r>
          </w:p>
        </w:tc>
      </w:tr>
    </w:tbl>
    <w:p/>
    <w:p>
      <w:r>
        <w:rPr>
          <w:b/>
          <w:color w:val="D35400"/>
          <w:sz w:val="28"/>
        </w:rPr>
        <w:t>SECTION 2 — GLYPH KITCHEN</w:t>
      </w:r>
    </w:p>
    <w:p>
      <w:r>
        <w:rPr>
          <w:i/>
          <w:sz w:val="18"/>
        </w:rPr>
        <w:t>Research. Experiments. Source materials. Methods. Working drafts. Prototype logic.</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Arial" w:hAnsi="Arial"/>
                <w:b/>
                <w:sz w:val="16"/>
              </w:rPr>
              <w:t>FILE</w:t>
            </w:r>
          </w:p>
        </w:tc>
        <w:tc>
          <w:tcPr>
            <w:tcW w:type="dxa" w:w="1872"/>
          </w:tcPr>
          <w:p>
            <w:r>
              <w:rPr>
                <w:rFonts w:ascii="Arial" w:hAnsi="Arial"/>
                <w:b/>
                <w:sz w:val="16"/>
              </w:rPr>
              <w:t>SUBSECTION</w:t>
            </w:r>
          </w:p>
        </w:tc>
        <w:tc>
          <w:tcPr>
            <w:tcW w:type="dxa" w:w="1872"/>
          </w:tcPr>
          <w:p>
            <w:r>
              <w:rPr>
                <w:rFonts w:ascii="Arial" w:hAnsi="Arial"/>
                <w:b/>
                <w:sz w:val="16"/>
              </w:rPr>
              <w:t>STATUS</w:t>
            </w:r>
          </w:p>
        </w:tc>
        <w:tc>
          <w:tcPr>
            <w:tcW w:type="dxa" w:w="1872"/>
          </w:tcPr>
          <w:p>
            <w:r>
              <w:rPr>
                <w:rFonts w:ascii="Arial" w:hAnsi="Arial"/>
                <w:b/>
                <w:sz w:val="16"/>
              </w:rPr>
              <w:t>VISIBILITY</w:t>
            </w:r>
          </w:p>
        </w:tc>
        <w:tc>
          <w:tcPr>
            <w:tcW w:type="dxa" w:w="1872"/>
          </w:tcPr>
          <w:p>
            <w:r>
              <w:rPr>
                <w:rFonts w:ascii="Arial" w:hAnsi="Arial"/>
                <w:b/>
                <w:sz w:val="16"/>
              </w:rPr>
              <w:t>CLASSIFICATION REASON</w:t>
            </w:r>
          </w:p>
        </w:tc>
      </w:tr>
      <w:tr>
        <w:tc>
          <w:tcPr>
            <w:tcW w:type="dxa" w:w="1872"/>
          </w:tcPr>
          <w:p>
            <w:r>
              <w:rPr>
                <w:rFonts w:ascii="Arial" w:hAnsi="Arial"/>
                <w:sz w:val="16"/>
              </w:rPr>
              <w:t>DataSETS__unemployment-insurance-claims-data.xlsx</w:t>
            </w:r>
          </w:p>
        </w:tc>
        <w:tc>
          <w:tcPr>
            <w:tcW w:type="dxa" w:w="1872"/>
          </w:tcPr>
          <w:p>
            <w:r>
              <w:rPr>
                <w:rFonts w:ascii="Arial" w:hAnsi="Arial"/>
                <w:sz w:val="16"/>
              </w:rPr>
              <w:t>source materials / EDD UI dataset</w:t>
            </w:r>
          </w:p>
        </w:tc>
        <w:tc>
          <w:tcPr>
            <w:tcW w:type="dxa" w:w="1872"/>
          </w:tcPr>
          <w:p>
            <w:r>
              <w:rPr>
                <w:rFonts w:ascii="Arial" w:hAnsi="Arial"/>
                <w:sz w:val="16"/>
              </w:rPr>
              <w:t>correctly placed</w:t>
            </w:r>
          </w:p>
        </w:tc>
        <w:tc>
          <w:tcPr>
            <w:tcW w:type="dxa" w:w="1872"/>
          </w:tcPr>
          <w:p>
            <w:r>
              <w:rPr>
                <w:rFonts w:ascii="Arial" w:hAnsi="Arial"/>
                <w:sz w:val="16"/>
              </w:rPr>
              <w:t>DEVELOPMENTAL</w:t>
            </w:r>
          </w:p>
        </w:tc>
        <w:tc>
          <w:tcPr>
            <w:tcW w:type="dxa" w:w="1872"/>
          </w:tcPr>
          <w:p>
            <w:r>
              <w:rPr>
                <w:rFonts w:ascii="Arial" w:hAnsi="Arial"/>
                <w:sz w:val="16"/>
              </w:rPr>
              <w:t>California EDD unemployment insurance claims. Raw source data for one of the 12 convergence proof datasets. Structural constant = 0.3834.</w:t>
            </w:r>
          </w:p>
        </w:tc>
      </w:tr>
      <w:tr>
        <w:tc>
          <w:tcPr>
            <w:tcW w:type="dxa" w:w="1872"/>
          </w:tcPr>
          <w:p>
            <w:r>
              <w:rPr>
                <w:rFonts w:ascii="Arial" w:hAnsi="Arial"/>
                <w:sz w:val="16"/>
              </w:rPr>
              <w:t>women-in-politics-map-2026-en.pdf</w:t>
            </w:r>
          </w:p>
        </w:tc>
        <w:tc>
          <w:tcPr>
            <w:tcW w:type="dxa" w:w="1872"/>
          </w:tcPr>
          <w:p>
            <w:r>
              <w:rPr>
                <w:rFonts w:ascii="Arial" w:hAnsi="Arial"/>
                <w:sz w:val="16"/>
              </w:rPr>
              <w:t>source materials / Women Leaders dataset</w:t>
            </w:r>
          </w:p>
        </w:tc>
        <w:tc>
          <w:tcPr>
            <w:tcW w:type="dxa" w:w="1872"/>
          </w:tcPr>
          <w:p>
            <w:r>
              <w:rPr>
                <w:rFonts w:ascii="Arial" w:hAnsi="Arial"/>
                <w:sz w:val="16"/>
              </w:rPr>
              <w:t>correctly placed</w:t>
            </w:r>
          </w:p>
        </w:tc>
        <w:tc>
          <w:tcPr>
            <w:tcW w:type="dxa" w:w="1872"/>
          </w:tcPr>
          <w:p>
            <w:r>
              <w:rPr>
                <w:rFonts w:ascii="Arial" w:hAnsi="Arial"/>
                <w:sz w:val="16"/>
              </w:rPr>
              <w:t>DEVELOPMENTAL</w:t>
            </w:r>
          </w:p>
        </w:tc>
        <w:tc>
          <w:tcPr>
            <w:tcW w:type="dxa" w:w="1872"/>
          </w:tcPr>
          <w:p>
            <w:r>
              <w:rPr>
                <w:rFonts w:ascii="Arial" w:hAnsi="Arial"/>
                <w:sz w:val="16"/>
              </w:rPr>
              <w:t>UN Women / IPU global map. Source data for Women World Leaders dataset. Structural constant = 0.3970. World average women in parliament = 27.4%.</w:t>
            </w:r>
          </w:p>
        </w:tc>
      </w:tr>
      <w:tr>
        <w:tc>
          <w:tcPr>
            <w:tcW w:type="dxa" w:w="1872"/>
          </w:tcPr>
          <w:p>
            <w:r>
              <w:rPr>
                <w:rFonts w:ascii="Arial" w:hAnsi="Arial"/>
                <w:sz w:val="16"/>
              </w:rPr>
              <w:t>data__messages.json</w:t>
            </w:r>
          </w:p>
        </w:tc>
        <w:tc>
          <w:tcPr>
            <w:tcW w:type="dxa" w:w="1872"/>
          </w:tcPr>
          <w:p>
            <w:r>
              <w:rPr>
                <w:rFonts w:ascii="Arial" w:hAnsi="Arial"/>
                <w:sz w:val="16"/>
              </w:rPr>
              <w:t>source materials / voice corpus</w:t>
            </w:r>
          </w:p>
        </w:tc>
        <w:tc>
          <w:tcPr>
            <w:tcW w:type="dxa" w:w="1872"/>
          </w:tcPr>
          <w:p>
            <w:r>
              <w:rPr>
                <w:rFonts w:ascii="Arial" w:hAnsi="Arial"/>
                <w:sz w:val="16"/>
              </w:rPr>
              <w:t>correctly placed</w:t>
            </w:r>
          </w:p>
        </w:tc>
        <w:tc>
          <w:tcPr>
            <w:tcW w:type="dxa" w:w="1872"/>
          </w:tcPr>
          <w:p>
            <w:r>
              <w:rPr>
                <w:rFonts w:ascii="Arial" w:hAnsi="Arial"/>
                <w:sz w:val="16"/>
              </w:rPr>
              <w:t>DEVELOPMENTAL</w:t>
            </w:r>
          </w:p>
        </w:tc>
        <w:tc>
          <w:tcPr>
            <w:tcW w:type="dxa" w:w="1872"/>
          </w:tcPr>
          <w:p>
            <w:r>
              <w:rPr>
                <w:rFonts w:ascii="Arial" w:hAnsi="Arial"/>
                <w:sz w:val="16"/>
              </w:rPr>
              <w:t>500 extracted messages with voice_score, topics, word_count. Sources include 1967 documentary transcripts. Voice analysis training data. Generated 2026-03-24.</w:t>
            </w:r>
          </w:p>
        </w:tc>
      </w:tr>
      <w:tr>
        <w:tc>
          <w:tcPr>
            <w:tcW w:type="dxa" w:w="1872"/>
          </w:tcPr>
          <w:p>
            <w:r>
              <w:rPr>
                <w:rFonts w:ascii="Arial" w:hAnsi="Arial"/>
                <w:sz w:val="16"/>
              </w:rPr>
              <w:t>Orthographic Reform Analysis: Divergence of Speech and Script</w:t>
            </w:r>
          </w:p>
        </w:tc>
        <w:tc>
          <w:tcPr>
            <w:tcW w:type="dxa" w:w="1872"/>
          </w:tcPr>
          <w:p>
            <w:r>
              <w:rPr>
                <w:rFonts w:ascii="Arial" w:hAnsi="Arial"/>
                <w:sz w:val="16"/>
              </w:rPr>
              <w:t>research themes / linguistics</w:t>
            </w:r>
          </w:p>
        </w:tc>
        <w:tc>
          <w:tcPr>
            <w:tcW w:type="dxa" w:w="1872"/>
          </w:tcPr>
          <w:p>
            <w:r>
              <w:rPr>
                <w:rFonts w:ascii="Arial" w:hAnsi="Arial"/>
                <w:sz w:val="16"/>
              </w:rPr>
              <w:t>correctly placed</w:t>
            </w:r>
          </w:p>
        </w:tc>
        <w:tc>
          <w:tcPr>
            <w:tcW w:type="dxa" w:w="1872"/>
          </w:tcPr>
          <w:p>
            <w:r>
              <w:rPr>
                <w:rFonts w:ascii="Arial" w:hAnsi="Arial"/>
                <w:sz w:val="16"/>
              </w:rPr>
              <w:t>DEVELOPMENTAL</w:t>
            </w:r>
          </w:p>
        </w:tc>
        <w:tc>
          <w:tcPr>
            <w:tcW w:type="dxa" w:w="1872"/>
          </w:tcPr>
          <w:p>
            <w:r>
              <w:rPr>
                <w:rFonts w:ascii="Arial" w:hAnsi="Arial"/>
                <w:sz w:val="16"/>
              </w:rPr>
              <w:t>Phonemic ideal, Great Vowel Shift, High German consonant shift, state-led script reform (Turkish, Hangul, Central Asian). Orthographic drift as structural divergence. Connects to glyph system: symbol-to-meaning relationships under constraint.</w:t>
            </w:r>
          </w:p>
        </w:tc>
      </w:tr>
      <w:tr>
        <w:tc>
          <w:tcPr>
            <w:tcW w:type="dxa" w:w="1872"/>
          </w:tcPr>
          <w:p>
            <w:r>
              <w:rPr>
                <w:rFonts w:ascii="Arial" w:hAnsi="Arial"/>
                <w:sz w:val="16"/>
              </w:rPr>
              <w:t>The Book of Life is a generative system...</w:t>
            </w:r>
          </w:p>
        </w:tc>
        <w:tc>
          <w:tcPr>
            <w:tcW w:type="dxa" w:w="1872"/>
          </w:tcPr>
          <w:p>
            <w:r>
              <w:rPr>
                <w:rFonts w:ascii="Arial" w:hAnsi="Arial"/>
                <w:sz w:val="16"/>
              </w:rPr>
              <w:t>experiments / interactive tools</w:t>
            </w:r>
          </w:p>
        </w:tc>
        <w:tc>
          <w:tcPr>
            <w:tcW w:type="dxa" w:w="1872"/>
          </w:tcPr>
          <w:p>
            <w:r>
              <w:rPr>
                <w:rFonts w:ascii="Arial" w:hAnsi="Arial"/>
                <w:sz w:val="16"/>
              </w:rPr>
              <w:t>correctly placed</w:t>
            </w:r>
          </w:p>
        </w:tc>
        <w:tc>
          <w:tcPr>
            <w:tcW w:type="dxa" w:w="1872"/>
          </w:tcPr>
          <w:p>
            <w:r>
              <w:rPr>
                <w:rFonts w:ascii="Arial" w:hAnsi="Arial"/>
                <w:sz w:val="16"/>
              </w:rPr>
              <w:t>DEVELOPMENTAL</w:t>
            </w:r>
          </w:p>
        </w:tc>
        <w:tc>
          <w:tcPr>
            <w:tcW w:type="dxa" w:w="1872"/>
          </w:tcPr>
          <w:p>
            <w:r>
              <w:rPr>
                <w:rFonts w:ascii="Arial" w:hAnsi="Arial"/>
                <w:sz w:val="16"/>
              </w:rPr>
              <w:t>Design spec for Book of Life game. Compass-based card picker (4 elements at N/E/S/W), heptagon radar chart, auto-clock, choice vs chance mechanics. Three-screen navigator. Controlled randomness concept. Active prototype logic.</w:t>
            </w:r>
          </w:p>
        </w:tc>
      </w:tr>
      <w:tr>
        <w:tc>
          <w:tcPr>
            <w:tcW w:type="dxa" w:w="1872"/>
          </w:tcPr>
          <w:p>
            <w:r>
              <w:rPr>
                <w:rFonts w:ascii="Arial" w:hAnsi="Arial"/>
                <w:sz w:val="16"/>
              </w:rPr>
              <w:t>Use the total number of households first</w:t>
            </w:r>
          </w:p>
        </w:tc>
        <w:tc>
          <w:tcPr>
            <w:tcW w:type="dxa" w:w="1872"/>
          </w:tcPr>
          <w:p>
            <w:r>
              <w:rPr>
                <w:rFonts w:ascii="Arial" w:hAnsi="Arial"/>
                <w:sz w:val="16"/>
              </w:rPr>
              <w:t>research themes / statistics coursework</w:t>
            </w:r>
          </w:p>
        </w:tc>
        <w:tc>
          <w:tcPr>
            <w:tcW w:type="dxa" w:w="1872"/>
          </w:tcPr>
          <w:p>
            <w:r>
              <w:rPr>
                <w:rFonts w:ascii="Arial" w:hAnsi="Arial"/>
                <w:sz w:val="16"/>
              </w:rPr>
              <w:t>correctly placed</w:t>
            </w:r>
          </w:p>
        </w:tc>
        <w:tc>
          <w:tcPr>
            <w:tcW w:type="dxa" w:w="1872"/>
          </w:tcPr>
          <w:p>
            <w:r>
              <w:rPr>
                <w:rFonts w:ascii="Arial" w:hAnsi="Arial"/>
                <w:sz w:val="16"/>
              </w:rPr>
              <w:t>DEVELOPMENTAL</w:t>
            </w:r>
          </w:p>
        </w:tc>
        <w:tc>
          <w:tcPr>
            <w:tcW w:type="dxa" w:w="1872"/>
          </w:tcPr>
          <w:p>
            <w:r>
              <w:rPr>
                <w:rFonts w:ascii="Arial" w:hAnsi="Arial"/>
                <w:sz w:val="16"/>
              </w:rPr>
              <w:t>Probability distribution calculations. Household TV data: P(0)=0.010, P(1)=0.173, P(2)=0.278, P(3)=0.539. Left-skewed. Conditional probability exercises. Stats course problem-solving.</w:t>
            </w:r>
          </w:p>
        </w:tc>
      </w:tr>
      <w:tr>
        <w:tc>
          <w:tcPr>
            <w:tcW w:type="dxa" w:w="1872"/>
          </w:tcPr>
          <w:p>
            <w:r>
              <w:rPr>
                <w:rFonts w:ascii="Arial" w:hAnsi="Arial"/>
                <w:sz w:val="16"/>
              </w:rPr>
              <w:t>Week 1: Objectives and Overview</w:t>
            </w:r>
          </w:p>
        </w:tc>
        <w:tc>
          <w:tcPr>
            <w:tcW w:type="dxa" w:w="1872"/>
          </w:tcPr>
          <w:p>
            <w:r>
              <w:rPr>
                <w:rFonts w:ascii="Arial" w:hAnsi="Arial"/>
                <w:sz w:val="16"/>
              </w:rPr>
              <w:t>source materials / SOC-1A course</w:t>
            </w:r>
          </w:p>
        </w:tc>
        <w:tc>
          <w:tcPr>
            <w:tcW w:type="dxa" w:w="1872"/>
          </w:tcPr>
          <w:p>
            <w:r>
              <w:rPr>
                <w:rFonts w:ascii="Arial" w:hAnsi="Arial"/>
                <w:sz w:val="16"/>
              </w:rPr>
              <w:t>correctly placed</w:t>
            </w:r>
          </w:p>
        </w:tc>
        <w:tc>
          <w:tcPr>
            <w:tcW w:type="dxa" w:w="1872"/>
          </w:tcPr>
          <w:p>
            <w:r>
              <w:rPr>
                <w:rFonts w:ascii="Arial" w:hAnsi="Arial"/>
                <w:sz w:val="16"/>
              </w:rPr>
              <w:t>DEVELOPMENTAL</w:t>
            </w:r>
          </w:p>
        </w:tc>
        <w:tc>
          <w:tcPr>
            <w:tcW w:type="dxa" w:w="1872"/>
          </w:tcPr>
          <w:p>
            <w:r>
              <w:rPr>
                <w:rFonts w:ascii="Arial" w:hAnsi="Arial"/>
                <w:sz w:val="16"/>
              </w:rPr>
              <w:t>SOC-1A course module. Social problems definition, social identity wheel, discussion prompts. AI PROHIBITION explicit. Chapters 1-2 reading. Due dates. Professor Santiago. Merritt College. Directly feeds SLCM development: social location, identity layers, constraint mapping.</w:t>
            </w:r>
          </w:p>
        </w:tc>
      </w:tr>
      <w:tr>
        <w:tc>
          <w:tcPr>
            <w:tcW w:type="dxa" w:w="1872"/>
          </w:tcPr>
          <w:p>
            <w:r>
              <w:rPr>
                <w:rFonts w:ascii="Arial" w:hAnsi="Arial"/>
                <w:sz w:val="16"/>
              </w:rPr>
              <w:t>EXTRACTION_SUMMARY.md</w:t>
            </w:r>
          </w:p>
        </w:tc>
        <w:tc>
          <w:tcPr>
            <w:tcW w:type="dxa" w:w="1872"/>
          </w:tcPr>
          <w:p>
            <w:r>
              <w:rPr>
                <w:rFonts w:ascii="Arial" w:hAnsi="Arial"/>
                <w:sz w:val="16"/>
              </w:rPr>
              <w:t>notes / Bear archive extraction</w:t>
            </w:r>
          </w:p>
        </w:tc>
        <w:tc>
          <w:tcPr>
            <w:tcW w:type="dxa" w:w="1872"/>
          </w:tcPr>
          <w:p>
            <w:r>
              <w:rPr>
                <w:rFonts w:ascii="Arial" w:hAnsi="Arial"/>
                <w:sz w:val="16"/>
              </w:rPr>
              <w:t>correctly placed</w:t>
            </w:r>
          </w:p>
        </w:tc>
        <w:tc>
          <w:tcPr>
            <w:tcW w:type="dxa" w:w="1872"/>
          </w:tcPr>
          <w:p>
            <w:r>
              <w:rPr>
                <w:rFonts w:ascii="Arial" w:hAnsi="Arial"/>
                <w:sz w:val="16"/>
              </w:rPr>
              <w:t>DEVELOPMENTAL</w:t>
            </w:r>
          </w:p>
        </w:tc>
        <w:tc>
          <w:tcPr>
            <w:tcW w:type="dxa" w:w="1872"/>
          </w:tcPr>
          <w:p>
            <w:r>
              <w:rPr>
                <w:rFonts w:ascii="Arial" w:hAnsi="Arial"/>
                <w:sz w:val="16"/>
              </w:rPr>
              <w:t>March 29 extraction log. 5 files from 153,796-line RTF: Brand &amp; Business (162KB), Swag to Riches series (408KB), Colorado Encyclopedia refs (153KB), Slave Trade Database CSV (5.5MB, 20K+ rows), Database README.</w:t>
            </w:r>
          </w:p>
        </w:tc>
      </w:tr>
      <w:tr>
        <w:tc>
          <w:tcPr>
            <w:tcW w:type="dxa" w:w="1872"/>
          </w:tcPr>
          <w:p>
            <w:r>
              <w:rPr>
                <w:rFonts w:ascii="Arial" w:hAnsi="Arial"/>
                <w:sz w:val="16"/>
              </w:rPr>
              <w:t>DEFINITIONS.docx</w:t>
            </w:r>
          </w:p>
        </w:tc>
        <w:tc>
          <w:tcPr>
            <w:tcW w:type="dxa" w:w="1872"/>
          </w:tcPr>
          <w:p>
            <w:r>
              <w:rPr>
                <w:rFonts w:ascii="Arial" w:hAnsi="Arial"/>
                <w:sz w:val="16"/>
              </w:rPr>
              <w:t>methods / definitions lock table</w:t>
            </w:r>
          </w:p>
        </w:tc>
        <w:tc>
          <w:tcPr>
            <w:tcW w:type="dxa" w:w="1872"/>
          </w:tcPr>
          <w:p>
            <w:r>
              <w:rPr>
                <w:rFonts w:ascii="Arial" w:hAnsi="Arial"/>
                <w:sz w:val="16"/>
              </w:rPr>
              <w:t>correctly placed</w:t>
            </w:r>
          </w:p>
        </w:tc>
        <w:tc>
          <w:tcPr>
            <w:tcW w:type="dxa" w:w="1872"/>
          </w:tcPr>
          <w:p>
            <w:r>
              <w:rPr>
                <w:rFonts w:ascii="Arial" w:hAnsi="Arial"/>
                <w:sz w:val="16"/>
              </w:rPr>
              <w:t>DEVELOPMENTAL</w:t>
            </w:r>
          </w:p>
        </w:tc>
        <w:tc>
          <w:tcPr>
            <w:tcW w:type="dxa" w:w="1872"/>
          </w:tcPr>
          <w:p>
            <w:r>
              <w:rPr>
                <w:rFonts w:ascii="Arial" w:hAnsi="Arial"/>
                <w:sz w:val="16"/>
              </w:rPr>
              <w:t>16 frozen term definitions. Source-verified against PATENT_v2_SYSTEM_SPEC, glyph_simulations.py, core/events.py, CLAUDE.md. Terms: constrained dataset, choice-absent dataset, cycle, event, irreversible state-change, clustering ratio, structural band, neutral pivot, control dataset, convergence, classification output, data/event record, structural convergence, implementation embodiment.</w:t>
            </w:r>
          </w:p>
        </w:tc>
      </w:tr>
      <w:tr>
        <w:tc>
          <w:tcPr>
            <w:tcW w:type="dxa" w:w="1872"/>
          </w:tcPr>
          <w:p>
            <w:r>
              <w:rPr>
                <w:rFonts w:ascii="Arial" w:hAnsi="Arial"/>
                <w:sz w:val="16"/>
              </w:rPr>
              <w:t>Glyph_Simulation_Method_v1.docx</w:t>
            </w:r>
          </w:p>
        </w:tc>
        <w:tc>
          <w:tcPr>
            <w:tcW w:type="dxa" w:w="1872"/>
          </w:tcPr>
          <w:p>
            <w:r>
              <w:rPr>
                <w:rFonts w:ascii="Arial" w:hAnsi="Arial"/>
                <w:sz w:val="16"/>
              </w:rPr>
              <w:t>methods / simulation documentation</w:t>
            </w:r>
          </w:p>
        </w:tc>
        <w:tc>
          <w:tcPr>
            <w:tcW w:type="dxa" w:w="1872"/>
          </w:tcPr>
          <w:p>
            <w:r>
              <w:rPr>
                <w:rFonts w:ascii="Arial" w:hAnsi="Arial"/>
                <w:sz w:val="16"/>
              </w:rPr>
              <w:t>correctly placed</w:t>
            </w:r>
          </w:p>
        </w:tc>
        <w:tc>
          <w:tcPr>
            <w:tcW w:type="dxa" w:w="1872"/>
          </w:tcPr>
          <w:p>
            <w:r>
              <w:rPr>
                <w:rFonts w:ascii="Arial" w:hAnsi="Arial"/>
                <w:sz w:val="16"/>
              </w:rPr>
              <w:t>DEVELOPMENTAL</w:t>
            </w:r>
          </w:p>
        </w:tc>
        <w:tc>
          <w:tcPr>
            <w:tcW w:type="dxa" w:w="1872"/>
          </w:tcPr>
          <w:p>
            <w:r>
              <w:rPr>
                <w:rFonts w:ascii="Arial" w:hAnsi="Arial"/>
                <w:sz w:val="16"/>
              </w:rPr>
              <w:t>Glyph simulation method specification document.</w:t>
            </w:r>
          </w:p>
        </w:tc>
      </w:tr>
      <w:tr>
        <w:tc>
          <w:tcPr>
            <w:tcW w:type="dxa" w:w="1872"/>
          </w:tcPr>
          <w:p>
            <w:r>
              <w:rPr>
                <w:rFonts w:ascii="Arial" w:hAnsi="Arial"/>
                <w:sz w:val="16"/>
              </w:rPr>
              <w:t>croissant-main.zip</w:t>
            </w:r>
          </w:p>
        </w:tc>
        <w:tc>
          <w:tcPr>
            <w:tcW w:type="dxa" w:w="1872"/>
          </w:tcPr>
          <w:p>
            <w:r>
              <w:rPr>
                <w:rFonts w:ascii="Arial" w:hAnsi="Arial"/>
                <w:sz w:val="16"/>
              </w:rPr>
              <w:t>comparative models / dataset metadata</w:t>
            </w:r>
          </w:p>
        </w:tc>
        <w:tc>
          <w:tcPr>
            <w:tcW w:type="dxa" w:w="1872"/>
          </w:tcPr>
          <w:p>
            <w:r>
              <w:rPr>
                <w:rFonts w:ascii="Arial" w:hAnsi="Arial"/>
                <w:sz w:val="16"/>
              </w:rPr>
              <w:t>correctly placed</w:t>
            </w:r>
          </w:p>
        </w:tc>
        <w:tc>
          <w:tcPr>
            <w:tcW w:type="dxa" w:w="1872"/>
          </w:tcPr>
          <w:p>
            <w:r>
              <w:rPr>
                <w:rFonts w:ascii="Arial" w:hAnsi="Arial"/>
                <w:sz w:val="16"/>
              </w:rPr>
              <w:t>DEVELOPMENTAL</w:t>
            </w:r>
          </w:p>
        </w:tc>
        <w:tc>
          <w:tcPr>
            <w:tcW w:type="dxa" w:w="1872"/>
          </w:tcPr>
          <w:p>
            <w:r>
              <w:rPr>
                <w:rFonts w:ascii="Arial" w:hAnsi="Arial"/>
                <w:sz w:val="16"/>
              </w:rPr>
              <w:t>Google Croissant dataset metadata standard. Directly relevant to glyph_event_record schema standardization. Potential alignment for publishing Glyph datasets in standard format.</w:t>
            </w:r>
          </w:p>
        </w:tc>
      </w:tr>
      <w:tr>
        <w:tc>
          <w:tcPr>
            <w:tcW w:type="dxa" w:w="1872"/>
          </w:tcPr>
          <w:p>
            <w:r>
              <w:rPr>
                <w:rFonts w:ascii="Arial" w:hAnsi="Arial"/>
                <w:sz w:val="16"/>
              </w:rPr>
              <w:t>datasets_infra-main.zip</w:t>
            </w:r>
          </w:p>
        </w:tc>
        <w:tc>
          <w:tcPr>
            <w:tcW w:type="dxa" w:w="1872"/>
          </w:tcPr>
          <w:p>
            <w:r>
              <w:rPr>
                <w:rFonts w:ascii="Arial" w:hAnsi="Arial"/>
                <w:sz w:val="16"/>
              </w:rPr>
              <w:t>comparative models / dataset infrastructure</w:t>
            </w:r>
          </w:p>
        </w:tc>
        <w:tc>
          <w:tcPr>
            <w:tcW w:type="dxa" w:w="1872"/>
          </w:tcPr>
          <w:p>
            <w:r>
              <w:rPr>
                <w:rFonts w:ascii="Arial" w:hAnsi="Arial"/>
                <w:sz w:val="16"/>
              </w:rPr>
              <w:t>correctly placed</w:t>
            </w:r>
          </w:p>
        </w:tc>
        <w:tc>
          <w:tcPr>
            <w:tcW w:type="dxa" w:w="1872"/>
          </w:tcPr>
          <w:p>
            <w:r>
              <w:rPr>
                <w:rFonts w:ascii="Arial" w:hAnsi="Arial"/>
                <w:sz w:val="16"/>
              </w:rPr>
              <w:t>DEVELOPMENTAL</w:t>
            </w:r>
          </w:p>
        </w:tc>
        <w:tc>
          <w:tcPr>
            <w:tcW w:type="dxa" w:w="1872"/>
          </w:tcPr>
          <w:p>
            <w:r>
              <w:rPr>
                <w:rFonts w:ascii="Arial" w:hAnsi="Arial"/>
                <w:sz w:val="16"/>
              </w:rPr>
              <w:t>Dataset infrastructure tooling. Supports Croissant integration research.</w:t>
            </w:r>
          </w:p>
        </w:tc>
      </w:tr>
      <w:tr>
        <w:tc>
          <w:tcPr>
            <w:tcW w:type="dxa" w:w="1872"/>
          </w:tcPr>
          <w:p>
            <w:r>
              <w:rPr>
                <w:rFonts w:ascii="Arial" w:hAnsi="Arial"/>
                <w:sz w:val="16"/>
              </w:rPr>
              <w:t>lov-master.zip + lov.nq.gz</w:t>
            </w:r>
          </w:p>
        </w:tc>
        <w:tc>
          <w:tcPr>
            <w:tcW w:type="dxa" w:w="1872"/>
          </w:tcPr>
          <w:p>
            <w:r>
              <w:rPr>
                <w:rFonts w:ascii="Arial" w:hAnsi="Arial"/>
                <w:sz w:val="16"/>
              </w:rPr>
              <w:t>comparative models / linked vocabularies</w:t>
            </w:r>
          </w:p>
        </w:tc>
        <w:tc>
          <w:tcPr>
            <w:tcW w:type="dxa" w:w="1872"/>
          </w:tcPr>
          <w:p>
            <w:r>
              <w:rPr>
                <w:rFonts w:ascii="Arial" w:hAnsi="Arial"/>
                <w:sz w:val="16"/>
              </w:rPr>
              <w:t>correctly placed</w:t>
            </w:r>
          </w:p>
        </w:tc>
        <w:tc>
          <w:tcPr>
            <w:tcW w:type="dxa" w:w="1872"/>
          </w:tcPr>
          <w:p>
            <w:r>
              <w:rPr>
                <w:rFonts w:ascii="Arial" w:hAnsi="Arial"/>
                <w:sz w:val="16"/>
              </w:rPr>
              <w:t>DEVELOPMENTAL</w:t>
            </w:r>
          </w:p>
        </w:tc>
        <w:tc>
          <w:tcPr>
            <w:tcW w:type="dxa" w:w="1872"/>
          </w:tcPr>
          <w:p>
            <w:r>
              <w:rPr>
                <w:rFonts w:ascii="Arial" w:hAnsi="Arial"/>
                <w:sz w:val="16"/>
              </w:rPr>
              <w:t>Linked Open Vocabularies. Semantic web vocabulary aggregator. Relevant to term standardization and ontology alignment for Glyph definitions.</w:t>
            </w:r>
          </w:p>
        </w:tc>
      </w:tr>
      <w:tr>
        <w:tc>
          <w:tcPr>
            <w:tcW w:type="dxa" w:w="1872"/>
          </w:tcPr>
          <w:p>
            <w:r>
              <w:rPr>
                <w:rFonts w:ascii="Arial" w:hAnsi="Arial"/>
                <w:sz w:val="16"/>
              </w:rPr>
              <w:t>You have enough to start monetizing...</w:t>
            </w:r>
          </w:p>
        </w:tc>
        <w:tc>
          <w:tcPr>
            <w:tcW w:type="dxa" w:w="1872"/>
          </w:tcPr>
          <w:p>
            <w:r>
              <w:rPr>
                <w:rFonts w:ascii="Arial" w:hAnsi="Arial"/>
                <w:sz w:val="16"/>
              </w:rPr>
              <w:t>working drafts / monetization strategy</w:t>
            </w:r>
          </w:p>
        </w:tc>
        <w:tc>
          <w:tcPr>
            <w:tcW w:type="dxa" w:w="1872"/>
          </w:tcPr>
          <w:p>
            <w:r>
              <w:rPr>
                <w:rFonts w:ascii="Arial" w:hAnsi="Arial"/>
                <w:sz w:val="16"/>
              </w:rPr>
              <w:t>MIXED</w:t>
            </w:r>
          </w:p>
        </w:tc>
        <w:tc>
          <w:tcPr>
            <w:tcW w:type="dxa" w:w="1872"/>
          </w:tcPr>
          <w:p>
            <w:r>
              <w:rPr>
                <w:rFonts w:ascii="Arial" w:hAnsi="Arial"/>
                <w:sz w:val="16"/>
              </w:rPr>
              <w:t>INTERNAL</w:t>
            </w:r>
          </w:p>
        </w:tc>
        <w:tc>
          <w:tcPr>
            <w:tcW w:type="dxa" w:w="1872"/>
          </w:tcPr>
          <w:p>
            <w:r>
              <w:rPr>
                <w:rFonts w:ascii="Arial" w:hAnsi="Arial"/>
                <w:sz w:val="16"/>
              </w:rPr>
              <w:t>MIXED: monetization strategy = Heyer Livin Glyph Records (business operations). But also contains research-stage reasoning about which assets are ready. Strategy portion goes to Section 1. Asset assessment stays here.</w:t>
            </w:r>
          </w:p>
        </w:tc>
      </w:tr>
    </w:tbl>
    <w:p/>
    <w:p>
      <w:r>
        <w:rPr>
          <w:b/>
          <w:color w:val="1E8449"/>
          <w:sz w:val="28"/>
        </w:rPr>
        <w:t>SECTION 3 — GLYPHS</w:t>
      </w:r>
    </w:p>
    <w:p>
      <w:r>
        <w:rPr>
          <w:i/>
          <w:sz w:val="18"/>
        </w:rPr>
        <w:t>Portfolio. Finished works. Presentation-ready outputs. Public-facing case studies.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Arial" w:hAnsi="Arial"/>
                <w:b/>
                <w:sz w:val="16"/>
              </w:rPr>
              <w:t>FILE</w:t>
            </w:r>
          </w:p>
        </w:tc>
        <w:tc>
          <w:tcPr>
            <w:tcW w:type="dxa" w:w="1872"/>
          </w:tcPr>
          <w:p>
            <w:r>
              <w:rPr>
                <w:rFonts w:ascii="Arial" w:hAnsi="Arial"/>
                <w:b/>
                <w:sz w:val="16"/>
              </w:rPr>
              <w:t>SUBSECTION</w:t>
            </w:r>
          </w:p>
        </w:tc>
        <w:tc>
          <w:tcPr>
            <w:tcW w:type="dxa" w:w="1872"/>
          </w:tcPr>
          <w:p>
            <w:r>
              <w:rPr>
                <w:rFonts w:ascii="Arial" w:hAnsi="Arial"/>
                <w:b/>
                <w:sz w:val="16"/>
              </w:rPr>
              <w:t>STATUS</w:t>
            </w:r>
          </w:p>
        </w:tc>
        <w:tc>
          <w:tcPr>
            <w:tcW w:type="dxa" w:w="1872"/>
          </w:tcPr>
          <w:p>
            <w:r>
              <w:rPr>
                <w:rFonts w:ascii="Arial" w:hAnsi="Arial"/>
                <w:b/>
                <w:sz w:val="16"/>
              </w:rPr>
              <w:t>VISIBILITY</w:t>
            </w:r>
          </w:p>
        </w:tc>
        <w:tc>
          <w:tcPr>
            <w:tcW w:type="dxa" w:w="1872"/>
          </w:tcPr>
          <w:p>
            <w:r>
              <w:rPr>
                <w:rFonts w:ascii="Arial" w:hAnsi="Arial"/>
                <w:b/>
                <w:sz w:val="16"/>
              </w:rPr>
              <w:t>CLASSIFICATION REASON</w:t>
            </w:r>
          </w:p>
        </w:tc>
      </w:tr>
      <w:tr>
        <w:tc>
          <w:tcPr>
            <w:tcW w:type="dxa" w:w="1872"/>
          </w:tcPr>
          <w:p>
            <w:r>
              <w:rPr>
                <w:rFonts w:ascii="Arial" w:hAnsi="Arial"/>
                <w:sz w:val="16"/>
              </w:rPr>
              <w:t>UNIFIED PORTFOLIO — Heyer Livin LLC.pdf</w:t>
            </w:r>
          </w:p>
        </w:tc>
        <w:tc>
          <w:tcPr>
            <w:tcW w:type="dxa" w:w="1872"/>
          </w:tcPr>
          <w:p>
            <w:r>
              <w:rPr>
                <w:rFonts w:ascii="Arial" w:hAnsi="Arial"/>
                <w:sz w:val="16"/>
              </w:rPr>
              <w:t>portfolio projects / master index</w:t>
            </w:r>
          </w:p>
        </w:tc>
        <w:tc>
          <w:tcPr>
            <w:tcW w:type="dxa" w:w="1872"/>
          </w:tcPr>
          <w:p>
            <w:r>
              <w:rPr>
                <w:rFonts w:ascii="Arial" w:hAnsi="Arial"/>
                <w:sz w:val="16"/>
              </w:rPr>
              <w:t>correctly placed</w:t>
            </w:r>
          </w:p>
        </w:tc>
        <w:tc>
          <w:tcPr>
            <w:tcW w:type="dxa" w:w="1872"/>
          </w:tcPr>
          <w:p>
            <w:r>
              <w:rPr>
                <w:rFonts w:ascii="Arial" w:hAnsi="Arial"/>
                <w:sz w:val="16"/>
              </w:rPr>
              <w:t>PUBLIC</w:t>
            </w:r>
          </w:p>
        </w:tc>
        <w:tc>
          <w:tcPr>
            <w:tcW w:type="dxa" w:w="1872"/>
          </w:tcPr>
          <w:p>
            <w:r>
              <w:rPr>
                <w:rFonts w:ascii="Arial" w:hAnsi="Arial"/>
                <w:sz w:val="16"/>
              </w:rPr>
              <w:t>Complete portfolio map. 6 tiers: Identity/Mission, Scholarship Submission (PAAAA), The Method (Patent Core: K(t), Convergence Proof, Replication), The System (Event Record Architecture, Cultural Intelligence Framework), Research/Data (Master Data Summary, Glyph-Q), Roadmap/Positioning (Research Portfolio Roadmap, Academic Positioning BCC&gt;UCB&gt;Haas). PAAAA checklist with deadline March 27 2026.</w:t>
            </w:r>
          </w:p>
        </w:tc>
      </w:tr>
      <w:tr>
        <w:tc>
          <w:tcPr>
            <w:tcW w:type="dxa" w:w="1872"/>
          </w:tcPr>
          <w:p>
            <w:r>
              <w:rPr>
                <w:rFonts w:ascii="Arial" w:hAnsi="Arial"/>
                <w:sz w:val="16"/>
              </w:rPr>
              <w:t>The Jonah Study — Full Convergence Proof.pdf</w:t>
            </w:r>
          </w:p>
        </w:tc>
        <w:tc>
          <w:tcPr>
            <w:tcW w:type="dxa" w:w="1872"/>
          </w:tcPr>
          <w:p>
            <w:r>
              <w:rPr>
                <w:rFonts w:ascii="Arial" w:hAnsi="Arial"/>
                <w:sz w:val="16"/>
              </w:rPr>
              <w:t>case studies / convergence proof</w:t>
            </w:r>
          </w:p>
        </w:tc>
        <w:tc>
          <w:tcPr>
            <w:tcW w:type="dxa" w:w="1872"/>
          </w:tcPr>
          <w:p>
            <w:r>
              <w:rPr>
                <w:rFonts w:ascii="Arial" w:hAnsi="Arial"/>
                <w:sz w:val="16"/>
              </w:rPr>
              <w:t>correctly placed</w:t>
            </w:r>
          </w:p>
        </w:tc>
        <w:tc>
          <w:tcPr>
            <w:tcW w:type="dxa" w:w="1872"/>
          </w:tcPr>
          <w:p>
            <w:r>
              <w:rPr>
                <w:rFonts w:ascii="Arial" w:hAnsi="Arial"/>
                <w:sz w:val="16"/>
              </w:rPr>
              <w:t>PUBLIC</w:t>
            </w:r>
          </w:p>
        </w:tc>
        <w:tc>
          <w:tcPr>
            <w:tcW w:type="dxa" w:w="1872"/>
          </w:tcPr>
          <w:p>
            <w:r>
              <w:rPr>
                <w:rFonts w:ascii="Arial" w:hAnsi="Arial"/>
                <w:sz w:val="16"/>
              </w:rPr>
              <w:t>Formatted proof document. 12 datasets, random divergence table, structural clustering table (X̄=0.390992, σ=0.019778), 6 statistical tests, EDD validation, conclusion. Presentation-ready.</w:t>
            </w:r>
          </w:p>
        </w:tc>
      </w:tr>
      <w:tr>
        <w:tc>
          <w:tcPr>
            <w:tcW w:type="dxa" w:w="1872"/>
          </w:tcPr>
          <w:p>
            <w:r>
              <w:rPr>
                <w:rFonts w:ascii="Arial" w:hAnsi="Arial"/>
                <w:sz w:val="16"/>
              </w:rPr>
              <w:t>The K(t) Formula and Patent Claims.pdf</w:t>
            </w:r>
          </w:p>
        </w:tc>
        <w:tc>
          <w:tcPr>
            <w:tcW w:type="dxa" w:w="1872"/>
          </w:tcPr>
          <w:p>
            <w:r>
              <w:rPr>
                <w:rFonts w:ascii="Arial" w:hAnsi="Arial"/>
                <w:sz w:val="16"/>
              </w:rPr>
              <w:t>case studies / K(t) method</w:t>
            </w:r>
          </w:p>
        </w:tc>
        <w:tc>
          <w:tcPr>
            <w:tcW w:type="dxa" w:w="1872"/>
          </w:tcPr>
          <w:p>
            <w:r>
              <w:rPr>
                <w:rFonts w:ascii="Arial" w:hAnsi="Arial"/>
                <w:sz w:val="16"/>
              </w:rPr>
              <w:t>MIXED</w:t>
            </w:r>
          </w:p>
        </w:tc>
        <w:tc>
          <w:tcPr>
            <w:tcW w:type="dxa" w:w="1872"/>
          </w:tcPr>
          <w:p>
            <w:r>
              <w:rPr>
                <w:rFonts w:ascii="Arial" w:hAnsi="Arial"/>
                <w:sz w:val="16"/>
              </w:rPr>
              <w:t>PUBLIC/RESTRICTED</w:t>
            </w:r>
          </w:p>
        </w:tc>
        <w:tc>
          <w:tcPr>
            <w:tcW w:type="dxa" w:w="1872"/>
          </w:tcPr>
          <w:p>
            <w:r>
              <w:rPr>
                <w:rFonts w:ascii="Arial" w:hAnsi="Arial"/>
                <w:sz w:val="16"/>
              </w:rPr>
              <w:t>MIXED: The formula presentation and 5-Step Replication Protocol are portfolio material (Section 3). The specific variable definitions, Cultural Constant examples, and Epsilon derivation contain protected IP that also belongs in Section 4. Public version shows WHAT. Protected version shows WHY.</w:t>
            </w:r>
          </w:p>
        </w:tc>
      </w:tr>
      <w:tr>
        <w:tc>
          <w:tcPr>
            <w:tcW w:type="dxa" w:w="1872"/>
          </w:tcPr>
          <w:p>
            <w:r>
              <w:rPr>
                <w:rFonts w:ascii="Arial" w:hAnsi="Arial"/>
                <w:sz w:val="16"/>
              </w:rPr>
              <w:t>Social Location Constraint Mapping (SLCM).pdf</w:t>
            </w:r>
          </w:p>
        </w:tc>
        <w:tc>
          <w:tcPr>
            <w:tcW w:type="dxa" w:w="1872"/>
          </w:tcPr>
          <w:p>
            <w:r>
              <w:rPr>
                <w:rFonts w:ascii="Arial" w:hAnsi="Arial"/>
                <w:sz w:val="16"/>
              </w:rPr>
              <w:t>case studies / applied method</w:t>
            </w:r>
          </w:p>
        </w:tc>
        <w:tc>
          <w:tcPr>
            <w:tcW w:type="dxa" w:w="1872"/>
          </w:tcPr>
          <w:p>
            <w:r>
              <w:rPr>
                <w:rFonts w:ascii="Arial" w:hAnsi="Arial"/>
                <w:sz w:val="16"/>
              </w:rPr>
              <w:t>correctly placed</w:t>
            </w:r>
          </w:p>
        </w:tc>
        <w:tc>
          <w:tcPr>
            <w:tcW w:type="dxa" w:w="1872"/>
          </w:tcPr>
          <w:p>
            <w:r>
              <w:rPr>
                <w:rFonts w:ascii="Arial" w:hAnsi="Arial"/>
                <w:sz w:val="16"/>
              </w:rPr>
              <w:t>PUBLIC</w:t>
            </w:r>
          </w:p>
        </w:tc>
        <w:tc>
          <w:tcPr>
            <w:tcW w:type="dxa" w:w="1872"/>
          </w:tcPr>
          <w:p>
            <w:r>
              <w:rPr>
                <w:rFonts w:ascii="Arial" w:hAnsi="Arial"/>
                <w:sz w:val="16"/>
              </w:rPr>
              <w:t>Application document. 6 analytical layers (Economic, Institutional, Spatial, Temporal, Representational, Relational). PCS scoring formula. Comparison to 0.39. Classroom use protocol connecting to SOC-1A Chapters 1-2. Publishable as standalone research method.</w:t>
            </w:r>
          </w:p>
        </w:tc>
      </w:tr>
      <w:tr>
        <w:tc>
          <w:tcPr>
            <w:tcW w:type="dxa" w:w="1872"/>
          </w:tcPr>
          <w:p>
            <w:r>
              <w:rPr>
                <w:rFonts w:ascii="Arial" w:hAnsi="Arial"/>
                <w:sz w:val="16"/>
              </w:rPr>
              <w:t>The_Geometry_of_Memory.pdf</w:t>
            </w:r>
          </w:p>
        </w:tc>
        <w:tc>
          <w:tcPr>
            <w:tcW w:type="dxa" w:w="1872"/>
          </w:tcPr>
          <w:p>
            <w:r>
              <w:rPr>
                <w:rFonts w:ascii="Arial" w:hAnsi="Arial"/>
                <w:sz w:val="16"/>
              </w:rPr>
              <w:t>presentation artifacts / NotebookLM</w:t>
            </w:r>
          </w:p>
        </w:tc>
        <w:tc>
          <w:tcPr>
            <w:tcW w:type="dxa" w:w="1872"/>
          </w:tcPr>
          <w:p>
            <w:r>
              <w:rPr>
                <w:rFonts w:ascii="Arial" w:hAnsi="Arial"/>
                <w:sz w:val="16"/>
              </w:rPr>
              <w:t>correctly placed</w:t>
            </w:r>
          </w:p>
        </w:tc>
        <w:tc>
          <w:tcPr>
            <w:tcW w:type="dxa" w:w="1872"/>
          </w:tcPr>
          <w:p>
            <w:r>
              <w:rPr>
                <w:rFonts w:ascii="Arial" w:hAnsi="Arial"/>
                <w:sz w:val="16"/>
              </w:rPr>
              <w:t>PUBLIC</w:t>
            </w:r>
          </w:p>
        </w:tc>
        <w:tc>
          <w:tcPr>
            <w:tcW w:type="dxa" w:w="1872"/>
          </w:tcPr>
          <w:p>
            <w:r>
              <w:rPr>
                <w:rFonts w:ascii="Arial" w:hAnsi="Arial"/>
                <w:sz w:val="16"/>
              </w:rPr>
              <w:t>15-slide NotebookLM output. Visual presentation of glyph concepts.</w:t>
            </w:r>
          </w:p>
        </w:tc>
      </w:tr>
      <w:tr>
        <w:tc>
          <w:tcPr>
            <w:tcW w:type="dxa" w:w="1872"/>
          </w:tcPr>
          <w:p>
            <w:r>
              <w:rPr>
                <w:rFonts w:ascii="Arial" w:hAnsi="Arial"/>
                <w:sz w:val="16"/>
              </w:rPr>
              <w:t>From_Symbols_to_Society.pdf</w:t>
            </w:r>
          </w:p>
        </w:tc>
        <w:tc>
          <w:tcPr>
            <w:tcW w:type="dxa" w:w="1872"/>
          </w:tcPr>
          <w:p>
            <w:r>
              <w:rPr>
                <w:rFonts w:ascii="Arial" w:hAnsi="Arial"/>
                <w:sz w:val="16"/>
              </w:rPr>
              <w:t>presentation artifacts / NotebookLM</w:t>
            </w:r>
          </w:p>
        </w:tc>
        <w:tc>
          <w:tcPr>
            <w:tcW w:type="dxa" w:w="1872"/>
          </w:tcPr>
          <w:p>
            <w:r>
              <w:rPr>
                <w:rFonts w:ascii="Arial" w:hAnsi="Arial"/>
                <w:sz w:val="16"/>
              </w:rPr>
              <w:t>correctly placed</w:t>
            </w:r>
          </w:p>
        </w:tc>
        <w:tc>
          <w:tcPr>
            <w:tcW w:type="dxa" w:w="1872"/>
          </w:tcPr>
          <w:p>
            <w:r>
              <w:rPr>
                <w:rFonts w:ascii="Arial" w:hAnsi="Arial"/>
                <w:sz w:val="16"/>
              </w:rPr>
              <w:t>PUBLIC</w:t>
            </w:r>
          </w:p>
        </w:tc>
        <w:tc>
          <w:tcPr>
            <w:tcW w:type="dxa" w:w="1872"/>
          </w:tcPr>
          <w:p>
            <w:r>
              <w:rPr>
                <w:rFonts w:ascii="Arial" w:hAnsi="Arial"/>
                <w:sz w:val="16"/>
              </w:rPr>
              <w:t>5-slide NotebookLM output. Symbol-to-society concept presentation.</w:t>
            </w:r>
          </w:p>
        </w:tc>
      </w:tr>
      <w:tr>
        <w:tc>
          <w:tcPr>
            <w:tcW w:type="dxa" w:w="1872"/>
          </w:tcPr>
          <w:p>
            <w:r>
              <w:rPr>
                <w:rFonts w:ascii="Arial" w:hAnsi="Arial"/>
                <w:sz w:val="16"/>
              </w:rPr>
              <w:t>Cultural Intelligence Deck HTML</w:t>
            </w:r>
          </w:p>
        </w:tc>
        <w:tc>
          <w:tcPr>
            <w:tcW w:type="dxa" w:w="1872"/>
          </w:tcPr>
          <w:p>
            <w:r>
              <w:rPr>
                <w:rFonts w:ascii="Arial" w:hAnsi="Arial"/>
                <w:sz w:val="16"/>
              </w:rPr>
              <w:t>presentation artifacts / deck</w:t>
            </w:r>
          </w:p>
        </w:tc>
        <w:tc>
          <w:tcPr>
            <w:tcW w:type="dxa" w:w="1872"/>
          </w:tcPr>
          <w:p>
            <w:r>
              <w:rPr>
                <w:rFonts w:ascii="Arial" w:hAnsi="Arial"/>
                <w:sz w:val="16"/>
              </w:rPr>
              <w:t>correctly placed</w:t>
            </w:r>
          </w:p>
        </w:tc>
        <w:tc>
          <w:tcPr>
            <w:tcW w:type="dxa" w:w="1872"/>
          </w:tcPr>
          <w:p>
            <w:r>
              <w:rPr>
                <w:rFonts w:ascii="Arial" w:hAnsi="Arial"/>
                <w:sz w:val="16"/>
              </w:rPr>
              <w:t>PUBLIC</w:t>
            </w:r>
          </w:p>
        </w:tc>
        <w:tc>
          <w:tcPr>
            <w:tcW w:type="dxa" w:w="1872"/>
          </w:tcPr>
          <w:p>
            <w:r>
              <w:rPr>
                <w:rFonts w:ascii="Arial" w:hAnsi="Arial"/>
                <w:sz w:val="16"/>
              </w:rPr>
              <w:t>Cultural Intelligence presentation deck.</w:t>
            </w:r>
          </w:p>
        </w:tc>
      </w:tr>
      <w:tr>
        <w:tc>
          <w:tcPr>
            <w:tcW w:type="dxa" w:w="1872"/>
          </w:tcPr>
          <w:p>
            <w:r>
              <w:rPr>
                <w:rFonts w:ascii="Arial" w:hAnsi="Arial"/>
                <w:sz w:val="16"/>
              </w:rPr>
              <w:t>01-home-brand.html</w:t>
            </w:r>
          </w:p>
        </w:tc>
        <w:tc>
          <w:tcPr>
            <w:tcW w:type="dxa" w:w="1872"/>
          </w:tcPr>
          <w:p>
            <w:r>
              <w:rPr>
                <w:rFonts w:ascii="Arial" w:hAnsi="Arial"/>
                <w:sz w:val="16"/>
              </w:rPr>
              <w:t>showcase assets / Fourthwall block</w:t>
            </w:r>
          </w:p>
        </w:tc>
        <w:tc>
          <w:tcPr>
            <w:tcW w:type="dxa" w:w="1872"/>
          </w:tcPr>
          <w:p>
            <w:r>
              <w:rPr>
                <w:rFonts w:ascii="Arial" w:hAnsi="Arial"/>
                <w:sz w:val="16"/>
              </w:rPr>
              <w:t>correctly placed</w:t>
            </w:r>
          </w:p>
        </w:tc>
        <w:tc>
          <w:tcPr>
            <w:tcW w:type="dxa" w:w="1872"/>
          </w:tcPr>
          <w:p>
            <w:r>
              <w:rPr>
                <w:rFonts w:ascii="Arial" w:hAnsi="Arial"/>
                <w:sz w:val="16"/>
              </w:rPr>
              <w:t>PUBLIC</w:t>
            </w:r>
          </w:p>
        </w:tc>
        <w:tc>
          <w:tcPr>
            <w:tcW w:type="dxa" w:w="1872"/>
          </w:tcPr>
          <w:p>
            <w:r>
              <w:rPr>
                <w:rFonts w:ascii="Arial" w:hAnsi="Arial"/>
                <w:sz w:val="16"/>
              </w:rPr>
              <w:t>Fourthwall home block. Working, production-ready.</w:t>
            </w:r>
          </w:p>
        </w:tc>
      </w:tr>
      <w:tr>
        <w:tc>
          <w:tcPr>
            <w:tcW w:type="dxa" w:w="1872"/>
          </w:tcPr>
          <w:p>
            <w:r>
              <w:rPr>
                <w:rFonts w:ascii="Arial" w:hAnsi="Arial"/>
                <w:sz w:val="16"/>
              </w:rPr>
              <w:t>04-portfolio.html</w:t>
            </w:r>
          </w:p>
        </w:tc>
        <w:tc>
          <w:tcPr>
            <w:tcW w:type="dxa" w:w="1872"/>
          </w:tcPr>
          <w:p>
            <w:r>
              <w:rPr>
                <w:rFonts w:ascii="Arial" w:hAnsi="Arial"/>
                <w:sz w:val="16"/>
              </w:rPr>
              <w:t>showcase assets / Fourthwall block</w:t>
            </w:r>
          </w:p>
        </w:tc>
        <w:tc>
          <w:tcPr>
            <w:tcW w:type="dxa" w:w="1872"/>
          </w:tcPr>
          <w:p>
            <w:r>
              <w:rPr>
                <w:rFonts w:ascii="Arial" w:hAnsi="Arial"/>
                <w:sz w:val="16"/>
              </w:rPr>
              <w:t>correctly placed</w:t>
            </w:r>
          </w:p>
        </w:tc>
        <w:tc>
          <w:tcPr>
            <w:tcW w:type="dxa" w:w="1872"/>
          </w:tcPr>
          <w:p>
            <w:r>
              <w:rPr>
                <w:rFonts w:ascii="Arial" w:hAnsi="Arial"/>
                <w:sz w:val="16"/>
              </w:rPr>
              <w:t>PUBLIC</w:t>
            </w:r>
          </w:p>
        </w:tc>
        <w:tc>
          <w:tcPr>
            <w:tcW w:type="dxa" w:w="1872"/>
          </w:tcPr>
          <w:p>
            <w:r>
              <w:rPr>
                <w:rFonts w:ascii="Arial" w:hAnsi="Arial"/>
                <w:sz w:val="16"/>
              </w:rPr>
              <w:t>Fourthwall portfolio block. Working, production-ready.</w:t>
            </w:r>
          </w:p>
        </w:tc>
      </w:tr>
      <w:tr>
        <w:tc>
          <w:tcPr>
            <w:tcW w:type="dxa" w:w="1872"/>
          </w:tcPr>
          <w:p>
            <w:r>
              <w:rPr>
                <w:rFonts w:ascii="Arial" w:hAnsi="Arial"/>
                <w:sz w:val="16"/>
              </w:rPr>
              <w:t>05-blog.html</w:t>
            </w:r>
          </w:p>
        </w:tc>
        <w:tc>
          <w:tcPr>
            <w:tcW w:type="dxa" w:w="1872"/>
          </w:tcPr>
          <w:p>
            <w:r>
              <w:rPr>
                <w:rFonts w:ascii="Arial" w:hAnsi="Arial"/>
                <w:sz w:val="16"/>
              </w:rPr>
              <w:t>showcase assets / Fourthwall block</w:t>
            </w:r>
          </w:p>
        </w:tc>
        <w:tc>
          <w:tcPr>
            <w:tcW w:type="dxa" w:w="1872"/>
          </w:tcPr>
          <w:p>
            <w:r>
              <w:rPr>
                <w:rFonts w:ascii="Arial" w:hAnsi="Arial"/>
                <w:sz w:val="16"/>
              </w:rPr>
              <w:t>correctly placed</w:t>
            </w:r>
          </w:p>
        </w:tc>
        <w:tc>
          <w:tcPr>
            <w:tcW w:type="dxa" w:w="1872"/>
          </w:tcPr>
          <w:p>
            <w:r>
              <w:rPr>
                <w:rFonts w:ascii="Arial" w:hAnsi="Arial"/>
                <w:sz w:val="16"/>
              </w:rPr>
              <w:t>PUBLIC</w:t>
            </w:r>
          </w:p>
        </w:tc>
        <w:tc>
          <w:tcPr>
            <w:tcW w:type="dxa" w:w="1872"/>
          </w:tcPr>
          <w:p>
            <w:r>
              <w:rPr>
                <w:rFonts w:ascii="Arial" w:hAnsi="Arial"/>
                <w:sz w:val="16"/>
              </w:rPr>
              <w:t>Fourthwall blog block. Working, production-ready.</w:t>
            </w:r>
          </w:p>
        </w:tc>
      </w:tr>
      <w:tr>
        <w:tc>
          <w:tcPr>
            <w:tcW w:type="dxa" w:w="1872"/>
          </w:tcPr>
          <w:p>
            <w:r>
              <w:rPr>
                <w:rFonts w:ascii="Arial" w:hAnsi="Arial"/>
                <w:sz w:val="16"/>
              </w:rPr>
              <w:t>26 original PNGs (assets/art/)</w:t>
            </w:r>
          </w:p>
        </w:tc>
        <w:tc>
          <w:tcPr>
            <w:tcW w:type="dxa" w:w="1872"/>
          </w:tcPr>
          <w:p>
            <w:r>
              <w:rPr>
                <w:rFonts w:ascii="Arial" w:hAnsi="Arial"/>
                <w:sz w:val="16"/>
              </w:rPr>
              <w:t>identity works / visual assets</w:t>
            </w:r>
          </w:p>
        </w:tc>
        <w:tc>
          <w:tcPr>
            <w:tcW w:type="dxa" w:w="1872"/>
          </w:tcPr>
          <w:p>
            <w:r>
              <w:rPr>
                <w:rFonts w:ascii="Arial" w:hAnsi="Arial"/>
                <w:sz w:val="16"/>
              </w:rPr>
              <w:t>correctly placed</w:t>
            </w:r>
          </w:p>
        </w:tc>
        <w:tc>
          <w:tcPr>
            <w:tcW w:type="dxa" w:w="1872"/>
          </w:tcPr>
          <w:p>
            <w:r>
              <w:rPr>
                <w:rFonts w:ascii="Arial" w:hAnsi="Arial"/>
                <w:sz w:val="16"/>
              </w:rPr>
              <w:t>PUBLIC</w:t>
            </w:r>
          </w:p>
        </w:tc>
        <w:tc>
          <w:tcPr>
            <w:tcW w:type="dxa" w:w="1872"/>
          </w:tcPr>
          <w:p>
            <w:r>
              <w:rPr>
                <w:rFonts w:ascii="Arial" w:hAnsi="Arial"/>
                <w:sz w:val="16"/>
              </w:rPr>
              <w:t>Original art assets. Brand visual identity.</w:t>
            </w:r>
          </w:p>
        </w:tc>
      </w:tr>
      <w:tr>
        <w:tc>
          <w:tcPr>
            <w:tcW w:type="dxa" w:w="1872"/>
          </w:tcPr>
          <w:p>
            <w:r>
              <w:rPr>
                <w:rFonts w:ascii="Arial" w:hAnsi="Arial"/>
                <w:sz w:val="16"/>
              </w:rPr>
              <w:t>book-of-life.html</w:t>
            </w:r>
          </w:p>
        </w:tc>
        <w:tc>
          <w:tcPr>
            <w:tcW w:type="dxa" w:w="1872"/>
          </w:tcPr>
          <w:p>
            <w:r>
              <w:rPr>
                <w:rFonts w:ascii="Arial" w:hAnsi="Arial"/>
                <w:sz w:val="16"/>
              </w:rPr>
              <w:t>showcase assets / interactive game</w:t>
            </w:r>
          </w:p>
        </w:tc>
        <w:tc>
          <w:tcPr>
            <w:tcW w:type="dxa" w:w="1872"/>
          </w:tcPr>
          <w:p>
            <w:r>
              <w:rPr>
                <w:rFonts w:ascii="Arial" w:hAnsi="Arial"/>
                <w:sz w:val="16"/>
              </w:rPr>
              <w:t>correctly placed</w:t>
            </w:r>
          </w:p>
        </w:tc>
        <w:tc>
          <w:tcPr>
            <w:tcW w:type="dxa" w:w="1872"/>
          </w:tcPr>
          <w:p>
            <w:r>
              <w:rPr>
                <w:rFonts w:ascii="Arial" w:hAnsi="Arial"/>
                <w:sz w:val="16"/>
              </w:rPr>
              <w:t>PUBLIC</w:t>
            </w:r>
          </w:p>
        </w:tc>
        <w:tc>
          <w:tcPr>
            <w:tcW w:type="dxa" w:w="1872"/>
          </w:tcPr>
          <w:p>
            <w:r>
              <w:rPr>
                <w:rFonts w:ascii="Arial" w:hAnsi="Arial"/>
                <w:sz w:val="16"/>
              </w:rPr>
              <w:t>Complete game. Field-first architecture. Final version of 6 iterations.</w:t>
            </w:r>
          </w:p>
        </w:tc>
      </w:tr>
      <w:tr>
        <w:tc>
          <w:tcPr>
            <w:tcW w:type="dxa" w:w="1872"/>
          </w:tcPr>
          <w:p>
            <w:r>
              <w:rPr>
                <w:rFonts w:ascii="Arial" w:hAnsi="Arial"/>
                <w:sz w:val="16"/>
              </w:rPr>
              <w:t>HeyerLivin_Family_Transmission.html</w:t>
            </w:r>
          </w:p>
        </w:tc>
        <w:tc>
          <w:tcPr>
            <w:tcW w:type="dxa" w:w="1872"/>
          </w:tcPr>
          <w:p>
            <w:r>
              <w:rPr>
                <w:rFonts w:ascii="Arial" w:hAnsi="Arial"/>
                <w:sz w:val="16"/>
              </w:rPr>
              <w:t>showcase assets / calculator</w:t>
            </w:r>
          </w:p>
        </w:tc>
        <w:tc>
          <w:tcPr>
            <w:tcW w:type="dxa" w:w="1872"/>
          </w:tcPr>
          <w:p>
            <w:r>
              <w:rPr>
                <w:rFonts w:ascii="Arial" w:hAnsi="Arial"/>
                <w:sz w:val="16"/>
              </w:rPr>
              <w:t>correctly placed</w:t>
            </w:r>
          </w:p>
        </w:tc>
        <w:tc>
          <w:tcPr>
            <w:tcW w:type="dxa" w:w="1872"/>
          </w:tcPr>
          <w:p>
            <w:r>
              <w:rPr>
                <w:rFonts w:ascii="Arial" w:hAnsi="Arial"/>
                <w:sz w:val="16"/>
              </w:rPr>
              <w:t>PUBLIC</w:t>
            </w:r>
          </w:p>
        </w:tc>
        <w:tc>
          <w:tcPr>
            <w:tcW w:type="dxa" w:w="1872"/>
          </w:tcPr>
          <w:p>
            <w:r>
              <w:rPr>
                <w:rFonts w:ascii="Arial" w:hAnsi="Arial"/>
                <w:sz w:val="16"/>
              </w:rPr>
              <w:t>Family Transmission Calculator. Implements K(t) directly. Ships first per 90-day plan. $7 Gumroad / $12 Fourthwall.</w:t>
            </w:r>
          </w:p>
        </w:tc>
      </w:tr>
      <w:tr>
        <w:tc>
          <w:tcPr>
            <w:tcW w:type="dxa" w:w="1872"/>
          </w:tcPr>
          <w:p>
            <w:r>
              <w:rPr>
                <w:rFonts w:ascii="Arial" w:hAnsi="Arial"/>
                <w:sz w:val="16"/>
              </w:rPr>
              <w:t>convergence.html</w:t>
            </w:r>
          </w:p>
        </w:tc>
        <w:tc>
          <w:tcPr>
            <w:tcW w:type="dxa" w:w="1872"/>
          </w:tcPr>
          <w:p>
            <w:r>
              <w:rPr>
                <w:rFonts w:ascii="Arial" w:hAnsi="Arial"/>
                <w:sz w:val="16"/>
              </w:rPr>
              <w:t>showcase assets / visualization</w:t>
            </w:r>
          </w:p>
        </w:tc>
        <w:tc>
          <w:tcPr>
            <w:tcW w:type="dxa" w:w="1872"/>
          </w:tcPr>
          <w:p>
            <w:r>
              <w:rPr>
                <w:rFonts w:ascii="Arial" w:hAnsi="Arial"/>
                <w:sz w:val="16"/>
              </w:rPr>
              <w:t>correctly placed</w:t>
            </w:r>
          </w:p>
        </w:tc>
        <w:tc>
          <w:tcPr>
            <w:tcW w:type="dxa" w:w="1872"/>
          </w:tcPr>
          <w:p>
            <w:r>
              <w:rPr>
                <w:rFonts w:ascii="Arial" w:hAnsi="Arial"/>
                <w:sz w:val="16"/>
              </w:rPr>
              <w:t>PUBLIC</w:t>
            </w:r>
          </w:p>
        </w:tc>
        <w:tc>
          <w:tcPr>
            <w:tcW w:type="dxa" w:w="1872"/>
          </w:tcPr>
          <w:p>
            <w:r>
              <w:rPr>
                <w:rFonts w:ascii="Arial" w:hAnsi="Arial"/>
                <w:sz w:val="16"/>
              </w:rPr>
              <w:t>Convergence proof visualization widget.</w:t>
            </w:r>
          </w:p>
        </w:tc>
      </w:tr>
      <w:tr>
        <w:tc>
          <w:tcPr>
            <w:tcW w:type="dxa" w:w="1872"/>
          </w:tcPr>
          <w:p>
            <w:r>
              <w:rPr>
                <w:rFonts w:ascii="Arial" w:hAnsi="Arial"/>
                <w:sz w:val="16"/>
              </w:rPr>
              <w:t>archive.html</w:t>
            </w:r>
          </w:p>
        </w:tc>
        <w:tc>
          <w:tcPr>
            <w:tcW w:type="dxa" w:w="1872"/>
          </w:tcPr>
          <w:p>
            <w:r>
              <w:rPr>
                <w:rFonts w:ascii="Arial" w:hAnsi="Arial"/>
                <w:sz w:val="16"/>
              </w:rPr>
              <w:t>showcase assets / tool aggregator</w:t>
            </w:r>
          </w:p>
        </w:tc>
        <w:tc>
          <w:tcPr>
            <w:tcW w:type="dxa" w:w="1872"/>
          </w:tcPr>
          <w:p>
            <w:r>
              <w:rPr>
                <w:rFonts w:ascii="Arial" w:hAnsi="Arial"/>
                <w:sz w:val="16"/>
              </w:rPr>
              <w:t>correctly placed</w:t>
            </w:r>
          </w:p>
        </w:tc>
        <w:tc>
          <w:tcPr>
            <w:tcW w:type="dxa" w:w="1872"/>
          </w:tcPr>
          <w:p>
            <w:r>
              <w:rPr>
                <w:rFonts w:ascii="Arial" w:hAnsi="Arial"/>
                <w:sz w:val="16"/>
              </w:rPr>
              <w:t>PUBLIC</w:t>
            </w:r>
          </w:p>
        </w:tc>
        <w:tc>
          <w:tcPr>
            <w:tcW w:type="dxa" w:w="1872"/>
          </w:tcPr>
          <w:p>
            <w:r>
              <w:rPr>
                <w:rFonts w:ascii="Arial" w:hAnsi="Arial"/>
                <w:sz w:val="16"/>
              </w:rPr>
              <w:t>9 tools aggregated. Needs path verification.</w:t>
            </w:r>
          </w:p>
        </w:tc>
      </w:tr>
    </w:tbl>
    <w:p/>
    <w:p>
      <w:r>
        <w:rPr>
          <w:b/>
          <w:color w:val="7D3C98"/>
          <w:sz w:val="28"/>
        </w:rPr>
        <w:t>SECTION 4 — QmPYcVJCV8277</w:t>
      </w:r>
    </w:p>
    <w:p>
      <w:r>
        <w:rPr>
          <w:i/>
          <w:sz w:val="18"/>
        </w:rPr>
        <w:t>Protected core. Secret formula. Private frameworks. Unreleased theory. Restricted.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Arial" w:hAnsi="Arial"/>
                <w:b/>
                <w:sz w:val="16"/>
              </w:rPr>
              <w:t>FILE</w:t>
            </w:r>
          </w:p>
        </w:tc>
        <w:tc>
          <w:tcPr>
            <w:tcW w:type="dxa" w:w="1872"/>
          </w:tcPr>
          <w:p>
            <w:r>
              <w:rPr>
                <w:rFonts w:ascii="Arial" w:hAnsi="Arial"/>
                <w:b/>
                <w:sz w:val="16"/>
              </w:rPr>
              <w:t>SUBSECTION</w:t>
            </w:r>
          </w:p>
        </w:tc>
        <w:tc>
          <w:tcPr>
            <w:tcW w:type="dxa" w:w="1872"/>
          </w:tcPr>
          <w:p>
            <w:r>
              <w:rPr>
                <w:rFonts w:ascii="Arial" w:hAnsi="Arial"/>
                <w:b/>
                <w:sz w:val="16"/>
              </w:rPr>
              <w:t>STATUS</w:t>
            </w:r>
          </w:p>
        </w:tc>
        <w:tc>
          <w:tcPr>
            <w:tcW w:type="dxa" w:w="1872"/>
          </w:tcPr>
          <w:p>
            <w:r>
              <w:rPr>
                <w:rFonts w:ascii="Arial" w:hAnsi="Arial"/>
                <w:b/>
                <w:sz w:val="16"/>
              </w:rPr>
              <w:t>VISIBILITY</w:t>
            </w:r>
          </w:p>
        </w:tc>
        <w:tc>
          <w:tcPr>
            <w:tcW w:type="dxa" w:w="1872"/>
          </w:tcPr>
          <w:p>
            <w:r>
              <w:rPr>
                <w:rFonts w:ascii="Arial" w:hAnsi="Arial"/>
                <w:b/>
                <w:sz w:val="16"/>
              </w:rPr>
              <w:t>CLASSIFICATION REASON</w:t>
            </w:r>
          </w:p>
        </w:tc>
      </w:tr>
      <w:tr>
        <w:tc>
          <w:tcPr>
            <w:tcW w:type="dxa" w:w="1872"/>
          </w:tcPr>
          <w:p>
            <w:r>
              <w:rPr>
                <w:rFonts w:ascii="Arial" w:hAnsi="Arial"/>
                <w:sz w:val="16"/>
              </w:rPr>
              <w:t>K(t)_3E_FORMULA_SPEC.md</w:t>
            </w:r>
          </w:p>
        </w:tc>
        <w:tc>
          <w:tcPr>
            <w:tcW w:type="dxa" w:w="1872"/>
          </w:tcPr>
          <w:p>
            <w:r>
              <w:rPr>
                <w:rFonts w:ascii="Arial" w:hAnsi="Arial"/>
                <w:sz w:val="16"/>
              </w:rPr>
              <w:t>core formula</w:t>
            </w:r>
          </w:p>
        </w:tc>
        <w:tc>
          <w:tcPr>
            <w:tcW w:type="dxa" w:w="1872"/>
          </w:tcPr>
          <w:p>
            <w:r>
              <w:rPr>
                <w:rFonts w:ascii="Arial" w:hAnsi="Arial"/>
                <w:sz w:val="16"/>
              </w:rPr>
              <w:t>correctly placed</w:t>
            </w:r>
          </w:p>
        </w:tc>
        <w:tc>
          <w:tcPr>
            <w:tcW w:type="dxa" w:w="1872"/>
          </w:tcPr>
          <w:p>
            <w:r>
              <w:rPr>
                <w:rFonts w:ascii="Arial" w:hAnsi="Arial"/>
                <w:sz w:val="16"/>
              </w:rPr>
              <w:t>RESTRICTED</w:t>
            </w:r>
          </w:p>
        </w:tc>
        <w:tc>
          <w:tcPr>
            <w:tcW w:type="dxa" w:w="1872"/>
          </w:tcPr>
          <w:p>
            <w:r>
              <w:rPr>
                <w:rFonts w:ascii="Arial" w:hAnsi="Arial"/>
                <w:sz w:val="16"/>
              </w:rPr>
              <w:t>MASTER FORMULA: K(t) = x(a,b,c) / [x(a,b,c) + y(a,b,c)^2]. 3E Framework: 1(3E)+2(3E)=3(3E). Zone-dependent operations: SUBORDINATED uses 3E*K(t), STRUCTURAL holds dual operations K(t)/(3E) and (3E)/K(t) simultaneously until context collapses, DOMINANT uses K(t)=x/(3E). The dual-operation mechanism IS the core inventive step. NEVER expose in public sections.</w:t>
            </w:r>
          </w:p>
        </w:tc>
      </w:tr>
      <w:tr>
        <w:tc>
          <w:tcPr>
            <w:tcW w:type="dxa" w:w="1872"/>
          </w:tcPr>
          <w:p>
            <w:r>
              <w:rPr>
                <w:rFonts w:ascii="Arial" w:hAnsi="Arial"/>
                <w:sz w:val="16"/>
              </w:rPr>
              <w:t>Glyph-Q Quantum Specification (CLAUDE.md)</w:t>
            </w:r>
          </w:p>
        </w:tc>
        <w:tc>
          <w:tcPr>
            <w:tcW w:type="dxa" w:w="1872"/>
          </w:tcPr>
          <w:p>
            <w:r>
              <w:rPr>
                <w:rFonts w:ascii="Arial" w:hAnsi="Arial"/>
                <w:sz w:val="16"/>
              </w:rPr>
              <w:t>unreleased theory</w:t>
            </w:r>
          </w:p>
        </w:tc>
        <w:tc>
          <w:tcPr>
            <w:tcW w:type="dxa" w:w="1872"/>
          </w:tcPr>
          <w:p>
            <w:r>
              <w:rPr>
                <w:rFonts w:ascii="Arial" w:hAnsi="Arial"/>
                <w:sz w:val="16"/>
              </w:rPr>
              <w:t>correctly placed</w:t>
            </w:r>
          </w:p>
        </w:tc>
        <w:tc>
          <w:tcPr>
            <w:tcW w:type="dxa" w:w="1872"/>
          </w:tcPr>
          <w:p>
            <w:r>
              <w:rPr>
                <w:rFonts w:ascii="Arial" w:hAnsi="Arial"/>
                <w:sz w:val="16"/>
              </w:rPr>
              <w:t>RESTRICTED</w:t>
            </w:r>
          </w:p>
        </w:tc>
        <w:tc>
          <w:tcPr>
            <w:tcW w:type="dxa" w:w="1872"/>
          </w:tcPr>
          <w:p>
            <w:r>
              <w:rPr>
                <w:rFonts w:ascii="Arial" w:hAnsi="Arial"/>
                <w:sz w:val="16"/>
              </w:rPr>
              <w:t>8x8 Hermitian Hamiltonian. lambda_0=0.39 ground state eigenvalue. Imaginary-time evolution. Epsilon quantum: sqrt(2)-1=0.41421356. Structural entanglement across centuries (PMIX 2026 / Savannah 1835). Research agenda: infer H from data, classify by eigenvalue spectrum, measure epsilon residuals.</w:t>
            </w:r>
          </w:p>
        </w:tc>
      </w:tr>
      <w:tr>
        <w:tc>
          <w:tcPr>
            <w:tcW w:type="dxa" w:w="1872"/>
          </w:tcPr>
          <w:p>
            <w:r>
              <w:rPr>
                <w:rFonts w:ascii="Arial" w:hAnsi="Arial"/>
                <w:sz w:val="16"/>
              </w:rPr>
              <w:t>Convergence Proof statistical battery (CLAUDE.md)</w:t>
            </w:r>
          </w:p>
        </w:tc>
        <w:tc>
          <w:tcPr>
            <w:tcW w:type="dxa" w:w="1872"/>
          </w:tcPr>
          <w:p>
            <w:r>
              <w:rPr>
                <w:rFonts w:ascii="Arial" w:hAnsi="Arial"/>
                <w:sz w:val="16"/>
              </w:rPr>
              <w:t>private frameworks / statistical core</w:t>
            </w:r>
          </w:p>
        </w:tc>
        <w:tc>
          <w:tcPr>
            <w:tcW w:type="dxa" w:w="1872"/>
          </w:tcPr>
          <w:p>
            <w:r>
              <w:rPr>
                <w:rFonts w:ascii="Arial" w:hAnsi="Arial"/>
                <w:sz w:val="16"/>
              </w:rPr>
              <w:t>correctly placed</w:t>
            </w:r>
          </w:p>
        </w:tc>
        <w:tc>
          <w:tcPr>
            <w:tcW w:type="dxa" w:w="1872"/>
          </w:tcPr>
          <w:p>
            <w:r>
              <w:rPr>
                <w:rFonts w:ascii="Arial" w:hAnsi="Arial"/>
                <w:sz w:val="16"/>
              </w:rPr>
              <w:t>RESTRICTED</w:t>
            </w:r>
          </w:p>
        </w:tc>
        <w:tc>
          <w:tcPr>
            <w:tcW w:type="dxa" w:w="1872"/>
          </w:tcPr>
          <w:p>
            <w:r>
              <w:rPr>
                <w:rFonts w:ascii="Arial" w:hAnsi="Arial"/>
                <w:sz w:val="16"/>
              </w:rPr>
              <w:t>Full 6-test specification: Test A (vs Uniform null), Test B (per-dataset null), Test C (KS), Test D (Levene variance), Test E (t-test mu=0.39), Test F (clustering permutation). All p=0.00e+00. The specific test design and combination is proprietary methodology.</w:t>
            </w:r>
          </w:p>
        </w:tc>
      </w:tr>
      <w:tr>
        <w:tc>
          <w:tcPr>
            <w:tcW w:type="dxa" w:w="1872"/>
          </w:tcPr>
          <w:p>
            <w:r>
              <w:rPr>
                <w:rFonts w:ascii="Arial" w:hAnsi="Arial"/>
                <w:sz w:val="16"/>
              </w:rPr>
              <w:t>glyph8.py (662 lines)</w:t>
            </w:r>
          </w:p>
        </w:tc>
        <w:tc>
          <w:tcPr>
            <w:tcW w:type="dxa" w:w="1872"/>
          </w:tcPr>
          <w:p>
            <w:r>
              <w:rPr>
                <w:rFonts w:ascii="Arial" w:hAnsi="Arial"/>
                <w:sz w:val="16"/>
              </w:rPr>
              <w:t>protected notes / implementation</w:t>
            </w:r>
          </w:p>
        </w:tc>
        <w:tc>
          <w:tcPr>
            <w:tcW w:type="dxa" w:w="1872"/>
          </w:tcPr>
          <w:p>
            <w:r>
              <w:rPr>
                <w:rFonts w:ascii="Arial" w:hAnsi="Arial"/>
                <w:sz w:val="16"/>
              </w:rPr>
              <w:t>correctly placed</w:t>
            </w:r>
          </w:p>
        </w:tc>
        <w:tc>
          <w:tcPr>
            <w:tcW w:type="dxa" w:w="1872"/>
          </w:tcPr>
          <w:p>
            <w:r>
              <w:rPr>
                <w:rFonts w:ascii="Arial" w:hAnsi="Arial"/>
                <w:sz w:val="16"/>
              </w:rPr>
              <w:t>RESTRICTED</w:t>
            </w:r>
          </w:p>
        </w:tc>
        <w:tc>
          <w:tcPr>
            <w:tcW w:type="dxa" w:w="1872"/>
          </w:tcPr>
          <w:p>
            <w:r>
              <w:rPr>
                <w:rFonts w:ascii="Arial" w:hAnsi="Arial"/>
                <w:sz w:val="16"/>
              </w:rPr>
              <w:t>Full engine source. 10 modes. Imports from core/ (14 modules). The implementation logic — how cycle detection, event recording, simulation trials, and zone classification are coded — is protected. The public description says WHAT it does. The code shows HOW.</w:t>
            </w:r>
          </w:p>
        </w:tc>
      </w:tr>
      <w:tr>
        <w:tc>
          <w:tcPr>
            <w:tcW w:type="dxa" w:w="1872"/>
          </w:tcPr>
          <w:p>
            <w:r>
              <w:rPr>
                <w:rFonts w:ascii="Arial" w:hAnsi="Arial"/>
                <w:sz w:val="16"/>
              </w:rPr>
              <w:t>glyph_simulations.py (487 lines, 7 games)</w:t>
            </w:r>
          </w:p>
        </w:tc>
        <w:tc>
          <w:tcPr>
            <w:tcW w:type="dxa" w:w="1872"/>
          </w:tcPr>
          <w:p>
            <w:r>
              <w:rPr>
                <w:rFonts w:ascii="Arial" w:hAnsi="Arial"/>
                <w:sz w:val="16"/>
              </w:rPr>
              <w:t>protected notes / simulation logic</w:t>
            </w:r>
          </w:p>
        </w:tc>
        <w:tc>
          <w:tcPr>
            <w:tcW w:type="dxa" w:w="1872"/>
          </w:tcPr>
          <w:p>
            <w:r>
              <w:rPr>
                <w:rFonts w:ascii="Arial" w:hAnsi="Arial"/>
                <w:sz w:val="16"/>
              </w:rPr>
              <w:t>correctly placed</w:t>
            </w:r>
          </w:p>
        </w:tc>
        <w:tc>
          <w:tcPr>
            <w:tcW w:type="dxa" w:w="1872"/>
          </w:tcPr>
          <w:p>
            <w:r>
              <w:rPr>
                <w:rFonts w:ascii="Arial" w:hAnsi="Arial"/>
                <w:sz w:val="16"/>
              </w:rPr>
              <w:t>RESTRICTED</w:t>
            </w:r>
          </w:p>
        </w:tc>
        <w:tc>
          <w:tcPr>
            <w:tcW w:type="dxa" w:w="1872"/>
          </w:tcPr>
          <w:p>
            <w:r>
              <w:rPr>
                <w:rFonts w:ascii="Arial" w:hAnsi="Arial"/>
                <w:sz w:val="16"/>
              </w:rPr>
              <w:t>7-game simulation engine with documented expected values. Checkpoint system at 1K/10K/100K/500K/1M trials. The game selection and convergence verification methodology is protected.</w:t>
            </w:r>
          </w:p>
        </w:tc>
      </w:tr>
      <w:tr>
        <w:tc>
          <w:tcPr>
            <w:tcW w:type="dxa" w:w="1872"/>
          </w:tcPr>
          <w:p>
            <w:r>
              <w:rPr>
                <w:rFonts w:ascii="Arial" w:hAnsi="Arial"/>
                <w:sz w:val="16"/>
              </w:rPr>
              <w:t>core/ (14-15 Python modules)</w:t>
            </w:r>
          </w:p>
        </w:tc>
        <w:tc>
          <w:tcPr>
            <w:tcW w:type="dxa" w:w="1872"/>
          </w:tcPr>
          <w:p>
            <w:r>
              <w:rPr>
                <w:rFonts w:ascii="Arial" w:hAnsi="Arial"/>
                <w:sz w:val="16"/>
              </w:rPr>
              <w:t>protected notes / module architecture</w:t>
            </w:r>
          </w:p>
        </w:tc>
        <w:tc>
          <w:tcPr>
            <w:tcW w:type="dxa" w:w="1872"/>
          </w:tcPr>
          <w:p>
            <w:r>
              <w:rPr>
                <w:rFonts w:ascii="Arial" w:hAnsi="Arial"/>
                <w:sz w:val="16"/>
              </w:rPr>
              <w:t>correctly placed</w:t>
            </w:r>
          </w:p>
        </w:tc>
        <w:tc>
          <w:tcPr>
            <w:tcW w:type="dxa" w:w="1872"/>
          </w:tcPr>
          <w:p>
            <w:r>
              <w:rPr>
                <w:rFonts w:ascii="Arial" w:hAnsi="Arial"/>
                <w:sz w:val="16"/>
              </w:rPr>
              <w:t>RESTRICTED</w:t>
            </w:r>
          </w:p>
        </w:tc>
        <w:tc>
          <w:tcPr>
            <w:tcW w:type="dxa" w:w="1872"/>
          </w:tcPr>
          <w:p>
            <w:r>
              <w:rPr>
                <w:rFonts w:ascii="Arial" w:hAnsi="Arial"/>
                <w:sz w:val="16"/>
              </w:rPr>
              <w:t>paths, loader, validator, events (21-field schema), summary, frequency, judgment, routing, archive, manifests, plus support modules. The modular architecture and data flow is protected design.</w:t>
            </w:r>
          </w:p>
        </w:tc>
      </w:tr>
      <w:tr>
        <w:tc>
          <w:tcPr>
            <w:tcW w:type="dxa" w:w="1872"/>
          </w:tcPr>
          <w:p>
            <w:r>
              <w:rPr>
                <w:rFonts w:ascii="Arial" w:hAnsi="Arial"/>
                <w:sz w:val="16"/>
              </w:rPr>
              <w:t>Epsilon geometric proof</w:t>
            </w:r>
          </w:p>
        </w:tc>
        <w:tc>
          <w:tcPr>
            <w:tcW w:type="dxa" w:w="1872"/>
          </w:tcPr>
          <w:p>
            <w:r>
              <w:rPr>
                <w:rFonts w:ascii="Arial" w:hAnsi="Arial"/>
                <w:sz w:val="16"/>
              </w:rPr>
              <w:t>internal models / mathematical</w:t>
            </w:r>
          </w:p>
        </w:tc>
        <w:tc>
          <w:tcPr>
            <w:tcW w:type="dxa" w:w="1872"/>
          </w:tcPr>
          <w:p>
            <w:r>
              <w:rPr>
                <w:rFonts w:ascii="Arial" w:hAnsi="Arial"/>
                <w:sz w:val="16"/>
              </w:rPr>
              <w:t>correctly placed</w:t>
            </w:r>
          </w:p>
        </w:tc>
        <w:tc>
          <w:tcPr>
            <w:tcW w:type="dxa" w:w="1872"/>
          </w:tcPr>
          <w:p>
            <w:r>
              <w:rPr>
                <w:rFonts w:ascii="Arial" w:hAnsi="Arial"/>
                <w:sz w:val="16"/>
              </w:rPr>
              <w:t>RESTRICTED</w:t>
            </w:r>
          </w:p>
        </w:tc>
        <w:tc>
          <w:tcPr>
            <w:tcW w:type="dxa" w:w="1872"/>
          </w:tcPr>
          <w:p>
            <w:r>
              <w:rPr>
                <w:rFonts w:ascii="Arial" w:hAnsi="Arial"/>
                <w:sz w:val="16"/>
              </w:rPr>
              <w:t>epsilon = sqrt(2)-1. Fixed-point equation: epsilon = 1/(2+epsilon). Continued fraction limit. Geometric form: nested squares. Irreducible quantum of freedom. The specific derivation connecting epsilon to the constraint operator eigenvalue is protected.</w:t>
            </w:r>
          </w:p>
        </w:tc>
      </w:tr>
      <w:tr>
        <w:tc>
          <w:tcPr>
            <w:tcW w:type="dxa" w:w="1872"/>
          </w:tcPr>
          <w:p>
            <w:r>
              <w:rPr>
                <w:rFonts w:ascii="Arial" w:hAnsi="Arial"/>
                <w:sz w:val="16"/>
              </w:rPr>
              <w:t>PATENT_COMPLETE_FINAL_2026-03-28.docx</w:t>
            </w:r>
          </w:p>
        </w:tc>
        <w:tc>
          <w:tcPr>
            <w:tcW w:type="dxa" w:w="1872"/>
          </w:tcPr>
          <w:p>
            <w:r>
              <w:rPr>
                <w:rFonts w:ascii="Arial" w:hAnsi="Arial"/>
                <w:sz w:val="16"/>
              </w:rPr>
              <w:t>sensitive drafts / patent filing</w:t>
            </w:r>
          </w:p>
        </w:tc>
        <w:tc>
          <w:tcPr>
            <w:tcW w:type="dxa" w:w="1872"/>
          </w:tcPr>
          <w:p>
            <w:r>
              <w:rPr>
                <w:rFonts w:ascii="Arial" w:hAnsi="Arial"/>
                <w:sz w:val="16"/>
              </w:rPr>
              <w:t>correctly placed</w:t>
            </w:r>
          </w:p>
        </w:tc>
        <w:tc>
          <w:tcPr>
            <w:tcW w:type="dxa" w:w="1872"/>
          </w:tcPr>
          <w:p>
            <w:r>
              <w:rPr>
                <w:rFonts w:ascii="Arial" w:hAnsi="Arial"/>
                <w:sz w:val="16"/>
              </w:rPr>
              <w:t>RESTRICTED</w:t>
            </w:r>
          </w:p>
        </w:tc>
        <w:tc>
          <w:tcPr>
            <w:tcW w:type="dxa" w:w="1872"/>
          </w:tcPr>
          <w:p>
            <w:r>
              <w:rPr>
                <w:rFonts w:ascii="Arial" w:hAnsi="Arial"/>
                <w:sz w:val="16"/>
              </w:rPr>
              <w:t>Complete patent document. Filing-ready. On Desktop (read-locked from current session).</w:t>
            </w:r>
          </w:p>
        </w:tc>
      </w:tr>
      <w:tr>
        <w:tc>
          <w:tcPr>
            <w:tcW w:type="dxa" w:w="1872"/>
          </w:tcPr>
          <w:p>
            <w:r>
              <w:rPr>
                <w:rFonts w:ascii="Arial" w:hAnsi="Arial"/>
                <w:sz w:val="16"/>
              </w:rPr>
              <w:t>PATENT_v2_SYSTEM_SPEC_2026-03-28.docx</w:t>
            </w:r>
          </w:p>
        </w:tc>
        <w:tc>
          <w:tcPr>
            <w:tcW w:type="dxa" w:w="1872"/>
          </w:tcPr>
          <w:p>
            <w:r>
              <w:rPr>
                <w:rFonts w:ascii="Arial" w:hAnsi="Arial"/>
                <w:sz w:val="16"/>
              </w:rPr>
              <w:t>sensitive drafts / patent spec</w:t>
            </w:r>
          </w:p>
        </w:tc>
        <w:tc>
          <w:tcPr>
            <w:tcW w:type="dxa" w:w="1872"/>
          </w:tcPr>
          <w:p>
            <w:r>
              <w:rPr>
                <w:rFonts w:ascii="Arial" w:hAnsi="Arial"/>
                <w:sz w:val="16"/>
              </w:rPr>
              <w:t>correctly placed</w:t>
            </w:r>
          </w:p>
        </w:tc>
        <w:tc>
          <w:tcPr>
            <w:tcW w:type="dxa" w:w="1872"/>
          </w:tcPr>
          <w:p>
            <w:r>
              <w:rPr>
                <w:rFonts w:ascii="Arial" w:hAnsi="Arial"/>
                <w:sz w:val="16"/>
              </w:rPr>
              <w:t>RESTRICTED</w:t>
            </w:r>
          </w:p>
        </w:tc>
        <w:tc>
          <w:tcPr>
            <w:tcW w:type="dxa" w:w="1872"/>
          </w:tcPr>
          <w:p>
            <w:r>
              <w:rPr>
                <w:rFonts w:ascii="Arial" w:hAnsi="Arial"/>
                <w:sz w:val="16"/>
              </w:rPr>
              <w:t>System specification version 2. Source for DEFINITIONS.docx terms.</w:t>
            </w:r>
          </w:p>
        </w:tc>
      </w:tr>
      <w:tr>
        <w:tc>
          <w:tcPr>
            <w:tcW w:type="dxa" w:w="1872"/>
          </w:tcPr>
          <w:p>
            <w:r>
              <w:rPr>
                <w:rFonts w:ascii="Arial" w:hAnsi="Arial"/>
                <w:sz w:val="16"/>
              </w:rPr>
              <w:t>PROVISIONAL_PATENT_APPLICATION_Glyph_Constraint_System.docx</w:t>
            </w:r>
          </w:p>
        </w:tc>
        <w:tc>
          <w:tcPr>
            <w:tcW w:type="dxa" w:w="1872"/>
          </w:tcPr>
          <w:p>
            <w:r>
              <w:rPr>
                <w:rFonts w:ascii="Arial" w:hAnsi="Arial"/>
                <w:sz w:val="16"/>
              </w:rPr>
              <w:t>sensitive drafts / patent draft</w:t>
            </w:r>
          </w:p>
        </w:tc>
        <w:tc>
          <w:tcPr>
            <w:tcW w:type="dxa" w:w="1872"/>
          </w:tcPr>
          <w:p>
            <w:r>
              <w:rPr>
                <w:rFonts w:ascii="Arial" w:hAnsi="Arial"/>
                <w:sz w:val="16"/>
              </w:rPr>
              <w:t>correctly placed</w:t>
            </w:r>
          </w:p>
        </w:tc>
        <w:tc>
          <w:tcPr>
            <w:tcW w:type="dxa" w:w="1872"/>
          </w:tcPr>
          <w:p>
            <w:r>
              <w:rPr>
                <w:rFonts w:ascii="Arial" w:hAnsi="Arial"/>
                <w:sz w:val="16"/>
              </w:rPr>
              <w:t>RESTRICTED</w:t>
            </w:r>
          </w:p>
        </w:tc>
        <w:tc>
          <w:tcPr>
            <w:tcW w:type="dxa" w:w="1872"/>
          </w:tcPr>
          <w:p>
            <w:r>
              <w:rPr>
                <w:rFonts w:ascii="Arial" w:hAnsi="Arial"/>
                <w:sz w:val="16"/>
              </w:rPr>
              <w:t>Current session patent draft. 20 claims. Needs revision to incorporate prior K(t) Patent Claims PDF variable definitions and add SLCM claim family.</w:t>
            </w:r>
          </w:p>
        </w:tc>
      </w:tr>
    </w:tbl>
    <w:p/>
    <w:p>
      <w:r>
        <w:rPr>
          <w:b/>
          <w:color w:val="C0392B"/>
          <w:sz w:val="28"/>
        </w:rPr>
        <w:t>MATERIALS REQUIRING SPLIT</w:t>
      </w:r>
    </w:p>
    <w:p>
      <w:r>
        <w:rPr>
          <w:b/>
          <w:sz w:val="20"/>
        </w:rPr>
        <w:t>The K(t) Formula and Patent Claims.pdf</w:t>
      </w:r>
    </w:p>
    <w:p>
      <w:r>
        <w:rPr>
          <w:sz w:val="18"/>
        </w:rPr>
        <w:t>PUBLIC PORTION (Section 3 — Glyphs): The 5-Step Replication Protocol, the general form of K(t) as a ratio, the zone classification names (SUBORDINATED / STRUCTURAL / DOMINANT), the convergence proof summary statistics. These are presentation-ready and can face outward.</w:t>
      </w:r>
    </w:p>
    <w:p>
      <w:r>
        <w:rPr>
          <w:sz w:val="18"/>
        </w:rPr>
        <w:t>RESTRICTED PORTION (Section 4 — QmPYcVJCV8277): Specific variable definitions (Cj range 0.0-2.0, Rj calculation methods Shannon entropy vs CV, delta-Sj formula n1/n2), the Cultural Constant worked examples with exact numerical values, the Epsilon fixed-point derivation. These define the HOW and stay protected.</w:t>
      </w:r>
    </w:p>
    <w:p/>
    <w:p>
      <w:r>
        <w:rPr>
          <w:b/>
          <w:sz w:val="20"/>
        </w:rPr>
        <w:t>You have enough to start monetizing...</w:t>
      </w:r>
    </w:p>
    <w:p>
      <w:r>
        <w:rPr>
          <w:sz w:val="18"/>
        </w:rPr>
        <w:t>OPERATIONS PORTION (Section 1 — Heyer Livin Glyph Records): 3-lane monetization strategy, pricing structure, revenue targets, platform-specific instructions.</w:t>
      </w:r>
    </w:p>
    <w:p>
      <w:r>
        <w:rPr>
          <w:sz w:val="18"/>
        </w:rPr>
        <w:t>RESEARCH PORTION (Section 2 — Glyph Kitchen): Asset readiness assessment, what is finished vs active vs prototype. This is analytical work about the state of the system.</w:t>
      </w:r>
    </w:p>
    <w:p/>
    <w:p>
      <w:r>
        <w:rPr>
          <w:b/>
          <w:sz w:val="20"/>
        </w:rPr>
        <w:t>SLCM (Social Location Constraint Mapping)</w:t>
      </w:r>
    </w:p>
    <w:p>
      <w:r>
        <w:rPr>
          <w:sz w:val="18"/>
        </w:rPr>
        <w:t>PUBLIC PORTION (Section 3 — Glyphs): The 6-layer framework, PCS formula, classroom protocol. Publishable research method.</w:t>
      </w:r>
    </w:p>
    <w:p>
      <w:r>
        <w:rPr>
          <w:sz w:val="18"/>
        </w:rPr>
        <w:t>RESTRICTED PORTION (Section 4 — QmPYcVJCV8277): The specific mathematical connection between PCS and K(t), the mechanism by which SLCM validates the constraint constant. This is additional patentable subject matter.</w:t>
      </w:r>
    </w:p>
    <w:p/>
    <w:p>
      <w:r>
        <w:rPr>
          <w:b/>
          <w:color w:val="2C3E50"/>
          <w:sz w:val="28"/>
        </w:rPr>
        <w:t>CROSS-SYSTEM RELATIONSHIPS</w:t>
      </w:r>
    </w:p>
    <w:p>
      <w:r>
        <w:rPr>
          <w:sz w:val="18"/>
        </w:rPr>
        <w:t>Glyph Kitchen (2) FEEDS Glyphs (3): Research becomes portfolio when verified and formatted. The convergence proof started as 12 raw datasets in Kitchen. It became a formatted PDF in Glyphs.</w:t>
      </w:r>
    </w:p>
    <w:p>
      <w:r>
        <w:rPr>
          <w:sz w:val="18"/>
        </w:rPr>
        <w:t>Glyph Kitchen (2) FEEDS QmPYcVJCV8277 (4): Experiments that reveal protected mechanisms get classified up. The epsilon derivation started as a math experiment. It became core IP.</w:t>
      </w:r>
    </w:p>
    <w:p>
      <w:r>
        <w:rPr>
          <w:sz w:val="18"/>
        </w:rPr>
        <w:t>Glyphs (3) FEEDS Heyer Livin Glyph Records (1): Portfolio assets become deployment targets. The Family Transmission Calculator exists in Glyphs as a finished work. It becomes a Gumroad product in Records.</w:t>
      </w:r>
    </w:p>
    <w:p>
      <w:r>
        <w:rPr>
          <w:sz w:val="18"/>
        </w:rPr>
        <w:t>QmPYcVJCV8277 (4) CONSTRAINS Glyphs (3): Protected logic determines what the public version can show. The K(t) Formula PDF exists in both sections — but the Section 3 version shows WHAT, the Section 4 version shows WHY.</w:t>
      </w:r>
    </w:p>
    <w:p>
      <w:r>
        <w:rPr>
          <w:sz w:val="18"/>
        </w:rPr>
        <w:t>Heyer Livin Glyph Records (1) ENABLES Glyph Kitchen (2): Infrastructure (CiviCRM, MediaWiki, DNS) provides the operating environment where research happens.</w:t>
      </w:r>
    </w:p>
    <w:p>
      <w:r>
        <w:rPr>
          <w:sz w:val="18"/>
        </w:rPr>
        <w:t>QmPYcVJCV8277 (4) REMAINS SEPARATE: Nothing from Section 4 moves to Sections 1 or 3 without explicit direction. The formula spec, engine source, and quantum specification stay restricted.</w:t>
      </w:r>
    </w:p>
    <w:p/>
    <w:p>
      <w:r>
        <w:rPr>
          <w:b/>
          <w:color w:val="2C3E50"/>
          <w:sz w:val="28"/>
        </w:rPr>
        <w:t>ACCESS AND VISIBILITY MODEL</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sz w:val="16"/>
              </w:rPr>
              <w:t>SECTION</w:t>
            </w:r>
          </w:p>
        </w:tc>
        <w:tc>
          <w:tcPr>
            <w:tcW w:type="dxa" w:w="1872"/>
          </w:tcPr>
          <w:p>
            <w:r>
              <w:rPr>
                <w:b/>
                <w:sz w:val="16"/>
              </w:rPr>
              <w:t>PUBLIC</w:t>
            </w:r>
          </w:p>
        </w:tc>
        <w:tc>
          <w:tcPr>
            <w:tcW w:type="dxa" w:w="1872"/>
          </w:tcPr>
          <w:p>
            <w:r>
              <w:rPr>
                <w:b/>
                <w:sz w:val="16"/>
              </w:rPr>
              <w:t>INTERNAL</w:t>
            </w:r>
          </w:p>
        </w:tc>
        <w:tc>
          <w:tcPr>
            <w:tcW w:type="dxa" w:w="1872"/>
          </w:tcPr>
          <w:p>
            <w:r>
              <w:rPr>
                <w:b/>
                <w:sz w:val="16"/>
              </w:rPr>
              <w:t>DEVELOPMENTAL</w:t>
            </w:r>
          </w:p>
        </w:tc>
        <w:tc>
          <w:tcPr>
            <w:tcW w:type="dxa" w:w="1872"/>
          </w:tcPr>
          <w:p>
            <w:r>
              <w:rPr>
                <w:b/>
                <w:sz w:val="16"/>
              </w:rPr>
              <w:t>RESTRICTED</w:t>
            </w:r>
          </w:p>
        </w:tc>
      </w:tr>
      <w:tr>
        <w:tc>
          <w:tcPr>
            <w:tcW w:type="dxa" w:w="1872"/>
          </w:tcPr>
          <w:p>
            <w:r>
              <w:rPr>
                <w:sz w:val="16"/>
              </w:rPr>
              <w:t>1. Glyph Records</w:t>
            </w:r>
          </w:p>
        </w:tc>
        <w:tc>
          <w:tcPr>
            <w:tcW w:type="dxa" w:w="1872"/>
          </w:tcPr>
          <w:p>
            <w:r>
              <w:rPr>
                <w:sz w:val="16"/>
              </w:rPr>
              <w:t>—</w:t>
            </w:r>
          </w:p>
        </w:tc>
        <w:tc>
          <w:tcPr>
            <w:tcW w:type="dxa" w:w="1872"/>
          </w:tcPr>
          <w:p>
            <w:r>
              <w:rPr>
                <w:sz w:val="16"/>
              </w:rPr>
              <w:t>ALL</w:t>
            </w:r>
          </w:p>
        </w:tc>
        <w:tc>
          <w:tcPr>
            <w:tcW w:type="dxa" w:w="1872"/>
          </w:tcPr>
          <w:p>
            <w:r>
              <w:rPr>
                <w:sz w:val="16"/>
              </w:rPr>
              <w:t>—</w:t>
            </w:r>
          </w:p>
        </w:tc>
        <w:tc>
          <w:tcPr>
            <w:tcW w:type="dxa" w:w="1872"/>
          </w:tcPr>
          <w:p>
            <w:r>
              <w:rPr>
                <w:sz w:val="16"/>
              </w:rPr>
              <w:t>—</w:t>
            </w:r>
          </w:p>
        </w:tc>
      </w:tr>
      <w:tr>
        <w:tc>
          <w:tcPr>
            <w:tcW w:type="dxa" w:w="1872"/>
          </w:tcPr>
          <w:p>
            <w:r>
              <w:rPr>
                <w:sz w:val="16"/>
              </w:rPr>
              <w:t>2. Glyph Kitchen</w:t>
            </w:r>
          </w:p>
        </w:tc>
        <w:tc>
          <w:tcPr>
            <w:tcW w:type="dxa" w:w="1872"/>
          </w:tcPr>
          <w:p>
            <w:r>
              <w:rPr>
                <w:sz w:val="16"/>
              </w:rPr>
              <w:t>—</w:t>
            </w:r>
          </w:p>
        </w:tc>
        <w:tc>
          <w:tcPr>
            <w:tcW w:type="dxa" w:w="1872"/>
          </w:tcPr>
          <w:p>
            <w:r>
              <w:rPr>
                <w:sz w:val="16"/>
              </w:rPr>
              <w:t>—</w:t>
            </w:r>
          </w:p>
        </w:tc>
        <w:tc>
          <w:tcPr>
            <w:tcW w:type="dxa" w:w="1872"/>
          </w:tcPr>
          <w:p>
            <w:r>
              <w:rPr>
                <w:sz w:val="16"/>
              </w:rPr>
              <w:t>ALL</w:t>
            </w:r>
          </w:p>
        </w:tc>
        <w:tc>
          <w:tcPr>
            <w:tcW w:type="dxa" w:w="1872"/>
          </w:tcPr>
          <w:p>
            <w:r>
              <w:rPr>
                <w:sz w:val="16"/>
              </w:rPr>
              <w:t>—</w:t>
            </w:r>
          </w:p>
        </w:tc>
      </w:tr>
      <w:tr>
        <w:tc>
          <w:tcPr>
            <w:tcW w:type="dxa" w:w="1872"/>
          </w:tcPr>
          <w:p>
            <w:r>
              <w:rPr>
                <w:sz w:val="16"/>
              </w:rPr>
              <w:t>3. Glyphs</w:t>
            </w:r>
          </w:p>
        </w:tc>
        <w:tc>
          <w:tcPr>
            <w:tcW w:type="dxa" w:w="1872"/>
          </w:tcPr>
          <w:p>
            <w:r>
              <w:rPr>
                <w:sz w:val="16"/>
              </w:rPr>
              <w:t>ALL</w:t>
            </w:r>
          </w:p>
        </w:tc>
        <w:tc>
          <w:tcPr>
            <w:tcW w:type="dxa" w:w="1872"/>
          </w:tcPr>
          <w:p>
            <w:r>
              <w:rPr>
                <w:sz w:val="16"/>
              </w:rPr>
              <w:t>—</w:t>
            </w:r>
          </w:p>
        </w:tc>
        <w:tc>
          <w:tcPr>
            <w:tcW w:type="dxa" w:w="1872"/>
          </w:tcPr>
          <w:p>
            <w:r>
              <w:rPr>
                <w:sz w:val="16"/>
              </w:rPr>
              <w:t>—</w:t>
            </w:r>
          </w:p>
        </w:tc>
        <w:tc>
          <w:tcPr>
            <w:tcW w:type="dxa" w:w="1872"/>
          </w:tcPr>
          <w:p>
            <w:r>
              <w:rPr>
                <w:sz w:val="16"/>
              </w:rPr>
              <w:t>—</w:t>
            </w:r>
          </w:p>
        </w:tc>
      </w:tr>
      <w:tr>
        <w:tc>
          <w:tcPr>
            <w:tcW w:type="dxa" w:w="1872"/>
          </w:tcPr>
          <w:p>
            <w:r>
              <w:rPr>
                <w:sz w:val="16"/>
              </w:rPr>
              <w:t>4. QmPYcVJCV8277</w:t>
            </w:r>
          </w:p>
        </w:tc>
        <w:tc>
          <w:tcPr>
            <w:tcW w:type="dxa" w:w="1872"/>
          </w:tcPr>
          <w:p>
            <w:r>
              <w:rPr>
                <w:sz w:val="16"/>
              </w:rPr>
              <w:t>—</w:t>
            </w:r>
          </w:p>
        </w:tc>
        <w:tc>
          <w:tcPr>
            <w:tcW w:type="dxa" w:w="1872"/>
          </w:tcPr>
          <w:p>
            <w:r>
              <w:rPr>
                <w:sz w:val="16"/>
              </w:rPr>
              <w:t>—</w:t>
            </w:r>
          </w:p>
        </w:tc>
        <w:tc>
          <w:tcPr>
            <w:tcW w:type="dxa" w:w="1872"/>
          </w:tcPr>
          <w:p>
            <w:r>
              <w:rPr>
                <w:sz w:val="16"/>
              </w:rPr>
              <w:t>—</w:t>
            </w:r>
          </w:p>
        </w:tc>
        <w:tc>
          <w:tcPr>
            <w:tcW w:type="dxa" w:w="1872"/>
          </w:tcPr>
          <w:p>
            <w:r>
              <w:rPr>
                <w:sz w:val="16"/>
              </w:rPr>
              <w:t>ALL</w:t>
            </w:r>
          </w:p>
        </w:tc>
      </w:tr>
    </w:tbl>
    <w:p/>
    <w:p>
      <w:r>
        <w:rPr>
          <w:b/>
          <w:sz w:val="18"/>
        </w:rPr>
        <w:t>NEVER EXPOSE CASUALLY: K(t)_3E_FORMULA_SPEC.md, glyph8.py source, glyph_simulations.py, core/ module architecture, epsilon derivation mechanism, Glyph-Q Hamiltonian specification, zone-dependent dual-operation mechanism.</w:t>
      </w:r>
    </w:p>
    <w:p/>
    <w:p>
      <w:r>
        <w:rPr>
          <w:b/>
          <w:color w:val="2C3E50"/>
          <w:sz w:val="28"/>
        </w:rPr>
        <w:t>EXTRACTION SUMMARY</w:t>
      </w:r>
    </w:p>
    <w:p>
      <w:r>
        <w:rPr>
          <w:sz w:val="18"/>
        </w:rPr>
        <w:t>Section 1 — Heyer Livin Glyph Records: 16 items classified</w:t>
      </w:r>
    </w:p>
    <w:p>
      <w:r>
        <w:rPr>
          <w:sz w:val="18"/>
        </w:rPr>
        <w:t>Section 2 — Glyph Kitchen: 14 items classified</w:t>
      </w:r>
    </w:p>
    <w:p>
      <w:r>
        <w:rPr>
          <w:sz w:val="18"/>
        </w:rPr>
        <w:t>Section 3 — Glyphs: 15 items classified</w:t>
      </w:r>
    </w:p>
    <w:p>
      <w:r>
        <w:rPr>
          <w:sz w:val="18"/>
        </w:rPr>
        <w:t>Section 4 — QmPYcVJCV8277: 10 items classified</w:t>
      </w:r>
    </w:p>
    <w:p>
      <w:r>
        <w:rPr>
          <w:sz w:val="18"/>
        </w:rPr>
        <w:t>Materials requiring split: 3 (K(t) Patent Claims PDF, Monetization strategy PDF, SLCM PDF)</w:t>
      </w:r>
    </w:p>
    <w:p>
      <w:r>
        <w:rPr>
          <w:sz w:val="18"/>
        </w:rPr>
        <w:t>Total items classified: 55</w:t>
      </w:r>
    </w:p>
    <w:p>
      <w:r>
        <w:rPr>
          <w:sz w:val="18"/>
        </w:rPr>
        <w:t>Correctly placed: 52</w:t>
      </w:r>
    </w:p>
    <w:p>
      <w:r>
        <w:rPr>
          <w:sz w:val="18"/>
        </w:rPr>
        <w:t>Mixed (need split): 3</w:t>
      </w:r>
    </w:p>
    <w:p>
      <w:r>
        <w:rPr>
          <w:sz w:val="18"/>
        </w:rPr>
        <w:t>Misplaced: 0</w:t>
      </w:r>
    </w:p>
    <w:p>
      <w:r>
        <w:rPr>
          <w:sz w:val="18"/>
        </w:rPr>
        <w:t>Missing context: 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