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PROVISIONAL PATENT APPLICATION</w:t>
      </w:r>
    </w:p>
    <w:p>
      <w:pPr>
        <w:jc w:val="center"/>
      </w:pPr>
      <w:r>
        <w:rPr>
          <w:b/>
          <w:sz w:val="24"/>
        </w:rPr>
        <w:t>UNDER 35 U.S.C. § 111(b)</w:t>
      </w:r>
    </w:p>
    <w:p/>
    <w:p>
      <w:pPr>
        <w:jc w:val="center"/>
      </w:pPr>
      <w:r>
        <w:rPr>
          <w:b/>
          <w:sz w:val="26"/>
        </w:rPr>
        <w:t>SYSTEM AND METHOD FOR DETECTING, QUANTIFYING, AND CLASSIFYING STRUCTURAL CONSTRAINT IN EMPIRICAL DISTRIBUTIONS USING A RATIO-BASED CONVERGENCE FRAMEWORK</w:t>
      </w:r>
    </w:p>
    <w:p/>
    <w:p>
      <w:pPr>
        <w:jc w:val="center"/>
      </w:pPr>
      <w:r>
        <w:rPr>
          <w:b w:val="0"/>
          <w:sz w:val="24"/>
        </w:rPr>
        <w:t>Inventor: Jair Valley</w:t>
      </w:r>
    </w:p>
    <w:p>
      <w:pPr>
        <w:jc w:val="center"/>
      </w:pPr>
      <w:r>
        <w:rPr>
          <w:b w:val="0"/>
          <w:sz w:val="24"/>
        </w:rPr>
        <w:t>Assignee: Heyer Livin LLC</w:t>
      </w:r>
    </w:p>
    <w:p>
      <w:pPr>
        <w:jc w:val="center"/>
      </w:pPr>
      <w:r>
        <w:rPr>
          <w:b w:val="0"/>
          <w:sz w:val="24"/>
        </w:rPr>
        <w:t>Filing Date: April 5, 2026</w:t>
      </w:r>
    </w:p>
    <w:p>
      <w:pPr>
        <w:jc w:val="center"/>
      </w:pPr>
      <w:r>
        <w:rPr>
          <w:b w:val="0"/>
          <w:sz w:val="22"/>
        </w:rPr>
        <w:t>Version: Final Packet (Reconciled)</w:t>
      </w:r>
    </w:p>
    <w:p>
      <w:r>
        <w:br w:type="page"/>
      </w:r>
    </w:p>
    <w:p>
      <w:pPr>
        <w:pStyle w:val="Heading1"/>
      </w:pPr>
      <w:r>
        <w:rPr>
          <w:rFonts w:ascii="Times New Roman" w:hAnsi="Times New Roman"/>
        </w:rPr>
        <w:t>FIELD OF THE INVENTION</w:t>
      </w:r>
    </w:p>
    <w:p>
      <w:r>
        <w:rPr>
          <w:b w:val="0"/>
          <w:i w:val="0"/>
        </w:rPr>
        <w:t>The invention relates to computer-implemented methods and systems for detecting, quantifying, and classifying structural constraint in empirical distributions. More specifically, the invention provides a ratio-based computational architecture that receives empirical distribution input data, applies declared domain-mapping rules, constructs first and second complementary partitions, computes a structural-constraint ratio, compares that ratio to stored threshold values, assigns a classification zone, optionally validates the result against one or more reference models, and generates a structured, schema-validated, version-controlled machine-readable event record.</w:t>
      </w:r>
    </w:p>
    <w:p>
      <w:pPr>
        <w:pStyle w:val="Heading1"/>
      </w:pPr>
      <w:r>
        <w:rPr>
          <w:rFonts w:ascii="Times New Roman" w:hAnsi="Times New Roman"/>
        </w:rPr>
        <w:t>BACKGROUND OF THE INVENTION</w:t>
      </w:r>
    </w:p>
    <w:p>
      <w:r>
        <w:rPr>
          <w:b w:val="0"/>
          <w:i w:val="0"/>
        </w:rPr>
        <w:t>Existing statistical hypothesis tests, including chi-square tests, Kolmogorov-Smirnov tests, Levene variance tests, and one-sample t-tests, are capable of detecting that an observed empirical distribution deviates from a random-process null hypothesis. These prior-art methods return a p-value indicating whether the distribution is non-random, but they do not produce a single, dimensionless, domain-agnostic metric that quantifies the magnitude of structural constraint, classifies that constraint into operational zones, or identifies cross-domain convergence of structural constants to a common attractor value.</w:t>
      </w:r>
    </w:p>
    <w:p>
      <w:r>
        <w:rPr>
          <w:b w:val="0"/>
          <w:i w:val="0"/>
        </w:rPr>
        <w:t>Prior-art computational systems for analyzing empirical distributions are domain-specific. Labor-market studies compute callback ratios. Electoral systems compute incumbency retention. Historical population studies compute survival fractions. Each domain uses an idiosyncratic metric whose numeric range and interpretation differ, preventing cross-domain comparison or unified classification.</w:t>
      </w:r>
    </w:p>
    <w:p>
      <w:r>
        <w:rPr>
          <w:b w:val="0"/>
          <w:i w:val="0"/>
        </w:rPr>
        <w:t>Prior-art artifact-generation systems, including JSON-LD, schema.org record producers, and generic event-logging pipelines, do not enforce a reproducibility protocol requiring declaration of domain-mapping rules before computation, declaration of mutually exclusive and collectively exhaustive partitions, versioning of threshold sets and mapping rules, and schema-level validation of convergence-band classification.</w:t>
      </w:r>
    </w:p>
    <w:p>
      <w:r>
        <w:rPr>
          <w:b w:val="0"/>
          <w:i w:val="0"/>
        </w:rPr>
        <w:t>Accordingly, there exists a need for a computer-implemented method and system that (i) produces a single dimensionless ratio applicable across heterogeneous domains; (ii) classifies that ratio into defined zones based on stored threshold values; (iii) generates a schema-validated, version-controlled event record enabling third-party replay and audit; and (iv) preserves reproducibility through explicit declaration of mapping rules, partition definitions, and threshold versions.</w:t>
      </w:r>
    </w:p>
    <w:p>
      <w:pPr>
        <w:pStyle w:val="Heading1"/>
      </w:pPr>
      <w:r>
        <w:rPr>
          <w:rFonts w:ascii="Times New Roman" w:hAnsi="Times New Roman"/>
        </w:rPr>
        <w:t>SUMMARY OF THE INVENTION</w:t>
      </w:r>
    </w:p>
    <w:p>
      <w:r>
        <w:rPr>
          <w:b w:val="0"/>
          <w:i w:val="0"/>
        </w:rPr>
        <w:t>The invention provides a computer-implemented method and a corresponding system for detecting and classifying structural constraint in empirical distributions. In one embodiment, the method comprises: (a) receiving empirical distribution input data from a source identified by a source identifier; (b) applying declared domain-mapping rules, identified by a mapping-rule version, to resolve the input data into observable source fields; (c) constructing from the observable source fields a first partition and a second partition that are mutually exclusive and collectively exhaustive within a defined scope; (d) computing a structural-constraint ratio from the first and second partitions; (e) comparing the computed ratio to stored threshold values, including a lower threshold of approximately 0.30 and an upper threshold of approximately 0.50, identified by a threshold-set version; (f) assigning the empirical distribution to a classification zone selected from SUBORDINATED, STRUCTURAL, and DOMINANT based on the comparison; (g) optionally validating the computed ratio against one or more reference models; (h) generating a structured machine-readable event record containing the ratio, the zone assignment, the mapping-rule version, the threshold-set version, the source identifier, and a record version; (i) validating the event record against a stored schema for schema and version compatibility; and (j) storing or outputting the validated event record.</w:t>
      </w:r>
    </w:p>
    <w:p>
      <w:r>
        <w:rPr>
          <w:b w:val="0"/>
          <w:i w:val="0"/>
        </w:rPr>
        <w:t>The invention enables heterogeneous empirical distributions from domains including but not limited to labor markets, electoral systems, consumer transactions, biological survival data, historical census data, institutional claims data, and simulation output data to be processed through a single, reproducible computational pipeline producing dimensionless, comparable, schema-validated constraint measurements.</w:t>
      </w:r>
    </w:p>
    <w:p>
      <w:pPr>
        <w:pStyle w:val="Heading1"/>
      </w:pPr>
      <w:r>
        <w:rPr>
          <w:rFonts w:ascii="Times New Roman" w:hAnsi="Times New Roman"/>
        </w:rPr>
        <w:t>BRIEF DESCRIPTION OF THE DRAWINGS</w:t>
      </w:r>
    </w:p>
    <w:p>
      <w:r>
        <w:rPr>
          <w:b/>
        </w:rPr>
        <w:t xml:space="preserve">FIG. 1 </w:t>
      </w:r>
      <w:r>
        <w:t>is a block diagram of the overall system architecture, depicting the input module, domain-mapping resolver, partition constructor, ratio computation module, threshold comparator, zone classifier, optional reference-model validator, event-record generator, schema validator, and output/storage module.</w:t>
      </w:r>
    </w:p>
    <w:p>
      <w:r>
        <w:rPr>
          <w:b/>
        </w:rPr>
        <w:t xml:space="preserve">FIG. 2 </w:t>
      </w:r>
      <w:r>
        <w:t>is a flow diagram illustrating construction of the first and second complementary partitions from observable source fields, including verification of the mutually exclusive and collectively exhaustive property.</w:t>
      </w:r>
    </w:p>
    <w:p>
      <w:r>
        <w:rPr>
          <w:b/>
        </w:rPr>
        <w:t xml:space="preserve">FIG. 3 </w:t>
      </w:r>
      <w:r>
        <w:t>is a number-line diagram illustrating classification of the computed structural-constraint ratio into a SUBORDINATED zone for ratios below a lower threshold of approximately 0.30, a STRUCTURAL zone for ratios between the lower threshold and an upper threshold of approximately 0.50, and a DOMINANT zone for ratios at or above the upper threshold of approximately 0.50.</w:t>
      </w:r>
    </w:p>
    <w:p>
      <w:r>
        <w:rPr>
          <w:b/>
        </w:rPr>
        <w:t xml:space="preserve">FIG. 4 </w:t>
      </w:r>
      <w:r>
        <w:t>is an embodiment diagram depicting the three-zone framework and the interior attractor reference at approximately 0.39 within the STRUCTURAL zone.</w:t>
      </w:r>
    </w:p>
    <w:p>
      <w:r>
        <w:rPr>
          <w:b/>
        </w:rPr>
        <w:t xml:space="preserve">FIG. 5 </w:t>
      </w:r>
      <w:r>
        <w:t>is a protocol diagram showing the mapping-rule declaration sequence, requiring that domain-mapping rules be declared prior to computation and that the rule version, partition definitions, threshold-set version, and source identifier be stored with the resulting event record to preserve reproducibility.</w:t>
      </w:r>
    </w:p>
    <w:p>
      <w:r>
        <w:rPr>
          <w:b/>
        </w:rPr>
        <w:t xml:space="preserve">FIG. 6 </w:t>
      </w:r>
      <w:r>
        <w:t>is a block diagram of the event-record architecture, depicting the required fields of the structured machine-readable event record, including record identifier, source identifier, domain, cycle definition, irreversible event, metrics, routing, snapshot, relations, and notes.</w:t>
      </w:r>
    </w:p>
    <w:p>
      <w:r>
        <w:rPr>
          <w:b/>
        </w:rPr>
        <w:t xml:space="preserve">FIG. 7 </w:t>
      </w:r>
      <w:r>
        <w:t>is an embodiment diagram showing the internal field layout of a representative event record conforming to the stored schema version v1.</w:t>
      </w:r>
    </w:p>
    <w:p>
      <w:r>
        <w:rPr>
          <w:b/>
        </w:rPr>
        <w:t xml:space="preserve">FIG. 8 </w:t>
      </w:r>
      <w:r>
        <w:t>is a flow diagram of the schema validation pipeline, depicting schema and version compatibility checks performed on a generated event record prior to storage or output.</w:t>
      </w:r>
    </w:p>
    <w:p>
      <w:r>
        <w:rPr>
          <w:b/>
        </w:rPr>
        <w:t xml:space="preserve">FIG. 9 </w:t>
      </w:r>
      <w:r>
        <w:t>is an embodiment diagram showing cross-dataset comparison of computed ratios for a plurality of empirical distributions processed by the system.</w:t>
      </w:r>
    </w:p>
    <w:p>
      <w:r>
        <w:rPr>
          <w:b/>
        </w:rPr>
        <w:t xml:space="preserve">FIG. 10 </w:t>
      </w:r>
      <w:r>
        <w:t>is an optional support diagram showing an example output interface displaying a generated event record.</w:t>
      </w:r>
    </w:p>
    <w:p>
      <w:r>
        <w:rPr>
          <w:b/>
        </w:rPr>
        <w:t xml:space="preserve">FIG. 11 </w:t>
      </w:r>
      <w:r>
        <w:t>is an embodiment diagram showing representative input families accepted by the system, including labor, electoral, consumer, biological, historical, institutional, and simulation data.</w:t>
      </w:r>
    </w:p>
    <w:p>
      <w:r>
        <w:rPr>
          <w:b/>
        </w:rPr>
        <w:t xml:space="preserve">FIG. 12 </w:t>
      </w:r>
      <w:r>
        <w:t>is a reproducibility framework diagram depicting the versioning of mapping rules, threshold sets, source identifiers, and event-record versions, enabling replay of the computation by a third party.</w:t>
      </w:r>
    </w:p>
    <w:p>
      <w:pPr>
        <w:pStyle w:val="Heading1"/>
      </w:pPr>
      <w:r>
        <w:rPr>
          <w:rFonts w:ascii="Times New Roman" w:hAnsi="Times New Roman"/>
        </w:rPr>
        <w:t>DETAILED DESCRIPTION OF THE INVENTION</w:t>
      </w:r>
    </w:p>
    <w:p>
      <w:pPr>
        <w:pStyle w:val="Heading2"/>
      </w:pPr>
      <w:r>
        <w:rPr>
          <w:rFonts w:ascii="Times New Roman" w:hAnsi="Times New Roman"/>
        </w:rPr>
        <w:t>1. Overview</w:t>
      </w:r>
    </w:p>
    <w:p>
      <w:r>
        <w:rPr>
          <w:b w:val="0"/>
          <w:i w:val="0"/>
        </w:rPr>
        <w:t>Referring to FIG. 1, a computer-implemented system for detecting and classifying structural constraint in an empirical distribution comprises an input module, a domain-mapping resolver, a partition constructor, a ratio-computation module, a threshold comparator, a zone classifier, an optional reference-model validator, an event-record generator, a schema validator, and an output/storage module. Each module is implemented as executable instructions stored on a non-transitory computer-readable medium and executed by one or more processors.</w:t>
      </w:r>
    </w:p>
    <w:p>
      <w:pPr>
        <w:pStyle w:val="Heading2"/>
      </w:pPr>
      <w:r>
        <w:rPr>
          <w:rFonts w:ascii="Times New Roman" w:hAnsi="Times New Roman"/>
        </w:rPr>
        <w:t>2. Receiving Empirical Distribution Input Data</w:t>
      </w:r>
    </w:p>
    <w:p>
      <w:r>
        <w:rPr>
          <w:b w:val="0"/>
          <w:i w:val="0"/>
        </w:rPr>
        <w:t>The input module receives empirical distribution input data from a source identified by a source identifier. The input data comprises a set of observed measurements drawn from a domain including, without limitation, labor-market data, electoral outcome data, consumer transaction data, biological survival data, historical census data, institutional claims data, or simulation output data (see FIG. 11).</w:t>
      </w:r>
    </w:p>
    <w:p>
      <w:pPr>
        <w:pStyle w:val="Heading2"/>
      </w:pPr>
      <w:r>
        <w:rPr>
          <w:rFonts w:ascii="Times New Roman" w:hAnsi="Times New Roman"/>
        </w:rPr>
        <w:t>3. Applying Declared Domain-Mapping Rules</w:t>
      </w:r>
    </w:p>
    <w:p>
      <w:r>
        <w:rPr>
          <w:b w:val="0"/>
          <w:i w:val="0"/>
        </w:rPr>
        <w:t>The domain-mapping resolver applies declared domain-mapping rules to the received input data. The domain-mapping rules are declared prior to computation and are identified by a mapping-rule version. The rules specify, for the applicable domain, the observable source fields to be extracted from the input data and the operational definition under which those fields will be partitioned (see FIG. 5). Declaration prior to computation is a required step of the method and is enforced by the system; computation shall not proceed unless a valid mapping-rule version is present.</w:t>
      </w:r>
    </w:p>
    <w:p>
      <w:pPr>
        <w:pStyle w:val="Heading2"/>
      </w:pPr>
      <w:r>
        <w:rPr>
          <w:rFonts w:ascii="Times New Roman" w:hAnsi="Times New Roman"/>
        </w:rPr>
        <w:t>4. Constructing First and Second Complementary Partitions</w:t>
      </w:r>
    </w:p>
    <w:p>
      <w:r>
        <w:rPr>
          <w:b w:val="0"/>
          <w:i w:val="0"/>
        </w:rPr>
        <w:t>The partition constructor constructs, from the observable source fields resolved in the preceding step, a first partition and a second partition. The first and second partitions are mutually exclusive and collectively exhaustive within a defined scope, such that every measured unit within the defined scope is assigned to exactly one of the two partitions and no measured unit is assigned to both or to neither (see FIG. 2). The MECE property is verified programmatically; if verification fails, the system halts and does not produce an event record.</w:t>
      </w:r>
    </w:p>
    <w:p>
      <w:pPr>
        <w:pStyle w:val="Heading2"/>
      </w:pPr>
      <w:r>
        <w:rPr>
          <w:rFonts w:ascii="Times New Roman" w:hAnsi="Times New Roman"/>
        </w:rPr>
        <w:t>5. Computing the Structural-Constraint Ratio</w:t>
      </w:r>
    </w:p>
    <w:p>
      <w:r>
        <w:rPr>
          <w:b w:val="0"/>
          <w:i w:val="0"/>
        </w:rPr>
        <w:t>The ratio-computation module computes a structural-constraint ratio from the first and second partitions. The ratio is a dimensionless value in the closed interval [0, 1] computed as a quotient whose numerator is a function of the first partition and whose denominator is a function of the first partition combined with a transformed form of the second partition. In one embodiment, the ratio is computed as R = x / (x + y^2), where x is the first partition, y is the second partition, and the second partition is transformed by a power operation to produce the asymmetric denominator. The specific form of the quotient is operational; the essential element is that the ratio is dimensionless, bounded, and computed from declared complementary partitions.</w:t>
      </w:r>
    </w:p>
    <w:p>
      <w:pPr>
        <w:pStyle w:val="Heading2"/>
      </w:pPr>
      <w:r>
        <w:rPr>
          <w:rFonts w:ascii="Times New Roman" w:hAnsi="Times New Roman"/>
        </w:rPr>
        <w:t>6. Comparing the Ratio to Stored Threshold Values</w:t>
      </w:r>
    </w:p>
    <w:p>
      <w:r>
        <w:rPr>
          <w:b w:val="0"/>
          <w:i w:val="0"/>
        </w:rPr>
        <w:t>The threshold comparator compares the computed structural-constraint ratio to stored threshold values. The stored threshold values comprise a lower threshold of approximately 0.30 and an upper threshold of approximately 0.50. The threshold values are stored as a threshold set identified by a threshold-set version. The threshold-set version is recorded with the event record produced by the system to enable reproducibility (see FIG. 12).</w:t>
      </w:r>
    </w:p>
    <w:p>
      <w:pPr>
        <w:pStyle w:val="Heading2"/>
      </w:pPr>
      <w:r>
        <w:rPr>
          <w:rFonts w:ascii="Times New Roman" w:hAnsi="Times New Roman"/>
        </w:rPr>
        <w:t>7. Assigning a Classification Zone</w:t>
      </w:r>
    </w:p>
    <w:p>
      <w:r>
        <w:rPr>
          <w:b w:val="0"/>
          <w:i w:val="0"/>
        </w:rPr>
        <w:t>The zone classifier assigns the empirical distribution to a classification zone selected from the set consisting of: a SUBORDINATED zone, defined as ratios less than the lower threshold of approximately 0.30; a STRUCTURAL zone, defined as ratios greater than or equal to the lower threshold of approximately 0.30 and less than the upper threshold of approximately 0.50; and a DOMINANT zone, defined as ratios greater than or equal to the upper threshold of approximately 0.50 (see FIG. 3 and FIG. 4).</w:t>
      </w:r>
    </w:p>
    <w:p>
      <w:pPr>
        <w:pStyle w:val="Heading2"/>
      </w:pPr>
      <w:r>
        <w:rPr>
          <w:rFonts w:ascii="Times New Roman" w:hAnsi="Times New Roman"/>
        </w:rPr>
        <w:t>8. Optional Validation Against Reference Models</w:t>
      </w:r>
    </w:p>
    <w:p>
      <w:r>
        <w:rPr>
          <w:b w:val="0"/>
          <w:i w:val="0"/>
        </w:rPr>
        <w:t>The reference-model validator optionally compares the computed ratio against one or more stored reference models. A reference model comprises a stored expected ratio or expected distribution for the applicable domain. The validator returns a validation status indicating whether the computed ratio is consistent with the reference model within a stored tolerance.</w:t>
      </w:r>
    </w:p>
    <w:p>
      <w:pPr>
        <w:pStyle w:val="Heading2"/>
      </w:pPr>
      <w:r>
        <w:rPr>
          <w:rFonts w:ascii="Times New Roman" w:hAnsi="Times New Roman"/>
        </w:rPr>
        <w:t>9. Generating the Structured Machine-Readable Event Record</w:t>
      </w:r>
    </w:p>
    <w:p>
      <w:r>
        <w:rPr>
          <w:b w:val="0"/>
          <w:i w:val="0"/>
        </w:rPr>
        <w:t>The event-record generator generates a structured, machine-readable event record containing at least the following fields: record identifier, source identifier, domain, source type, title, cycle definition, irreversible event, metrics (including the computed ratio, a reference point, a convergence-band lower limit of approximately 0.30, a convergence-band upper limit of approximately 0.50, an inside-band boolean, and a distance-from-reference value), routing, snapshot (including snapshot time, run identifier, tick identifier, and schema version), relations, and notes (see FIG. 6 and FIG. 7). The event record further contains the mapping-rule version, the threshold-set version, the source identifier, and a record version, enabling replay of the computation by a third party (see FIG. 12).</w:t>
      </w:r>
    </w:p>
    <w:p>
      <w:pPr>
        <w:pStyle w:val="Heading2"/>
      </w:pPr>
      <w:r>
        <w:rPr>
          <w:rFonts w:ascii="Times New Roman" w:hAnsi="Times New Roman"/>
        </w:rPr>
        <w:t>10. Validating Schema and Version Compatibility</w:t>
      </w:r>
    </w:p>
    <w:p>
      <w:r>
        <w:rPr>
          <w:b w:val="0"/>
          <w:i w:val="0"/>
        </w:rPr>
        <w:t>The schema validator validates the generated event record against a stored schema. The stored schema specifies required fields, field types, and value constraints. The validator further verifies that the schema version declared in the event record is compatible with the stored schema version (see FIG. 8). An event record that fails validation is rejected and is not stored or output.</w:t>
      </w:r>
    </w:p>
    <w:p>
      <w:pPr>
        <w:pStyle w:val="Heading2"/>
      </w:pPr>
      <w:r>
        <w:rPr>
          <w:rFonts w:ascii="Times New Roman" w:hAnsi="Times New Roman"/>
        </w:rPr>
        <w:t>11. Storing and Outputting the Validated Event Record</w:t>
      </w:r>
    </w:p>
    <w:p>
      <w:r>
        <w:rPr>
          <w:b w:val="0"/>
          <w:i w:val="0"/>
        </w:rPr>
        <w:t>The output/storage module stores the validated event record in a content-addressable storage system and/or outputs the validated event record through an output interface (see FIG. 10).</w:t>
      </w:r>
    </w:p>
    <w:p>
      <w:pPr>
        <w:pStyle w:val="Heading2"/>
      </w:pPr>
      <w:r>
        <w:rPr>
          <w:rFonts w:ascii="Times New Roman" w:hAnsi="Times New Roman"/>
        </w:rPr>
        <w:t>12. Reproducibility Protocol</w:t>
      </w:r>
    </w:p>
    <w:p>
      <w:r>
        <w:rPr>
          <w:b w:val="0"/>
          <w:i w:val="0"/>
        </w:rPr>
        <w:t>The invention preserves reproducibility through explicit versioning. Each event record records the mapping-rule version, the threshold-set version, the source identifier, the schema version, and the record version. A third party in possession of the event record and the referenced versions of the mapping rules, threshold set, and schema can replay the computation and verify the result (see FIG. 5 and FIG. 12).</w:t>
      </w:r>
    </w:p>
    <w:p>
      <w:r>
        <w:br w:type="page"/>
      </w:r>
    </w:p>
    <w:p>
      <w:pPr>
        <w:pStyle w:val="Heading1"/>
      </w:pPr>
      <w:r>
        <w:rPr>
          <w:rFonts w:ascii="Times New Roman" w:hAnsi="Times New Roman"/>
        </w:rPr>
        <w:t>CLAIMS</w:t>
      </w:r>
    </w:p>
    <w:p>
      <w:r>
        <w:rPr>
          <w:b w:val="0"/>
          <w:i w:val="0"/>
        </w:rPr>
        <w:t>What is claimed is:</w:t>
      </w:r>
    </w:p>
    <w:p>
      <w:pPr>
        <w:spacing w:after="120"/>
      </w:pPr>
      <w:r>
        <w:rPr>
          <w:b/>
        </w:rPr>
        <w:t xml:space="preserve">1. </w:t>
      </w:r>
      <w:r>
        <w:t>A computer-implemented method for detecting and classifying structural constraint in an empirical distribution, the method comprising: (a) receiving, by one or more processors, empirical distribution input data from a source identified by a source identifier; (b) applying, by the one or more processors, declared domain-mapping rules identified by a mapping-rule version to resolve the input data into observable source fields, the domain-mapping rules being declared prior to computation; (c) constructing, by the one or more processors, from the observable source fields, a first partition and a second partition that are mutually exclusive and collectively exhaustive within a defined scope; (d) computing, by the one or more processors, a structural-constraint ratio from the first partition and the second partition; (e) comparing, by the one or more processors, the computed structural-constraint ratio to stored threshold values, the stored threshold values comprising a lower threshold of approximately 0.30 and an upper threshold of approximately 0.50, the stored threshold values being identified by a threshold-set version; (f) assigning, by the one or more processors, the empirical distribution to a classification zone selected from a SUBORDINATED zone defined as ratios less than the lower threshold, a STRUCTURAL zone defined as ratios greater than or equal to the lower threshold and less than the upper threshold, and a DOMINANT zone defined as ratios greater than or equal to the upper threshold; (g) generating, by the one or more processors, a structured machine-readable event record containing at least the computed ratio, the classification zone, the mapping-rule version, the threshold-set version, the source identifier, and a record version; (h) validating, by the one or more processors, the event record against a stored schema for schema and version compatibility; and (i) storing or outputting, by the one or more processors, the validated event record.</w:t>
      </w:r>
    </w:p>
    <w:p>
      <w:pPr>
        <w:spacing w:after="120"/>
      </w:pPr>
      <w:r>
        <w:rPr>
          <w:b/>
        </w:rPr>
        <w:t xml:space="preserve">2. </w:t>
      </w:r>
      <w:r>
        <w:t>The method of claim 1, wherein the empirical distribution input data is drawn from a domain selected from the group consisting of labor-market data, electoral outcome data, consumer transaction data, biological survival data, historical census data, institutional claims data, and simulation output data.</w:t>
      </w:r>
    </w:p>
    <w:p>
      <w:pPr>
        <w:spacing w:after="120"/>
      </w:pPr>
      <w:r>
        <w:rPr>
          <w:b/>
        </w:rPr>
        <w:t xml:space="preserve">3. </w:t>
      </w:r>
      <w:r>
        <w:t>The method of claim 1, further comprising verifying, prior to computing the structural-constraint ratio, that the first partition and the second partition satisfy the mutually exclusive and collectively exhaustive property within the defined scope, and halting the method without producing an event record if the verification fails.</w:t>
      </w:r>
    </w:p>
    <w:p>
      <w:pPr>
        <w:spacing w:after="120"/>
      </w:pPr>
      <w:r>
        <w:rPr>
          <w:b/>
        </w:rPr>
        <w:t xml:space="preserve">4. </w:t>
      </w:r>
      <w:r>
        <w:t>The method of claim 1, wherein the structural-constraint ratio is a dimensionless value in the closed interval [0, 1] computed as a quotient whose numerator is a function of the first partition and whose denominator is a function of the first partition combined with a transformed form of the second partition.</w:t>
      </w:r>
    </w:p>
    <w:p>
      <w:pPr>
        <w:spacing w:after="120"/>
      </w:pPr>
      <w:r>
        <w:rPr>
          <w:b/>
        </w:rPr>
        <w:t xml:space="preserve">5. </w:t>
      </w:r>
      <w:r>
        <w:t>The method of claim 1, wherein computing the structural-constraint ratio comprises computing R = x / (x + y^2), wherein x is derived from the first partition and y is derived from the second partition.</w:t>
      </w:r>
    </w:p>
    <w:p>
      <w:pPr>
        <w:spacing w:after="120"/>
      </w:pPr>
      <w:r>
        <w:rPr>
          <w:b/>
        </w:rPr>
        <w:t xml:space="preserve">6. </w:t>
      </w:r>
      <w:r>
        <w:t>The method of claim 1, wherein the lower threshold of approximately 0.30 and the upper threshold of approximately 0.50 define a convergence band, and wherein the STRUCTURAL zone is associated with a stored reference point within the convergence band.</w:t>
      </w:r>
    </w:p>
    <w:p>
      <w:pPr>
        <w:spacing w:after="120"/>
      </w:pPr>
      <w:r>
        <w:rPr>
          <w:b/>
        </w:rPr>
        <w:t xml:space="preserve">7. </w:t>
      </w:r>
      <w:r>
        <w:t>The method of claim 1, further comprising validating, by the one or more processors, the computed structural-constraint ratio against at least one stored reference model, and including in the event record a validation status indicating whether the computed ratio is consistent with the stored reference model within a stored tolerance.</w:t>
      </w:r>
    </w:p>
    <w:p>
      <w:pPr>
        <w:spacing w:after="120"/>
      </w:pPr>
      <w:r>
        <w:rPr>
          <w:b/>
        </w:rPr>
        <w:t xml:space="preserve">8. </w:t>
      </w:r>
      <w:r>
        <w:t>The method of claim 1, wherein the event record comprises a plurality of required fields comprising a record identifier, a source identifier, a domain, a source type, a title, a cycle definition, an irreversible event, a metrics object comprising the computed ratio, a reference point, a convergence-band lower limit, a convergence-band upper limit, an inside-band boolean, and a distance-from-reference value, a routing object, a snapshot object comprising a snapshot time, a run identifier, a tick identifier, and a schema version, a relations object, and a notes object.</w:t>
      </w:r>
    </w:p>
    <w:p>
      <w:pPr>
        <w:spacing w:after="120"/>
      </w:pPr>
      <w:r>
        <w:rPr>
          <w:b/>
        </w:rPr>
        <w:t xml:space="preserve">9. </w:t>
      </w:r>
      <w:r>
        <w:t>The method of claim 1, wherein validating the event record comprises verifying that a schema version declared in the event record is compatible with a version of the stored schema, and rejecting the event record if the schema version is not compatible.</w:t>
      </w:r>
    </w:p>
    <w:p>
      <w:pPr>
        <w:spacing w:after="120"/>
      </w:pPr>
      <w:r>
        <w:rPr>
          <w:b/>
        </w:rPr>
        <w:t xml:space="preserve">10. </w:t>
      </w:r>
      <w:r>
        <w:t>The method of claim 1, further comprising storing the validated event record in a content-addressable storage system indexed by the record identifier.</w:t>
      </w:r>
    </w:p>
    <w:p>
      <w:pPr>
        <w:spacing w:after="120"/>
      </w:pPr>
      <w:r>
        <w:rPr>
          <w:b/>
        </w:rPr>
        <w:t xml:space="preserve">11. </w:t>
      </w:r>
      <w:r>
        <w:t>A computer-implemented system for detecting and classifying structural constraint in an empirical distribution, the system comprising: one or more processors; and a non-transitory computer-readable medium storing instructions that, when executed by the one or more processors, cause the system to: receive empirical distribution input data from a source identified by a source identifier; apply declared domain-mapping rules identified by a mapping-rule version to resolve the input data into observable source fields; construct from the observable source fields a first partition and a second partition that are mutually exclusive and collectively exhaustive within a defined scope; compute a structural-constraint ratio from the first partition and the second partition; compare the computed structural-constraint ratio to stored threshold values comprising a lower threshold of approximately 0.30 and an upper threshold of approximately 0.50, the stored threshold values being identified by a threshold-set version; assign the empirical distribution to a classification zone selected from a SUBORDINATED zone, a STRUCTURAL zone, and a DOMINANT zone based on the comparison; generate a structured machine-readable event record containing at least the computed ratio, the classification zone, the mapping-rule version, the threshold-set version, the source identifier, and a record version; validate the event record against a stored schema for schema and version compatibility; and store or output the validated event record.</w:t>
      </w:r>
    </w:p>
    <w:p>
      <w:pPr>
        <w:spacing w:after="120"/>
      </w:pPr>
      <w:r>
        <w:rPr>
          <w:b/>
        </w:rPr>
        <w:t xml:space="preserve">12. </w:t>
      </w:r>
      <w:r>
        <w:t>The system of claim 11, wherein the instructions further cause the system to verify, prior to computing the structural-constraint ratio, that the first partition and the second partition satisfy the mutually exclusive and collectively exhaustive property within the defined scope.</w:t>
      </w:r>
    </w:p>
    <w:p>
      <w:pPr>
        <w:spacing w:after="120"/>
      </w:pPr>
      <w:r>
        <w:rPr>
          <w:b/>
        </w:rPr>
        <w:t xml:space="preserve">13. </w:t>
      </w:r>
      <w:r>
        <w:t>The system of claim 11, wherein the instructions further cause the system to validate the computed structural-constraint ratio against at least one stored reference model and to include in the event record a validation status.</w:t>
      </w:r>
    </w:p>
    <w:p>
      <w:pPr>
        <w:spacing w:after="120"/>
      </w:pPr>
      <w:r>
        <w:rPr>
          <w:b/>
        </w:rPr>
        <w:t xml:space="preserve">14. </w:t>
      </w:r>
      <w:r>
        <w:t>The system of claim 11, wherein the instructions further cause the system to store the validated event record in a content-addressable storage system.</w:t>
      </w:r>
    </w:p>
    <w:p>
      <w:pPr>
        <w:spacing w:after="120"/>
      </w:pPr>
      <w:r>
        <w:rPr>
          <w:b/>
        </w:rPr>
        <w:t xml:space="preserve">15. </w:t>
      </w:r>
      <w:r>
        <w:t>The system of claim 11, wherein the declared domain-mapping rules, the threshold-set version, the source identifier, and the record version are recorded in the event record in a form sufficient to enable a third party in possession of the event record to replay the computation and verify the result.</w:t>
      </w:r>
    </w:p>
    <w:p>
      <w:pPr>
        <w:spacing w:after="120"/>
      </w:pPr>
      <w:r>
        <w:rPr>
          <w:b/>
        </w:rPr>
        <w:t xml:space="preserve">16. </w:t>
      </w:r>
      <w:r>
        <w:t>The method of claim 1, wherein the steps of applying the declared domain-mapping rules, constructing the first and second partitions, computing the structural-constraint ratio, and comparing the ratio to the stored threshold values are executed in a deterministic order such that a second execution of the method on the same input data, the same mapping-rule version, and the same threshold-set version produces an event record bit-identical in its metrics fields to a first execution.</w:t>
      </w:r>
    </w:p>
    <w:p>
      <w:pPr>
        <w:spacing w:after="120"/>
      </w:pPr>
      <w:r>
        <w:rPr>
          <w:b/>
        </w:rPr>
        <w:t xml:space="preserve">17. </w:t>
      </w:r>
      <w:r>
        <w:t>A non-transitory computer-readable medium storing instructions that, when executed by one or more processors, cause the one or more processors to perform the method of claim 1.</w:t>
      </w:r>
    </w:p>
    <w:p>
      <w:pPr>
        <w:spacing w:after="120"/>
      </w:pPr>
      <w:r>
        <w:rPr>
          <w:b/>
        </w:rPr>
        <w:t xml:space="preserve">18. </w:t>
      </w:r>
      <w:r>
        <w:t>The method of claim 1, wherein the ratio, the classification zone, the mapping-rule version, and the threshold-set version are emitted to an output interface in a structured format conforming to the stored schema.</w:t>
      </w:r>
    </w:p>
    <w:p>
      <w:pPr>
        <w:spacing w:after="120"/>
      </w:pPr>
      <w:r>
        <w:rPr>
          <w:b/>
        </w:rPr>
        <w:t xml:space="preserve">19. </w:t>
      </w:r>
      <w:r>
        <w:t>The method of claim 1, wherein the stored schema specifies a plurality of required fields including a convergence-band lower limit equal to approximately 0.30 and a convergence-band upper limit equal to approximately 0.50, and wherein the event record stores the convergence-band lower limit and the convergence-band upper limit as recorded metrics.</w:t>
      </w:r>
    </w:p>
    <w:p>
      <w:r>
        <w:br w:type="page"/>
      </w:r>
    </w:p>
    <w:p>
      <w:pPr>
        <w:pStyle w:val="Heading1"/>
      </w:pPr>
      <w:r>
        <w:rPr>
          <w:rFonts w:ascii="Times New Roman" w:hAnsi="Times New Roman"/>
        </w:rPr>
        <w:t>ABSTRACT</w:t>
      </w:r>
    </w:p>
    <w:p>
      <w:r>
        <w:rPr>
          <w:b w:val="0"/>
          <w:i w:val="0"/>
        </w:rPr>
        <w:t>A computer-implemented method and system detect, quantify, and classify structural constraint in an empirical distribution. The method receives empirical distribution input data from an identified source, applies declared domain-mapping rules to resolve observable source fields, constructs first and second complementary partitions that are mutually exclusive and collectively exhaustive within a defined scope, computes a dimensionless structural-constraint ratio from the partitions, compares the ratio to stored threshold values comprising a lower threshold of approximately 0.30 and an upper threshold of approximately 0.50, and assigns the distribution to a SUBORDINATED, STRUCTURAL, or DOMINANT zone. The method generates a schema-validated, version-controlled, machine-readable event record containing the computed ratio, the zone assignment, a mapping-rule version, a threshold-set version, a source identifier, and a record version, and stores or outputs the validated event record, enabling third-party replay and audit.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