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B3A2D"/>
          <w:sz w:val="56"/>
        </w:rPr>
        <w:t>GLYPH SIMULATION ENGINE</w:t>
      </w:r>
    </w:p>
    <w:p>
      <w:pPr>
        <w:jc w:val="center"/>
      </w:pPr>
      <w:r>
        <w:rPr>
          <w:rFonts w:ascii="Arial" w:hAnsi="Arial"/>
          <w:color w:val="8B733A"/>
          <w:sz w:val="36"/>
        </w:rPr>
        <w:t>Method and Results</w:t>
      </w:r>
    </w:p>
    <w:p/>
    <w:p>
      <w:pPr>
        <w:jc w:val="center"/>
      </w:pPr>
      <w:r>
        <w:rPr>
          <w:rFonts w:ascii="Arial" w:hAnsi="Arial"/>
          <w:color w:val="555555"/>
          <w:sz w:val="22"/>
        </w:rPr>
        <w:t>Heyer Livin LLC / GLYPH8 Research Division</w:t>
        <w:br/>
        <w:t>March 24, 2026</w:t>
        <w:br/>
        <w:t>Version 1.0 — Final 1,000,000-Trial Run</w:t>
      </w:r>
    </w:p>
    <w:p>
      <w:r>
        <w:br w:type="page"/>
      </w:r>
    </w:p>
    <w:p>
      <w:pPr>
        <w:pStyle w:val="Heading1"/>
      </w:pPr>
      <w:r>
        <w:rPr>
          <w:rFonts w:ascii="Arial" w:hAnsi="Arial"/>
          <w:color w:val="1B3A2D"/>
        </w:rPr>
        <w:t>1. Purpose</w:t>
      </w:r>
    </w:p>
    <w:p>
      <w:pPr>
        <w:spacing w:after="120"/>
      </w:pPr>
      <w:r>
        <w:rPr>
          <w:rFonts w:ascii="Arial" w:hAnsi="Arial"/>
          <w:b w:val="0"/>
          <w:i w:val="0"/>
          <w:sz w:val="22"/>
        </w:rPr>
        <w:t>This document records the method, configuration, and final results of the Glyph Simulation Engine. The engine runs 7 random-outcome games at 1,000,000 trials each and measures where each game's converged ratio falls relative to the convergence band [0.30, 0.49] and the reference point 0.39. The output is a set of glyph_event_records stored in the GLYPH8 events directory, each record conforming to event_schema_v1.json.</w:t>
      </w:r>
    </w:p>
    <w:p>
      <w:pPr>
        <w:spacing w:after="120"/>
      </w:pPr>
      <w:r>
        <w:rPr>
          <w:rFonts w:ascii="Arial" w:hAnsi="Arial"/>
          <w:b w:val="0"/>
          <w:i w:val="0"/>
          <w:sz w:val="22"/>
        </w:rPr>
        <w:t>The simulation component of the Glyph system tests whether games of independent random outcome produce clustering ratios that land inside, outside, or near the bounded interval under study. No claim is made that any game should or should not fall within the band. The engine measures and records.</w:t>
      </w:r>
    </w:p>
    <w:p>
      <w:pPr>
        <w:pStyle w:val="Heading1"/>
      </w:pPr>
      <w:r>
        <w:rPr>
          <w:rFonts w:ascii="Arial" w:hAnsi="Arial"/>
          <w:color w:val="1B3A2D"/>
        </w:rPr>
        <w:t>2. Core Formulas</w:t>
      </w:r>
    </w:p>
    <w:p>
      <w:pPr>
        <w:spacing w:after="120"/>
      </w:pPr>
      <w:r>
        <w:rPr>
          <w:rFonts w:ascii="Arial" w:hAnsi="Arial"/>
          <w:b/>
          <w:i w:val="0"/>
          <w:sz w:val="24"/>
        </w:rPr>
        <w:t>clustering_ratio = event_position / cycle_length</w:t>
      </w:r>
    </w:p>
    <w:p>
      <w:pPr>
        <w:spacing w:after="120"/>
      </w:pPr>
      <w:r>
        <w:rPr>
          <w:rFonts w:ascii="Arial" w:hAnsi="Arial"/>
          <w:b/>
          <w:i w:val="0"/>
          <w:sz w:val="24"/>
        </w:rPr>
        <w:t>inside_band = 0.30 ≤ clustering_ratio ≤ 0.49</w:t>
      </w:r>
    </w:p>
    <w:p>
      <w:pPr>
        <w:spacing w:after="120"/>
      </w:pPr>
      <w:r>
        <w:rPr>
          <w:rFonts w:ascii="Arial" w:hAnsi="Arial"/>
          <w:b/>
          <w:i w:val="0"/>
          <w:sz w:val="24"/>
        </w:rPr>
        <w:t>distance_from_reference = |clustering_ratio − 0.39|</w:t>
      </w:r>
    </w:p>
    <w:p>
      <w:pPr>
        <w:spacing w:after="120"/>
      </w:pPr>
      <w:r>
        <w:rPr>
          <w:rFonts w:ascii="Arial" w:hAnsi="Arial"/>
          <w:b w:val="0"/>
          <w:i w:val="0"/>
          <w:sz w:val="22"/>
        </w:rPr>
        <w:t>The convergence band [0.30, 0.49] is a bounded interval, not a confidence interval. The reference point 0.39 is a fixed value under study, not an average. A record is classified INSIDE or OUTSIDE the band. Distance from reference is absolute.</w:t>
      </w:r>
    </w:p>
    <w:p>
      <w:pPr>
        <w:pStyle w:val="Heading1"/>
      </w:pPr>
      <w:r>
        <w:rPr>
          <w:rFonts w:ascii="Arial" w:hAnsi="Arial"/>
          <w:color w:val="1B3A2D"/>
        </w:rPr>
        <w:t>3. Game Definitions</w:t>
      </w:r>
    </w:p>
    <w:p>
      <w:pPr>
        <w:pStyle w:val="Heading2"/>
      </w:pPr>
      <w:r>
        <w:rPr>
          <w:rFonts w:ascii="Arial" w:hAnsi="Arial"/>
          <w:color w:val="1B3A2D"/>
        </w:rPr>
        <w:t>3.1  Coin Flip  (coin_flip)</w:t>
      </w:r>
    </w:p>
    <w:p>
      <w:pPr>
        <w:spacing w:after="120"/>
      </w:pPr>
      <w:r>
        <w:rPr>
          <w:rFonts w:ascii="Arial" w:hAnsi="Arial"/>
          <w:b w:val="0"/>
          <w:i w:val="0"/>
          <w:sz w:val="22"/>
        </w:rPr>
        <w:t>Fair coin. Each trial: generate uniform random [0,1). If &lt; 0.5, count as heads. Ratio = total_heads / n_trials. Expected convergence: 0.5000.</w:t>
      </w:r>
    </w:p>
    <w:p>
      <w:pPr>
        <w:spacing w:after="120"/>
      </w:pPr>
      <w:r>
        <w:rPr>
          <w:rFonts w:ascii="Arial" w:hAnsi="Arial"/>
          <w:b w:val="0"/>
          <w:i/>
          <w:sz w:val="20"/>
        </w:rPr>
        <w:t>Record mapping: event_position = heads count, cycle_length = n_trials</w:t>
      </w:r>
    </w:p>
    <w:p>
      <w:pPr>
        <w:pStyle w:val="Heading2"/>
      </w:pPr>
      <w:r>
        <w:rPr>
          <w:rFonts w:ascii="Arial" w:hAnsi="Arial"/>
          <w:color w:val="1B3A2D"/>
        </w:rPr>
        <w:t>3.2  Dice ≤ 3  (dice_lte3)</w:t>
      </w:r>
    </w:p>
    <w:p>
      <w:pPr>
        <w:spacing w:after="120"/>
      </w:pPr>
      <w:r>
        <w:rPr>
          <w:rFonts w:ascii="Arial" w:hAnsi="Arial"/>
          <w:b w:val="0"/>
          <w:i w:val="0"/>
          <w:sz w:val="22"/>
        </w:rPr>
        <w:t>Roll one 6-sided die. Count results ≤ 3. Ratio = hits / n_trials. Expected convergence: 0.5000.</w:t>
      </w:r>
    </w:p>
    <w:p>
      <w:pPr>
        <w:spacing w:after="120"/>
      </w:pPr>
      <w:r>
        <w:rPr>
          <w:rFonts w:ascii="Arial" w:hAnsi="Arial"/>
          <w:b w:val="0"/>
          <w:i/>
          <w:sz w:val="20"/>
        </w:rPr>
        <w:t>Record mapping: event_position = hit count, cycle_length = n_trials</w:t>
      </w:r>
    </w:p>
    <w:p>
      <w:pPr>
        <w:pStyle w:val="Heading2"/>
      </w:pPr>
      <w:r>
        <w:rPr>
          <w:rFonts w:ascii="Arial" w:hAnsi="Arial"/>
          <w:color w:val="1B3A2D"/>
        </w:rPr>
        <w:t>3.3  Kings Cup  (kings_cup)</w:t>
      </w:r>
    </w:p>
    <w:p>
      <w:pPr>
        <w:spacing w:after="120"/>
      </w:pPr>
      <w:r>
        <w:rPr>
          <w:rFonts w:ascii="Arial" w:hAnsi="Arial"/>
          <w:b w:val="0"/>
          <w:i w:val="0"/>
          <w:sz w:val="22"/>
        </w:rPr>
        <w:t>Shuffle a 52-card deck containing 4 Kings and 48 non-Kings. Draw sequentially. Record the 1-indexed position of the 2nd King drawn. Ratio = average_position / 52. The 2nd King is the irreversible state change: the moment the game shifts from exploratory to constrained. E[2nd order statistic of 4 from Uniform(1,52)] = 2 × 53 / 5 = 21.2. Expected convergence: 21.2 / 52 = 0.4077.</w:t>
      </w:r>
    </w:p>
    <w:p>
      <w:pPr>
        <w:spacing w:after="120"/>
      </w:pPr>
      <w:r>
        <w:rPr>
          <w:rFonts w:ascii="Arial" w:hAnsi="Arial"/>
          <w:b w:val="0"/>
          <w:i/>
          <w:sz w:val="20"/>
        </w:rPr>
        <w:t>Record mapping: event_position = avg 2nd King position, cycle_length = 52</w:t>
      </w:r>
    </w:p>
    <w:p>
      <w:pPr>
        <w:pStyle w:val="Heading2"/>
      </w:pPr>
      <w:r>
        <w:rPr>
          <w:rFonts w:ascii="Arial" w:hAnsi="Arial"/>
          <w:color w:val="1B3A2D"/>
        </w:rPr>
        <w:t>3.4  Blackjack Bust  (blackjack_bust)</w:t>
      </w:r>
    </w:p>
    <w:p>
      <w:pPr>
        <w:spacing w:after="120"/>
      </w:pPr>
      <w:r>
        <w:rPr>
          <w:rFonts w:ascii="Arial" w:hAnsi="Arial"/>
          <w:b w:val="0"/>
          <w:i w:val="0"/>
          <w:sz w:val="22"/>
        </w:rPr>
        <w:t>4-deck shoe. Card values: 2–10 face value, J/Q/K = 10, Ace = 11. Deal 3 cards (2 + 1 hit). If total &gt; 21 and hand contains an Ace counted as 11, reduce by 10. Bust = final total &gt; 21. Ratio = busts / n_trials. Expected convergence: ~0.378.</w:t>
      </w:r>
    </w:p>
    <w:p>
      <w:pPr>
        <w:spacing w:after="120"/>
      </w:pPr>
      <w:r>
        <w:rPr>
          <w:rFonts w:ascii="Arial" w:hAnsi="Arial"/>
          <w:b w:val="0"/>
          <w:i/>
          <w:sz w:val="20"/>
        </w:rPr>
        <w:t>Record mapping: event_position = bust count, cycle_length = n_trials</w:t>
      </w:r>
    </w:p>
    <w:p>
      <w:pPr>
        <w:pStyle w:val="Heading2"/>
      </w:pPr>
      <w:r>
        <w:rPr>
          <w:rFonts w:ascii="Arial" w:hAnsi="Arial"/>
          <w:color w:val="1B3A2D"/>
        </w:rPr>
        <w:t>3.5  Roulette Red  (roulette_red)</w:t>
      </w:r>
    </w:p>
    <w:p>
      <w:pPr>
        <w:spacing w:after="120"/>
      </w:pPr>
      <w:r>
        <w:rPr>
          <w:rFonts w:ascii="Arial" w:hAnsi="Arial"/>
          <w:b w:val="0"/>
          <w:i w:val="0"/>
          <w:sz w:val="22"/>
        </w:rPr>
        <w:t>American roulette: 38 slots (18 red, 18 black, 0, 00). Bet red. Hit = random integer [1,38] ≤ 18. Ratio = hits / n_trials. Expected convergence: 18/38 = 0.4737.</w:t>
      </w:r>
    </w:p>
    <w:p>
      <w:pPr>
        <w:spacing w:after="120"/>
      </w:pPr>
      <w:r>
        <w:rPr>
          <w:rFonts w:ascii="Arial" w:hAnsi="Arial"/>
          <w:b w:val="0"/>
          <w:i/>
          <w:sz w:val="20"/>
        </w:rPr>
        <w:t>Record mapping: event_position = red count, cycle_length = n_trials</w:t>
      </w:r>
    </w:p>
    <w:p>
      <w:pPr>
        <w:pStyle w:val="Heading2"/>
      </w:pPr>
      <w:r>
        <w:rPr>
          <w:rFonts w:ascii="Arial" w:hAnsi="Arial"/>
          <w:color w:val="1B3A2D"/>
        </w:rPr>
        <w:t>3.6  War  (war_win)</w:t>
      </w:r>
    </w:p>
    <w:p>
      <w:pPr>
        <w:spacing w:after="120"/>
      </w:pPr>
      <w:r>
        <w:rPr>
          <w:rFonts w:ascii="Arial" w:hAnsi="Arial"/>
          <w:b w:val="0"/>
          <w:i w:val="0"/>
          <w:sz w:val="22"/>
        </w:rPr>
        <w:t>Two players each draw one card from a shuffled 52-card deck (values 2–14, 4 suits). Higher card wins. Ties are excluded from the count. Ratio = player_1_wins / non_tie_trials. Expected convergence: 0.5000.</w:t>
      </w:r>
    </w:p>
    <w:p>
      <w:pPr>
        <w:spacing w:after="120"/>
      </w:pPr>
      <w:r>
        <w:rPr>
          <w:rFonts w:ascii="Arial" w:hAnsi="Arial"/>
          <w:b w:val="0"/>
          <w:i/>
          <w:sz w:val="20"/>
        </w:rPr>
        <w:t>Record mapping: event_position = P1 wins, cycle_length = non-tie count</w:t>
      </w:r>
    </w:p>
    <w:p>
      <w:pPr>
        <w:pStyle w:val="Heading2"/>
      </w:pPr>
      <w:r>
        <w:rPr>
          <w:rFonts w:ascii="Arial" w:hAnsi="Arial"/>
          <w:color w:val="1B3A2D"/>
        </w:rPr>
        <w:t>3.7  Craps Pass Line  (craps_pass)</w:t>
      </w:r>
    </w:p>
    <w:p>
      <w:pPr>
        <w:spacing w:after="120"/>
      </w:pPr>
      <w:r>
        <w:rPr>
          <w:rFonts w:ascii="Arial" w:hAnsi="Arial"/>
          <w:b w:val="0"/>
          <w:i w:val="0"/>
          <w:sz w:val="22"/>
        </w:rPr>
        <w:t>Standard craps pass line rules. Come-out roll: 7 or 11 = win; 2, 3, or 12 = lose; any other number establishes the point. Point phase: re-roll until point (win) or 7 (lose). Ratio = wins / n_trials. Expected convergence: 244/495 = 0.4929.</w:t>
      </w:r>
    </w:p>
    <w:p>
      <w:pPr>
        <w:spacing w:after="120"/>
      </w:pPr>
      <w:r>
        <w:rPr>
          <w:rFonts w:ascii="Arial" w:hAnsi="Arial"/>
          <w:b w:val="0"/>
          <w:i/>
          <w:sz w:val="20"/>
        </w:rPr>
        <w:t>Record mapping: event_position = pass wins, cycle_length = n_trials</w:t>
      </w:r>
    </w:p>
    <w:p>
      <w:pPr>
        <w:pStyle w:val="Heading1"/>
      </w:pPr>
      <w:r>
        <w:rPr>
          <w:rFonts w:ascii="Arial" w:hAnsi="Arial"/>
          <w:color w:val="1B3A2D"/>
        </w:rPr>
        <w:t>4. Trial Configuration</w:t>
      </w:r>
    </w:p>
    <w:p>
      <w:pPr>
        <w:spacing w:after="120"/>
      </w:pPr>
      <w:r>
        <w:rPr>
          <w:rFonts w:ascii="Arial" w:hAnsi="Arial"/>
          <w:b/>
          <w:i w:val="0"/>
          <w:sz w:val="22"/>
        </w:rPr>
        <w:t>Trials per game: 1,000,000</w:t>
      </w:r>
    </w:p>
    <w:p>
      <w:pPr>
        <w:spacing w:after="120"/>
      </w:pPr>
      <w:r>
        <w:rPr>
          <w:rFonts w:ascii="Arial" w:hAnsi="Arial"/>
          <w:b/>
          <w:i w:val="0"/>
          <w:sz w:val="22"/>
        </w:rPr>
        <w:t>Checkpoint captures: 1,000 / 10,000 / 100,000 / 500,000 / 1,000,000</w:t>
      </w:r>
    </w:p>
    <w:p>
      <w:pPr>
        <w:spacing w:after="120"/>
      </w:pPr>
      <w:r>
        <w:rPr>
          <w:rFonts w:ascii="Arial" w:hAnsi="Arial"/>
          <w:b w:val="0"/>
          <w:i w:val="0"/>
          <w:sz w:val="22"/>
        </w:rPr>
        <w:t>Random source: Python 3.10 random module (Mersenne Twister, unseeded — OS entropy)</w:t>
      </w:r>
    </w:p>
    <w:p>
      <w:pPr>
        <w:spacing w:after="120"/>
      </w:pPr>
      <w:r>
        <w:rPr>
          <w:rFonts w:ascii="Arial" w:hAnsi="Arial"/>
          <w:b w:val="0"/>
          <w:i w:val="0"/>
          <w:sz w:val="22"/>
        </w:rPr>
        <w:t>Execution: sequential, single-threaded, all 7 games in one run</w:t>
      </w:r>
    </w:p>
    <w:p>
      <w:pPr>
        <w:spacing w:after="120"/>
      </w:pPr>
      <w:r>
        <w:rPr>
          <w:rFonts w:ascii="Arial" w:hAnsi="Arial"/>
          <w:b w:val="0"/>
          <w:i w:val="0"/>
          <w:sz w:val="22"/>
        </w:rPr>
        <w:t>Output: one glyph_event_record per game + one sim_summary JSON</w:t>
      </w:r>
    </w:p>
    <w:p>
      <w:pPr>
        <w:spacing w:after="120"/>
      </w:pPr>
      <w:r>
        <w:rPr>
          <w:rFonts w:ascii="Arial" w:hAnsi="Arial"/>
          <w:b w:val="0"/>
          <w:i w:val="0"/>
          <w:sz w:val="22"/>
        </w:rPr>
        <w:t>Run date: 2026-03-24</w:t>
      </w:r>
    </w:p>
    <w:p>
      <w:pPr>
        <w:spacing w:after="120"/>
      </w:pPr>
      <w:r>
        <w:rPr>
          <w:rFonts w:ascii="Arial" w:hAnsi="Arial"/>
          <w:b w:val="0"/>
          <w:i w:val="0"/>
          <w:sz w:val="22"/>
        </w:rPr>
        <w:t>Run environment: local macOS, Python 3.10, glyph_simulations.py v1</w:t>
      </w:r>
    </w:p>
    <w:p>
      <w:pPr>
        <w:pStyle w:val="Heading1"/>
      </w:pPr>
      <w:r>
        <w:rPr>
          <w:rFonts w:ascii="Arial" w:hAnsi="Arial"/>
          <w:color w:val="1B3A2D"/>
        </w:rPr>
        <w:t>5. Results — 1,000,000 Trials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Arial" w:hAnsi="Arial"/>
                <w:b/>
                <w:sz w:val="20"/>
              </w:rPr>
              <w:t>Game</w:t>
            </w:r>
          </w:p>
        </w:tc>
        <w:tc>
          <w:tcPr>
            <w:tcW w:type="dxa" w:w="1872"/>
          </w:tcPr>
          <w:p>
            <w:r>
              <w:rPr>
                <w:rFonts w:ascii="Arial" w:hAnsi="Arial"/>
                <w:b/>
                <w:sz w:val="20"/>
              </w:rPr>
              <w:t>Ratio</w:t>
            </w:r>
          </w:p>
        </w:tc>
        <w:tc>
          <w:tcPr>
            <w:tcW w:type="dxa" w:w="1872"/>
          </w:tcPr>
          <w:p>
            <w:r>
              <w:rPr>
                <w:rFonts w:ascii="Arial" w:hAnsi="Arial"/>
                <w:b/>
                <w:sz w:val="20"/>
              </w:rPr>
              <w:t>Delta from 0.39</w:t>
            </w:r>
          </w:p>
        </w:tc>
        <w:tc>
          <w:tcPr>
            <w:tcW w:type="dxa" w:w="1872"/>
          </w:tcPr>
          <w:p>
            <w:r>
              <w:rPr>
                <w:rFonts w:ascii="Arial" w:hAnsi="Arial"/>
                <w:b/>
                <w:sz w:val="20"/>
              </w:rPr>
              <w:t>Band</w:t>
            </w:r>
          </w:p>
        </w:tc>
        <w:tc>
          <w:tcPr>
            <w:tcW w:type="dxa" w:w="1872"/>
          </w:tcPr>
          <w:p>
            <w:r>
              <w:rPr>
                <w:rFonts w:ascii="Arial" w:hAnsi="Arial"/>
                <w:b/>
                <w:sz w:val="20"/>
              </w:rPr>
              <w:t>Expected</w:t>
            </w:r>
          </w:p>
        </w:tc>
      </w:tr>
      <w:tr>
        <w:tc>
          <w:tcPr>
            <w:tcW w:type="dxa" w:w="1872"/>
          </w:tcPr>
          <w:p>
            <w:r>
              <w:rPr>
                <w:rFonts w:ascii="Arial" w:hAnsi="Arial"/>
                <w:sz w:val="20"/>
              </w:rPr>
              <w:t>coin_flip</w:t>
            </w:r>
          </w:p>
        </w:tc>
        <w:tc>
          <w:tcPr>
            <w:tcW w:type="dxa" w:w="1872"/>
          </w:tcPr>
          <w:p>
            <w:r>
              <w:rPr>
                <w:rFonts w:ascii="Arial" w:hAnsi="Arial"/>
                <w:sz w:val="20"/>
              </w:rPr>
              <w:t>0.5012</w:t>
            </w:r>
          </w:p>
        </w:tc>
        <w:tc>
          <w:tcPr>
            <w:tcW w:type="dxa" w:w="1872"/>
          </w:tcPr>
          <w:p>
            <w:r>
              <w:rPr>
                <w:rFonts w:ascii="Arial" w:hAnsi="Arial"/>
                <w:sz w:val="20"/>
              </w:rPr>
              <w:t>0.1112</w:t>
            </w:r>
          </w:p>
        </w:tc>
        <w:tc>
          <w:tcPr>
            <w:tcW w:type="dxa" w:w="1872"/>
          </w:tcPr>
          <w:p>
            <w:r>
              <w:rPr>
                <w:rFonts w:ascii="Arial" w:hAnsi="Arial"/>
                <w:color w:val="8B0000"/>
                <w:sz w:val="20"/>
              </w:rPr>
              <w:t>OUTSIDE</w:t>
            </w:r>
          </w:p>
        </w:tc>
        <w:tc>
          <w:tcPr>
            <w:tcW w:type="dxa" w:w="1872"/>
          </w:tcPr>
          <w:p>
            <w:r>
              <w:rPr>
                <w:rFonts w:ascii="Arial" w:hAnsi="Arial"/>
                <w:sz w:val="20"/>
              </w:rPr>
              <w:t>0.5000</w:t>
            </w:r>
          </w:p>
        </w:tc>
      </w:tr>
      <w:tr>
        <w:tc>
          <w:tcPr>
            <w:tcW w:type="dxa" w:w="1872"/>
          </w:tcPr>
          <w:p>
            <w:r>
              <w:rPr>
                <w:rFonts w:ascii="Arial" w:hAnsi="Arial"/>
                <w:sz w:val="20"/>
              </w:rPr>
              <w:t>dice_lte3</w:t>
            </w:r>
          </w:p>
        </w:tc>
        <w:tc>
          <w:tcPr>
            <w:tcW w:type="dxa" w:w="1872"/>
          </w:tcPr>
          <w:p>
            <w:r>
              <w:rPr>
                <w:rFonts w:ascii="Arial" w:hAnsi="Arial"/>
                <w:sz w:val="20"/>
              </w:rPr>
              <w:t>0.5009</w:t>
            </w:r>
          </w:p>
        </w:tc>
        <w:tc>
          <w:tcPr>
            <w:tcW w:type="dxa" w:w="1872"/>
          </w:tcPr>
          <w:p>
            <w:r>
              <w:rPr>
                <w:rFonts w:ascii="Arial" w:hAnsi="Arial"/>
                <w:sz w:val="20"/>
              </w:rPr>
              <w:t>0.1109</w:t>
            </w:r>
          </w:p>
        </w:tc>
        <w:tc>
          <w:tcPr>
            <w:tcW w:type="dxa" w:w="1872"/>
          </w:tcPr>
          <w:p>
            <w:r>
              <w:rPr>
                <w:rFonts w:ascii="Arial" w:hAnsi="Arial"/>
                <w:color w:val="8B0000"/>
                <w:sz w:val="20"/>
              </w:rPr>
              <w:t>OUTSIDE</w:t>
            </w:r>
          </w:p>
        </w:tc>
        <w:tc>
          <w:tcPr>
            <w:tcW w:type="dxa" w:w="1872"/>
          </w:tcPr>
          <w:p>
            <w:r>
              <w:rPr>
                <w:rFonts w:ascii="Arial" w:hAnsi="Arial"/>
                <w:sz w:val="20"/>
              </w:rPr>
              <w:t>0.5000</w:t>
            </w:r>
          </w:p>
        </w:tc>
      </w:tr>
      <w:tr>
        <w:tc>
          <w:tcPr>
            <w:tcW w:type="dxa" w:w="1872"/>
          </w:tcPr>
          <w:p>
            <w:r>
              <w:rPr>
                <w:rFonts w:ascii="Arial" w:hAnsi="Arial"/>
                <w:sz w:val="20"/>
              </w:rPr>
              <w:t>kings_cup</w:t>
            </w:r>
          </w:p>
        </w:tc>
        <w:tc>
          <w:tcPr>
            <w:tcW w:type="dxa" w:w="1872"/>
          </w:tcPr>
          <w:p>
            <w:r>
              <w:rPr>
                <w:rFonts w:ascii="Arial" w:hAnsi="Arial"/>
                <w:sz w:val="20"/>
              </w:rPr>
              <w:t>0.4077</w:t>
            </w:r>
          </w:p>
        </w:tc>
        <w:tc>
          <w:tcPr>
            <w:tcW w:type="dxa" w:w="1872"/>
          </w:tcPr>
          <w:p>
            <w:r>
              <w:rPr>
                <w:rFonts w:ascii="Arial" w:hAnsi="Arial"/>
                <w:sz w:val="20"/>
              </w:rPr>
              <w:t>0.0177</w:t>
            </w:r>
          </w:p>
        </w:tc>
        <w:tc>
          <w:tcPr>
            <w:tcW w:type="dxa" w:w="1872"/>
          </w:tcPr>
          <w:p>
            <w:r>
              <w:rPr>
                <w:rFonts w:ascii="Arial" w:hAnsi="Arial"/>
                <w:color w:val="1B7A2D"/>
                <w:sz w:val="20"/>
              </w:rPr>
              <w:t>INSIDE</w:t>
            </w:r>
          </w:p>
        </w:tc>
        <w:tc>
          <w:tcPr>
            <w:tcW w:type="dxa" w:w="1872"/>
          </w:tcPr>
          <w:p>
            <w:r>
              <w:rPr>
                <w:rFonts w:ascii="Arial" w:hAnsi="Arial"/>
                <w:sz w:val="20"/>
              </w:rPr>
              <w:t>0.4077</w:t>
            </w:r>
          </w:p>
        </w:tc>
      </w:tr>
      <w:tr>
        <w:tc>
          <w:tcPr>
            <w:tcW w:type="dxa" w:w="1872"/>
          </w:tcPr>
          <w:p>
            <w:r>
              <w:rPr>
                <w:rFonts w:ascii="Arial" w:hAnsi="Arial"/>
                <w:sz w:val="20"/>
              </w:rPr>
              <w:t>blackjack_bust</w:t>
            </w:r>
          </w:p>
        </w:tc>
        <w:tc>
          <w:tcPr>
            <w:tcW w:type="dxa" w:w="1872"/>
          </w:tcPr>
          <w:p>
            <w:r>
              <w:rPr>
                <w:rFonts w:ascii="Arial" w:hAnsi="Arial"/>
                <w:sz w:val="20"/>
              </w:rPr>
              <w:t>0.3781</w:t>
            </w:r>
          </w:p>
        </w:tc>
        <w:tc>
          <w:tcPr>
            <w:tcW w:type="dxa" w:w="1872"/>
          </w:tcPr>
          <w:p>
            <w:r>
              <w:rPr>
                <w:rFonts w:ascii="Arial" w:hAnsi="Arial"/>
                <w:sz w:val="20"/>
              </w:rPr>
              <w:t>0.0119</w:t>
            </w:r>
          </w:p>
        </w:tc>
        <w:tc>
          <w:tcPr>
            <w:tcW w:type="dxa" w:w="1872"/>
          </w:tcPr>
          <w:p>
            <w:r>
              <w:rPr>
                <w:rFonts w:ascii="Arial" w:hAnsi="Arial"/>
                <w:color w:val="1B7A2D"/>
                <w:sz w:val="20"/>
              </w:rPr>
              <w:t>INSIDE</w:t>
            </w:r>
          </w:p>
        </w:tc>
        <w:tc>
          <w:tcPr>
            <w:tcW w:type="dxa" w:w="1872"/>
          </w:tcPr>
          <w:p>
            <w:r>
              <w:rPr>
                <w:rFonts w:ascii="Arial" w:hAnsi="Arial"/>
                <w:sz w:val="20"/>
              </w:rPr>
              <w:t>~0.378</w:t>
            </w:r>
          </w:p>
        </w:tc>
      </w:tr>
      <w:tr>
        <w:tc>
          <w:tcPr>
            <w:tcW w:type="dxa" w:w="1872"/>
          </w:tcPr>
          <w:p>
            <w:r>
              <w:rPr>
                <w:rFonts w:ascii="Arial" w:hAnsi="Arial"/>
                <w:sz w:val="20"/>
              </w:rPr>
              <w:t>roulette_red</w:t>
            </w:r>
          </w:p>
        </w:tc>
        <w:tc>
          <w:tcPr>
            <w:tcW w:type="dxa" w:w="1872"/>
          </w:tcPr>
          <w:p>
            <w:r>
              <w:rPr>
                <w:rFonts w:ascii="Arial" w:hAnsi="Arial"/>
                <w:sz w:val="20"/>
              </w:rPr>
              <w:t>0.4734</w:t>
            </w:r>
          </w:p>
        </w:tc>
        <w:tc>
          <w:tcPr>
            <w:tcW w:type="dxa" w:w="1872"/>
          </w:tcPr>
          <w:p>
            <w:r>
              <w:rPr>
                <w:rFonts w:ascii="Arial" w:hAnsi="Arial"/>
                <w:sz w:val="20"/>
              </w:rPr>
              <w:t>0.0834</w:t>
            </w:r>
          </w:p>
        </w:tc>
        <w:tc>
          <w:tcPr>
            <w:tcW w:type="dxa" w:w="1872"/>
          </w:tcPr>
          <w:p>
            <w:r>
              <w:rPr>
                <w:rFonts w:ascii="Arial" w:hAnsi="Arial"/>
                <w:color w:val="1B7A2D"/>
                <w:sz w:val="20"/>
              </w:rPr>
              <w:t>INSIDE</w:t>
            </w:r>
          </w:p>
        </w:tc>
        <w:tc>
          <w:tcPr>
            <w:tcW w:type="dxa" w:w="1872"/>
          </w:tcPr>
          <w:p>
            <w:r>
              <w:rPr>
                <w:rFonts w:ascii="Arial" w:hAnsi="Arial"/>
                <w:sz w:val="20"/>
              </w:rPr>
              <w:t>0.4737</w:t>
            </w:r>
          </w:p>
        </w:tc>
      </w:tr>
      <w:tr>
        <w:tc>
          <w:tcPr>
            <w:tcW w:type="dxa" w:w="1872"/>
          </w:tcPr>
          <w:p>
            <w:r>
              <w:rPr>
                <w:rFonts w:ascii="Arial" w:hAnsi="Arial"/>
                <w:sz w:val="20"/>
              </w:rPr>
              <w:t>war_win</w:t>
            </w:r>
          </w:p>
        </w:tc>
        <w:tc>
          <w:tcPr>
            <w:tcW w:type="dxa" w:w="1872"/>
          </w:tcPr>
          <w:p>
            <w:r>
              <w:rPr>
                <w:rFonts w:ascii="Arial" w:hAnsi="Arial"/>
                <w:sz w:val="20"/>
              </w:rPr>
              <w:t>0.5000</w:t>
            </w:r>
          </w:p>
        </w:tc>
        <w:tc>
          <w:tcPr>
            <w:tcW w:type="dxa" w:w="1872"/>
          </w:tcPr>
          <w:p>
            <w:r>
              <w:rPr>
                <w:rFonts w:ascii="Arial" w:hAnsi="Arial"/>
                <w:sz w:val="20"/>
              </w:rPr>
              <w:t>0.1100</w:t>
            </w:r>
          </w:p>
        </w:tc>
        <w:tc>
          <w:tcPr>
            <w:tcW w:type="dxa" w:w="1872"/>
          </w:tcPr>
          <w:p>
            <w:r>
              <w:rPr>
                <w:rFonts w:ascii="Arial" w:hAnsi="Arial"/>
                <w:color w:val="8B0000"/>
                <w:sz w:val="20"/>
              </w:rPr>
              <w:t>OUTSIDE</w:t>
            </w:r>
          </w:p>
        </w:tc>
        <w:tc>
          <w:tcPr>
            <w:tcW w:type="dxa" w:w="1872"/>
          </w:tcPr>
          <w:p>
            <w:r>
              <w:rPr>
                <w:rFonts w:ascii="Arial" w:hAnsi="Arial"/>
                <w:sz w:val="20"/>
              </w:rPr>
              <w:t>0.5000</w:t>
            </w:r>
          </w:p>
        </w:tc>
      </w:tr>
      <w:tr>
        <w:tc>
          <w:tcPr>
            <w:tcW w:type="dxa" w:w="1872"/>
          </w:tcPr>
          <w:p>
            <w:r>
              <w:rPr>
                <w:rFonts w:ascii="Arial" w:hAnsi="Arial"/>
                <w:sz w:val="20"/>
              </w:rPr>
              <w:t>craps_pass</w:t>
            </w:r>
          </w:p>
        </w:tc>
        <w:tc>
          <w:tcPr>
            <w:tcW w:type="dxa" w:w="1872"/>
          </w:tcPr>
          <w:p>
            <w:r>
              <w:rPr>
                <w:rFonts w:ascii="Arial" w:hAnsi="Arial"/>
                <w:sz w:val="20"/>
              </w:rPr>
              <w:t>0.4931</w:t>
            </w:r>
          </w:p>
        </w:tc>
        <w:tc>
          <w:tcPr>
            <w:tcW w:type="dxa" w:w="1872"/>
          </w:tcPr>
          <w:p>
            <w:r>
              <w:rPr>
                <w:rFonts w:ascii="Arial" w:hAnsi="Arial"/>
                <w:sz w:val="20"/>
              </w:rPr>
              <w:t>0.1031</w:t>
            </w:r>
          </w:p>
        </w:tc>
        <w:tc>
          <w:tcPr>
            <w:tcW w:type="dxa" w:w="1872"/>
          </w:tcPr>
          <w:p>
            <w:r>
              <w:rPr>
                <w:rFonts w:ascii="Arial" w:hAnsi="Arial"/>
                <w:color w:val="8B0000"/>
                <w:sz w:val="20"/>
              </w:rPr>
              <w:t>OUTSIDE</w:t>
            </w:r>
          </w:p>
        </w:tc>
        <w:tc>
          <w:tcPr>
            <w:tcW w:type="dxa" w:w="1872"/>
          </w:tcPr>
          <w:p>
            <w:r>
              <w:rPr>
                <w:rFonts w:ascii="Arial" w:hAnsi="Arial"/>
                <w:sz w:val="20"/>
              </w:rPr>
              <w:t>0.4929</w:t>
            </w:r>
          </w:p>
        </w:tc>
      </w:tr>
    </w:tbl>
    <w:p/>
    <w:p>
      <w:pPr>
        <w:spacing w:after="120"/>
      </w:pPr>
      <w:r>
        <w:rPr>
          <w:rFonts w:ascii="Arial" w:hAnsi="Arial"/>
          <w:b/>
          <w:i w:val="0"/>
          <w:sz w:val="22"/>
        </w:rPr>
        <w:t>Inside convergence band [0.30, 0.49]: 3 of 7 games.</w:t>
      </w:r>
    </w:p>
    <w:p>
      <w:pPr>
        <w:spacing w:after="120"/>
      </w:pPr>
      <w:r>
        <w:rPr>
          <w:rFonts w:ascii="Arial" w:hAnsi="Arial"/>
          <w:b/>
          <w:i w:val="0"/>
          <w:sz w:val="22"/>
        </w:rPr>
        <w:t>Closest to reference 0.39: blackjack_bust at 0.3781 (delta = 0.0119).</w:t>
      </w:r>
    </w:p>
    <w:p>
      <w:pPr>
        <w:pStyle w:val="Heading1"/>
      </w:pPr>
      <w:r>
        <w:rPr>
          <w:rFonts w:ascii="Arial" w:hAnsi="Arial"/>
          <w:color w:val="1B3A2D"/>
        </w:rPr>
        <w:t>6. Checkpoint Convergence Data</w:t>
      </w:r>
    </w:p>
    <w:p>
      <w:pPr>
        <w:spacing w:after="120"/>
      </w:pPr>
      <w:r>
        <w:rPr>
          <w:rFonts w:ascii="Arial" w:hAnsi="Arial"/>
          <w:b w:val="0"/>
          <w:i w:val="0"/>
          <w:sz w:val="22"/>
        </w:rPr>
        <w:t>Each game was measured at 5 checkpoints to track convergence trajectory. All 7 games converge within the first 100,000 trials and hold stable through 1,000,000.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rFonts w:ascii="Arial" w:hAnsi="Arial"/>
                <w:b/>
                <w:sz w:val="18"/>
              </w:rPr>
              <w:t>Game</w:t>
            </w:r>
          </w:p>
        </w:tc>
        <w:tc>
          <w:tcPr>
            <w:tcW w:type="dxa" w:w="1560"/>
          </w:tcPr>
          <w:p>
            <w:r>
              <w:rPr>
                <w:rFonts w:ascii="Arial" w:hAnsi="Arial"/>
                <w:b/>
                <w:sz w:val="18"/>
              </w:rPr>
              <w:t>1K</w:t>
            </w:r>
          </w:p>
        </w:tc>
        <w:tc>
          <w:tcPr>
            <w:tcW w:type="dxa" w:w="1560"/>
          </w:tcPr>
          <w:p>
            <w:r>
              <w:rPr>
                <w:rFonts w:ascii="Arial" w:hAnsi="Arial"/>
                <w:b/>
                <w:sz w:val="18"/>
              </w:rPr>
              <w:t>10K</w:t>
            </w:r>
          </w:p>
        </w:tc>
        <w:tc>
          <w:tcPr>
            <w:tcW w:type="dxa" w:w="1560"/>
          </w:tcPr>
          <w:p>
            <w:r>
              <w:rPr>
                <w:rFonts w:ascii="Arial" w:hAnsi="Arial"/>
                <w:b/>
                <w:sz w:val="18"/>
              </w:rPr>
              <w:t>100K</w:t>
            </w:r>
          </w:p>
        </w:tc>
        <w:tc>
          <w:tcPr>
            <w:tcW w:type="dxa" w:w="1560"/>
          </w:tcPr>
          <w:p>
            <w:r>
              <w:rPr>
                <w:rFonts w:ascii="Arial" w:hAnsi="Arial"/>
                <w:b/>
                <w:sz w:val="18"/>
              </w:rPr>
              <w:t>500K</w:t>
            </w:r>
          </w:p>
        </w:tc>
        <w:tc>
          <w:tcPr>
            <w:tcW w:type="dxa" w:w="1560"/>
          </w:tcPr>
          <w:p>
            <w:r>
              <w:rPr>
                <w:rFonts w:ascii="Arial" w:hAnsi="Arial"/>
                <w:b/>
                <w:sz w:val="18"/>
              </w:rPr>
              <w:t>1M</w:t>
            </w:r>
          </w:p>
        </w:tc>
      </w:tr>
      <w:tr>
        <w:tc>
          <w:tcPr>
            <w:tcW w:type="dxa" w:w="1560"/>
          </w:tcPr>
          <w:p>
            <w:r>
              <w:rPr>
                <w:rFonts w:ascii="Arial" w:hAnsi="Arial"/>
                <w:sz w:val="18"/>
              </w:rPr>
              <w:t>coin_flip</w:t>
            </w:r>
          </w:p>
        </w:tc>
        <w:tc>
          <w:tcPr>
            <w:tcW w:type="dxa" w:w="1560"/>
          </w:tcPr>
          <w:p>
            <w:r>
              <w:rPr>
                <w:rFonts w:ascii="Arial" w:hAnsi="Arial"/>
                <w:sz w:val="18"/>
              </w:rPr>
              <w:t>0.4970</w:t>
            </w:r>
          </w:p>
        </w:tc>
        <w:tc>
          <w:tcPr>
            <w:tcW w:type="dxa" w:w="1560"/>
          </w:tcPr>
          <w:p>
            <w:r>
              <w:rPr>
                <w:rFonts w:ascii="Arial" w:hAnsi="Arial"/>
                <w:sz w:val="18"/>
              </w:rPr>
              <w:t>0.5000</w:t>
            </w:r>
          </w:p>
        </w:tc>
        <w:tc>
          <w:tcPr>
            <w:tcW w:type="dxa" w:w="1560"/>
          </w:tcPr>
          <w:p>
            <w:r>
              <w:rPr>
                <w:rFonts w:ascii="Arial" w:hAnsi="Arial"/>
                <w:sz w:val="18"/>
              </w:rPr>
              <w:t>0.5000</w:t>
            </w:r>
          </w:p>
        </w:tc>
        <w:tc>
          <w:tcPr>
            <w:tcW w:type="dxa" w:w="1560"/>
          </w:tcPr>
          <w:p>
            <w:r>
              <w:rPr>
                <w:rFonts w:ascii="Arial" w:hAnsi="Arial"/>
                <w:sz w:val="18"/>
              </w:rPr>
              <w:t>0.5015</w:t>
            </w:r>
          </w:p>
        </w:tc>
        <w:tc>
          <w:tcPr>
            <w:tcW w:type="dxa" w:w="1560"/>
          </w:tcPr>
          <w:p>
            <w:r>
              <w:rPr>
                <w:rFonts w:ascii="Arial" w:hAnsi="Arial"/>
                <w:sz w:val="18"/>
              </w:rPr>
              <w:t>0.5012</w:t>
            </w:r>
          </w:p>
        </w:tc>
      </w:tr>
      <w:tr>
        <w:tc>
          <w:tcPr>
            <w:tcW w:type="dxa" w:w="1560"/>
          </w:tcPr>
          <w:p>
            <w:r>
              <w:rPr>
                <w:rFonts w:ascii="Arial" w:hAnsi="Arial"/>
                <w:sz w:val="18"/>
              </w:rPr>
              <w:t>dice_lte3</w:t>
            </w:r>
          </w:p>
        </w:tc>
        <w:tc>
          <w:tcPr>
            <w:tcW w:type="dxa" w:w="1560"/>
          </w:tcPr>
          <w:p>
            <w:r>
              <w:rPr>
                <w:rFonts w:ascii="Arial" w:hAnsi="Arial"/>
                <w:sz w:val="18"/>
              </w:rPr>
              <w:t>0.4620</w:t>
            </w:r>
          </w:p>
        </w:tc>
        <w:tc>
          <w:tcPr>
            <w:tcW w:type="dxa" w:w="1560"/>
          </w:tcPr>
          <w:p>
            <w:r>
              <w:rPr>
                <w:rFonts w:ascii="Arial" w:hAnsi="Arial"/>
                <w:sz w:val="18"/>
              </w:rPr>
              <w:t>0.4896</w:t>
            </w:r>
          </w:p>
        </w:tc>
        <w:tc>
          <w:tcPr>
            <w:tcW w:type="dxa" w:w="1560"/>
          </w:tcPr>
          <w:p>
            <w:r>
              <w:rPr>
                <w:rFonts w:ascii="Arial" w:hAnsi="Arial"/>
                <w:sz w:val="18"/>
              </w:rPr>
              <w:t>0.5007</w:t>
            </w:r>
          </w:p>
        </w:tc>
        <w:tc>
          <w:tcPr>
            <w:tcW w:type="dxa" w:w="1560"/>
          </w:tcPr>
          <w:p>
            <w:r>
              <w:rPr>
                <w:rFonts w:ascii="Arial" w:hAnsi="Arial"/>
                <w:sz w:val="18"/>
              </w:rPr>
              <w:t>0.5010</w:t>
            </w:r>
          </w:p>
        </w:tc>
        <w:tc>
          <w:tcPr>
            <w:tcW w:type="dxa" w:w="1560"/>
          </w:tcPr>
          <w:p>
            <w:r>
              <w:rPr>
                <w:rFonts w:ascii="Arial" w:hAnsi="Arial"/>
                <w:sz w:val="18"/>
              </w:rPr>
              <w:t>0.5009</w:t>
            </w:r>
          </w:p>
        </w:tc>
      </w:tr>
      <w:tr>
        <w:tc>
          <w:tcPr>
            <w:tcW w:type="dxa" w:w="1560"/>
          </w:tcPr>
          <w:p>
            <w:r>
              <w:rPr>
                <w:rFonts w:ascii="Arial" w:hAnsi="Arial"/>
                <w:sz w:val="18"/>
              </w:rPr>
              <w:t>kings_cup</w:t>
            </w:r>
          </w:p>
        </w:tc>
        <w:tc>
          <w:tcPr>
            <w:tcW w:type="dxa" w:w="1560"/>
          </w:tcPr>
          <w:p>
            <w:r>
              <w:rPr>
                <w:rFonts w:ascii="Arial" w:hAnsi="Arial"/>
                <w:sz w:val="18"/>
              </w:rPr>
              <w:t>0.4097</w:t>
            </w:r>
          </w:p>
        </w:tc>
        <w:tc>
          <w:tcPr>
            <w:tcW w:type="dxa" w:w="1560"/>
          </w:tcPr>
          <w:p>
            <w:r>
              <w:rPr>
                <w:rFonts w:ascii="Arial" w:hAnsi="Arial"/>
                <w:sz w:val="18"/>
              </w:rPr>
              <w:t>0.4067</w:t>
            </w:r>
          </w:p>
        </w:tc>
        <w:tc>
          <w:tcPr>
            <w:tcW w:type="dxa" w:w="1560"/>
          </w:tcPr>
          <w:p>
            <w:r>
              <w:rPr>
                <w:rFonts w:ascii="Arial" w:hAnsi="Arial"/>
                <w:sz w:val="18"/>
              </w:rPr>
              <w:t>0.4069</w:t>
            </w:r>
          </w:p>
        </w:tc>
        <w:tc>
          <w:tcPr>
            <w:tcW w:type="dxa" w:w="1560"/>
          </w:tcPr>
          <w:p>
            <w:r>
              <w:rPr>
                <w:rFonts w:ascii="Arial" w:hAnsi="Arial"/>
                <w:sz w:val="18"/>
              </w:rPr>
              <w:t>0.4077</w:t>
            </w:r>
          </w:p>
        </w:tc>
        <w:tc>
          <w:tcPr>
            <w:tcW w:type="dxa" w:w="1560"/>
          </w:tcPr>
          <w:p>
            <w:r>
              <w:rPr>
                <w:rFonts w:ascii="Arial" w:hAnsi="Arial"/>
                <w:sz w:val="18"/>
              </w:rPr>
              <w:t>0.4077</w:t>
            </w:r>
          </w:p>
        </w:tc>
      </w:tr>
      <w:tr>
        <w:tc>
          <w:tcPr>
            <w:tcW w:type="dxa" w:w="1560"/>
          </w:tcPr>
          <w:p>
            <w:r>
              <w:rPr>
                <w:rFonts w:ascii="Arial" w:hAnsi="Arial"/>
                <w:sz w:val="18"/>
              </w:rPr>
              <w:t>blackjack_bust</w:t>
            </w:r>
          </w:p>
        </w:tc>
        <w:tc>
          <w:tcPr>
            <w:tcW w:type="dxa" w:w="1560"/>
          </w:tcPr>
          <w:p>
            <w:r>
              <w:rPr>
                <w:rFonts w:ascii="Arial" w:hAnsi="Arial"/>
                <w:sz w:val="18"/>
              </w:rPr>
              <w:t>0.3950</w:t>
            </w:r>
          </w:p>
        </w:tc>
        <w:tc>
          <w:tcPr>
            <w:tcW w:type="dxa" w:w="1560"/>
          </w:tcPr>
          <w:p>
            <w:r>
              <w:rPr>
                <w:rFonts w:ascii="Arial" w:hAnsi="Arial"/>
                <w:sz w:val="18"/>
              </w:rPr>
              <w:t>0.3852</w:t>
            </w:r>
          </w:p>
        </w:tc>
        <w:tc>
          <w:tcPr>
            <w:tcW w:type="dxa" w:w="1560"/>
          </w:tcPr>
          <w:p>
            <w:r>
              <w:rPr>
                <w:rFonts w:ascii="Arial" w:hAnsi="Arial"/>
                <w:sz w:val="18"/>
              </w:rPr>
              <w:t>0.3778</w:t>
            </w:r>
          </w:p>
        </w:tc>
        <w:tc>
          <w:tcPr>
            <w:tcW w:type="dxa" w:w="1560"/>
          </w:tcPr>
          <w:p>
            <w:r>
              <w:rPr>
                <w:rFonts w:ascii="Arial" w:hAnsi="Arial"/>
                <w:sz w:val="18"/>
              </w:rPr>
              <w:t>0.3785</w:t>
            </w:r>
          </w:p>
        </w:tc>
        <w:tc>
          <w:tcPr>
            <w:tcW w:type="dxa" w:w="1560"/>
          </w:tcPr>
          <w:p>
            <w:r>
              <w:rPr>
                <w:rFonts w:ascii="Arial" w:hAnsi="Arial"/>
                <w:sz w:val="18"/>
              </w:rPr>
              <w:t>0.3781</w:t>
            </w:r>
          </w:p>
        </w:tc>
      </w:tr>
      <w:tr>
        <w:tc>
          <w:tcPr>
            <w:tcW w:type="dxa" w:w="1560"/>
          </w:tcPr>
          <w:p>
            <w:r>
              <w:rPr>
                <w:rFonts w:ascii="Arial" w:hAnsi="Arial"/>
                <w:sz w:val="18"/>
              </w:rPr>
              <w:t>roulette_red</w:t>
            </w:r>
          </w:p>
        </w:tc>
        <w:tc>
          <w:tcPr>
            <w:tcW w:type="dxa" w:w="1560"/>
          </w:tcPr>
          <w:p>
            <w:r>
              <w:rPr>
                <w:rFonts w:ascii="Arial" w:hAnsi="Arial"/>
                <w:sz w:val="18"/>
              </w:rPr>
              <w:t>0.4720</w:t>
            </w:r>
          </w:p>
        </w:tc>
        <w:tc>
          <w:tcPr>
            <w:tcW w:type="dxa" w:w="1560"/>
          </w:tcPr>
          <w:p>
            <w:r>
              <w:rPr>
                <w:rFonts w:ascii="Arial" w:hAnsi="Arial"/>
                <w:sz w:val="18"/>
              </w:rPr>
              <w:t>0.4738</w:t>
            </w:r>
          </w:p>
        </w:tc>
        <w:tc>
          <w:tcPr>
            <w:tcW w:type="dxa" w:w="1560"/>
          </w:tcPr>
          <w:p>
            <w:r>
              <w:rPr>
                <w:rFonts w:ascii="Arial" w:hAnsi="Arial"/>
                <w:sz w:val="18"/>
              </w:rPr>
              <w:t>0.4741</w:t>
            </w:r>
          </w:p>
        </w:tc>
        <w:tc>
          <w:tcPr>
            <w:tcW w:type="dxa" w:w="1560"/>
          </w:tcPr>
          <w:p>
            <w:r>
              <w:rPr>
                <w:rFonts w:ascii="Arial" w:hAnsi="Arial"/>
                <w:sz w:val="18"/>
              </w:rPr>
              <w:t>0.4734</w:t>
            </w:r>
          </w:p>
        </w:tc>
        <w:tc>
          <w:tcPr>
            <w:tcW w:type="dxa" w:w="1560"/>
          </w:tcPr>
          <w:p>
            <w:r>
              <w:rPr>
                <w:rFonts w:ascii="Arial" w:hAnsi="Arial"/>
                <w:sz w:val="18"/>
              </w:rPr>
              <w:t>0.4734</w:t>
            </w:r>
          </w:p>
        </w:tc>
      </w:tr>
      <w:tr>
        <w:tc>
          <w:tcPr>
            <w:tcW w:type="dxa" w:w="1560"/>
          </w:tcPr>
          <w:p>
            <w:r>
              <w:rPr>
                <w:rFonts w:ascii="Arial" w:hAnsi="Arial"/>
                <w:sz w:val="18"/>
              </w:rPr>
              <w:t>war_win</w:t>
            </w:r>
          </w:p>
        </w:tc>
        <w:tc>
          <w:tcPr>
            <w:tcW w:type="dxa" w:w="1560"/>
          </w:tcPr>
          <w:p>
            <w:r>
              <w:rPr>
                <w:rFonts w:ascii="Arial" w:hAnsi="Arial"/>
                <w:sz w:val="18"/>
              </w:rPr>
              <w:t>0.5191</w:t>
            </w:r>
          </w:p>
        </w:tc>
        <w:tc>
          <w:tcPr>
            <w:tcW w:type="dxa" w:w="1560"/>
          </w:tcPr>
          <w:p>
            <w:r>
              <w:rPr>
                <w:rFonts w:ascii="Arial" w:hAnsi="Arial"/>
                <w:sz w:val="18"/>
              </w:rPr>
              <w:t>0.4909</w:t>
            </w:r>
          </w:p>
        </w:tc>
        <w:tc>
          <w:tcPr>
            <w:tcW w:type="dxa" w:w="1560"/>
          </w:tcPr>
          <w:p>
            <w:r>
              <w:rPr>
                <w:rFonts w:ascii="Arial" w:hAnsi="Arial"/>
                <w:sz w:val="18"/>
              </w:rPr>
              <w:t>0.4988</w:t>
            </w:r>
          </w:p>
        </w:tc>
        <w:tc>
          <w:tcPr>
            <w:tcW w:type="dxa" w:w="1560"/>
          </w:tcPr>
          <w:p>
            <w:r>
              <w:rPr>
                <w:rFonts w:ascii="Arial" w:hAnsi="Arial"/>
                <w:sz w:val="18"/>
              </w:rPr>
              <w:t>0.5000</w:t>
            </w:r>
          </w:p>
        </w:tc>
        <w:tc>
          <w:tcPr>
            <w:tcW w:type="dxa" w:w="1560"/>
          </w:tcPr>
          <w:p>
            <w:r>
              <w:rPr>
                <w:rFonts w:ascii="Arial" w:hAnsi="Arial"/>
                <w:sz w:val="18"/>
              </w:rPr>
              <w:t>0.5000</w:t>
            </w:r>
          </w:p>
        </w:tc>
      </w:tr>
      <w:tr>
        <w:tc>
          <w:tcPr>
            <w:tcW w:type="dxa" w:w="1560"/>
          </w:tcPr>
          <w:p>
            <w:r>
              <w:rPr>
                <w:rFonts w:ascii="Arial" w:hAnsi="Arial"/>
                <w:sz w:val="18"/>
              </w:rPr>
              <w:t>craps_pass</w:t>
            </w:r>
          </w:p>
        </w:tc>
        <w:tc>
          <w:tcPr>
            <w:tcW w:type="dxa" w:w="1560"/>
          </w:tcPr>
          <w:p>
            <w:r>
              <w:rPr>
                <w:rFonts w:ascii="Arial" w:hAnsi="Arial"/>
                <w:sz w:val="18"/>
              </w:rPr>
              <w:t>0.4760</w:t>
            </w:r>
          </w:p>
        </w:tc>
        <w:tc>
          <w:tcPr>
            <w:tcW w:type="dxa" w:w="1560"/>
          </w:tcPr>
          <w:p>
            <w:r>
              <w:rPr>
                <w:rFonts w:ascii="Arial" w:hAnsi="Arial"/>
                <w:sz w:val="18"/>
              </w:rPr>
              <w:t>0.4952</w:t>
            </w:r>
          </w:p>
        </w:tc>
        <w:tc>
          <w:tcPr>
            <w:tcW w:type="dxa" w:w="1560"/>
          </w:tcPr>
          <w:p>
            <w:r>
              <w:rPr>
                <w:rFonts w:ascii="Arial" w:hAnsi="Arial"/>
                <w:sz w:val="18"/>
              </w:rPr>
              <w:t>0.4950</w:t>
            </w:r>
          </w:p>
        </w:tc>
        <w:tc>
          <w:tcPr>
            <w:tcW w:type="dxa" w:w="1560"/>
          </w:tcPr>
          <w:p>
            <w:r>
              <w:rPr>
                <w:rFonts w:ascii="Arial" w:hAnsi="Arial"/>
                <w:sz w:val="18"/>
              </w:rPr>
              <w:t>0.4939</w:t>
            </w:r>
          </w:p>
        </w:tc>
        <w:tc>
          <w:tcPr>
            <w:tcW w:type="dxa" w:w="1560"/>
          </w:tcPr>
          <w:p>
            <w:r>
              <w:rPr>
                <w:rFonts w:ascii="Arial" w:hAnsi="Arial"/>
                <w:sz w:val="18"/>
              </w:rPr>
              <w:t>0.4931</w:t>
            </w:r>
          </w:p>
        </w:tc>
      </w:tr>
    </w:tbl>
    <w:p>
      <w:r>
        <w:br w:type="page"/>
      </w:r>
    </w:p>
    <w:p>
      <w:pPr>
        <w:pStyle w:val="Heading1"/>
      </w:pPr>
      <w:r>
        <w:rPr>
          <w:rFonts w:ascii="Arial" w:hAnsi="Arial"/>
          <w:color w:val="1B3A2D"/>
        </w:rPr>
        <w:t>7. Kings Cup — Mathematical Derivation</w:t>
      </w:r>
    </w:p>
    <w:p>
      <w:pPr>
        <w:spacing w:after="120"/>
      </w:pPr>
      <w:r>
        <w:rPr>
          <w:rFonts w:ascii="Arial" w:hAnsi="Arial"/>
          <w:b w:val="0"/>
          <w:i w:val="0"/>
          <w:sz w:val="22"/>
        </w:rPr>
        <w:t>The Kings Cup game measures the position of the 2nd King drawn from a shuffled 52-card deck. This is the 2nd order statistic of 4 items drawn from a discrete uniform distribution on {1, 2, ..., 52}.</w:t>
      </w:r>
    </w:p>
    <w:p>
      <w:pPr>
        <w:spacing w:after="120"/>
      </w:pPr>
      <w:r>
        <w:rPr>
          <w:rFonts w:ascii="Arial" w:hAnsi="Arial"/>
          <w:b/>
          <w:i w:val="0"/>
          <w:sz w:val="22"/>
        </w:rPr>
        <w:t>Derivation:</w:t>
      </w:r>
    </w:p>
    <w:p>
      <w:pPr>
        <w:spacing w:after="120"/>
      </w:pPr>
      <w:r>
        <w:rPr>
          <w:rFonts w:ascii="Arial" w:hAnsi="Arial"/>
          <w:b w:val="0"/>
          <w:i w:val="0"/>
          <w:sz w:val="24"/>
        </w:rPr>
        <w:t>For n items uniformly distributed on {1, ..., N}, the expected value of the k-th order statistic is:</w:t>
        <w:br/>
        <w:t>E[X_(k)] = k(N + 1) / (n + 1)</w:t>
      </w:r>
    </w:p>
    <w:p>
      <w:pPr>
        <w:spacing w:after="120"/>
      </w:pPr>
      <w:r>
        <w:rPr>
          <w:rFonts w:ascii="Arial" w:hAnsi="Arial"/>
          <w:b w:val="0"/>
          <w:i w:val="0"/>
          <w:sz w:val="24"/>
        </w:rPr>
        <w:t>With n = 4 Kings, N = 52 positions, k = 2 (2nd King):</w:t>
        <w:br/>
        <w:t>E[X_(2)] = 2 × 53 / 5 = 21.2</w:t>
      </w:r>
    </w:p>
    <w:p>
      <w:pPr>
        <w:spacing w:after="120"/>
      </w:pPr>
      <w:r>
        <w:rPr>
          <w:rFonts w:ascii="Arial" w:hAnsi="Arial"/>
          <w:b w:val="0"/>
          <w:i w:val="0"/>
          <w:sz w:val="24"/>
        </w:rPr>
        <w:t>Clustering ratio = 21.2 / 52 = 0.40769...</w:t>
        <w:br/>
        <w:t>Simulated at 1M trials: 0.4077</w:t>
        <w:br/>
        <w:t>MasterDocument reference: 0.4073</w:t>
        <w:br/>
        <w:t>Delta from simulation to MasterDocument: 0.0004</w:t>
      </w:r>
    </w:p>
    <w:p>
      <w:pPr>
        <w:spacing w:after="120"/>
      </w:pPr>
      <w:r>
        <w:rPr>
          <w:rFonts w:ascii="Arial" w:hAnsi="Arial"/>
          <w:b w:val="0"/>
          <w:i w:val="0"/>
          <w:sz w:val="22"/>
        </w:rPr>
        <w:t>The 2nd King marks the irreversible state change in the game: the transition from exploratory draws to constrained play. Before the 2nd King, each draw is low-information. After the 2nd King, the remaining deck composition is materially altered and player strategy shifts.</w:t>
      </w:r>
    </w:p>
    <w:p>
      <w:pPr>
        <w:pStyle w:val="Heading1"/>
      </w:pPr>
      <w:r>
        <w:rPr>
          <w:rFonts w:ascii="Arial" w:hAnsi="Arial"/>
          <w:color w:val="1B3A2D"/>
        </w:rPr>
        <w:t>8. Band Classification</w:t>
      </w:r>
    </w:p>
    <w:p>
      <w:pPr>
        <w:spacing w:after="120"/>
      </w:pPr>
      <w:r>
        <w:rPr>
          <w:rFonts w:ascii="Arial" w:hAnsi="Arial"/>
          <w:b/>
          <w:i w:val="0"/>
          <w:sz w:val="22"/>
        </w:rPr>
        <w:t>INSIDE the convergence band [0.30, 0.49]:</w:t>
      </w:r>
    </w:p>
    <w:p>
      <w:pPr>
        <w:spacing w:after="120"/>
      </w:pPr>
      <w:r>
        <w:rPr>
          <w:rFonts w:ascii="Arial" w:hAnsi="Arial"/>
          <w:b w:val="0"/>
          <w:i w:val="0"/>
          <w:sz w:val="20"/>
        </w:rPr>
        <w:t>kings_cup — 0.4077: Game with structural asymmetry (order statistic of 4 from 52). Ratio determined by deck composition, not binary probability.</w:t>
      </w:r>
    </w:p>
    <w:p>
      <w:pPr>
        <w:spacing w:after="120"/>
      </w:pPr>
      <w:r>
        <w:rPr>
          <w:rFonts w:ascii="Arial" w:hAnsi="Arial"/>
          <w:b w:val="0"/>
          <w:i w:val="0"/>
          <w:sz w:val="20"/>
        </w:rPr>
        <w:t>blackjack_bust — 0.3781: Multi-card interaction with ace adjustment rule creates non-trivial probability. Closest to reference point 0.39.</w:t>
      </w:r>
    </w:p>
    <w:p>
      <w:pPr>
        <w:spacing w:after="120"/>
      </w:pPr>
      <w:r>
        <w:rPr>
          <w:rFonts w:ascii="Arial" w:hAnsi="Arial"/>
          <w:b w:val="0"/>
          <w:i w:val="0"/>
          <w:sz w:val="20"/>
        </w:rPr>
        <w:t>roulette_red — 0.4734: House edge (2 green slots out of 38) pulls the ratio below 0.50 and into the upper range of the band.</w:t>
      </w:r>
    </w:p>
    <w:p>
      <w:pPr>
        <w:spacing w:after="120"/>
      </w:pPr>
      <w:r>
        <w:rPr>
          <w:rFonts w:ascii="Arial" w:hAnsi="Arial"/>
          <w:b/>
          <w:i w:val="0"/>
          <w:sz w:val="22"/>
        </w:rPr>
        <w:t>OUTSIDE the convergence band:</w:t>
      </w:r>
    </w:p>
    <w:p>
      <w:pPr>
        <w:spacing w:after="120"/>
      </w:pPr>
      <w:r>
        <w:rPr>
          <w:rFonts w:ascii="Arial" w:hAnsi="Arial"/>
          <w:b w:val="0"/>
          <w:i w:val="0"/>
          <w:sz w:val="20"/>
        </w:rPr>
        <w:t>coin_flip — 0.5012: Pure binary symmetric outcome. Converges to 0.50.</w:t>
      </w:r>
    </w:p>
    <w:p>
      <w:pPr>
        <w:spacing w:after="120"/>
      </w:pPr>
      <w:r>
        <w:rPr>
          <w:rFonts w:ascii="Arial" w:hAnsi="Arial"/>
          <w:b w:val="0"/>
          <w:i w:val="0"/>
          <w:sz w:val="20"/>
        </w:rPr>
        <w:t>dice_lte3 — 0.5009: Binary symmetric (3 of 6 faces). Converges to 0.50.</w:t>
      </w:r>
    </w:p>
    <w:p>
      <w:pPr>
        <w:spacing w:after="120"/>
      </w:pPr>
      <w:r>
        <w:rPr>
          <w:rFonts w:ascii="Arial" w:hAnsi="Arial"/>
          <w:b w:val="0"/>
          <w:i w:val="0"/>
          <w:sz w:val="20"/>
        </w:rPr>
        <w:t>war_win — 0.5000: Symmetric two-player comparison. Ties excluded. Converges to 0.50.</w:t>
      </w:r>
    </w:p>
    <w:p>
      <w:pPr>
        <w:spacing w:after="120"/>
      </w:pPr>
      <w:r>
        <w:rPr>
          <w:rFonts w:ascii="Arial" w:hAnsi="Arial"/>
          <w:b w:val="0"/>
          <w:i w:val="0"/>
          <w:sz w:val="20"/>
        </w:rPr>
        <w:t>craps_pass — 0.4931: Slight house edge (244/495 = 0.4929). Falls just above the band ceiling.</w:t>
      </w:r>
    </w:p>
    <w:p>
      <w:pPr>
        <w:spacing w:after="120"/>
      </w:pPr>
      <w:r>
        <w:rPr>
          <w:rFonts w:ascii="Arial" w:hAnsi="Arial"/>
          <w:b w:val="0"/>
          <w:i w:val="0"/>
          <w:sz w:val="22"/>
        </w:rPr>
        <w:t>Pattern: games with structural asymmetry or non-trivial mechanics (order statistics, multi-card interactions, house edge via extra slots) produce ratios inside the band. Pure symmetric binary outcomes converge to 0.50 and fall outside.</w:t>
      </w:r>
    </w:p>
    <w:p>
      <w:pPr>
        <w:pStyle w:val="Heading1"/>
      </w:pPr>
      <w:r>
        <w:rPr>
          <w:rFonts w:ascii="Arial" w:hAnsi="Arial"/>
          <w:color w:val="1B3A2D"/>
        </w:rPr>
        <w:t>9. Event Record Structure</w:t>
      </w:r>
    </w:p>
    <w:p>
      <w:pPr>
        <w:spacing w:after="120"/>
      </w:pPr>
      <w:r>
        <w:rPr>
          <w:rFonts w:ascii="Arial" w:hAnsi="Arial"/>
          <w:b w:val="0"/>
          <w:i w:val="0"/>
          <w:sz w:val="22"/>
        </w:rPr>
        <w:t>Each simulation result is written as a glyph_event_record conforming to event_schema_v1.json. The record maps simulation output to the universal event-cycle schema as follows: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Arial" w:hAnsi="Arial"/>
                <w:b/>
                <w:sz w:val="20"/>
              </w:rPr>
              <w:t>Schema Field</w:t>
            </w:r>
          </w:p>
        </w:tc>
        <w:tc>
          <w:tcPr>
            <w:tcW w:type="dxa" w:w="4680"/>
          </w:tcPr>
          <w:p>
            <w:r>
              <w:rPr>
                <w:rFonts w:ascii="Arial" w:hAnsi="Arial"/>
                <w:b/>
                <w:sz w:val="20"/>
              </w:rPr>
              <w:t>Simulation Mapping</w:t>
            </w:r>
          </w:p>
        </w:tc>
      </w:tr>
      <w:tr>
        <w:tc>
          <w:tcPr>
            <w:tcW w:type="dxa" w:w="4680"/>
          </w:tcPr>
          <w:p>
            <w:r>
              <w:rPr>
                <w:rFonts w:ascii="Arial" w:hAnsi="Arial"/>
                <w:sz w:val="20"/>
              </w:rPr>
              <w:t>record_id</w:t>
            </w:r>
          </w:p>
        </w:tc>
        <w:tc>
          <w:tcPr>
            <w:tcW w:type="dxa" w:w="4680"/>
          </w:tcPr>
          <w:p>
            <w:r>
              <w:rPr>
                <w:rFonts w:ascii="Arial" w:hAnsi="Arial"/>
                <w:sz w:val="20"/>
              </w:rPr>
              <w:t>gev_NNNNNN (auto-incremented)</w:t>
            </w:r>
          </w:p>
        </w:tc>
      </w:tr>
      <w:tr>
        <w:tc>
          <w:tcPr>
            <w:tcW w:type="dxa" w:w="4680"/>
          </w:tcPr>
          <w:p>
            <w:r>
              <w:rPr>
                <w:rFonts w:ascii="Arial" w:hAnsi="Arial"/>
                <w:sz w:val="20"/>
              </w:rPr>
              <w:t>domain</w:t>
            </w:r>
          </w:p>
        </w:tc>
        <w:tc>
          <w:tcPr>
            <w:tcW w:type="dxa" w:w="4680"/>
          </w:tcPr>
          <w:p>
            <w:r>
              <w:rPr>
                <w:rFonts w:ascii="Arial" w:hAnsi="Arial"/>
                <w:sz w:val="20"/>
              </w:rPr>
              <w:t>simulation</w:t>
            </w:r>
          </w:p>
        </w:tc>
      </w:tr>
      <w:tr>
        <w:tc>
          <w:tcPr>
            <w:tcW w:type="dxa" w:w="4680"/>
          </w:tcPr>
          <w:p>
            <w:r>
              <w:rPr>
                <w:rFonts w:ascii="Arial" w:hAnsi="Arial"/>
                <w:sz w:val="20"/>
              </w:rPr>
              <w:t>cycle_definition.cycle_length</w:t>
            </w:r>
          </w:p>
        </w:tc>
        <w:tc>
          <w:tcPr>
            <w:tcW w:type="dxa" w:w="4680"/>
          </w:tcPr>
          <w:p>
            <w:r>
              <w:rPr>
                <w:rFonts w:ascii="Arial" w:hAnsi="Arial"/>
                <w:sz w:val="20"/>
              </w:rPr>
              <w:t>n_trials (or 52 for Kings Cup)</w:t>
            </w:r>
          </w:p>
        </w:tc>
      </w:tr>
      <w:tr>
        <w:tc>
          <w:tcPr>
            <w:tcW w:type="dxa" w:w="4680"/>
          </w:tcPr>
          <w:p>
            <w:r>
              <w:rPr>
                <w:rFonts w:ascii="Arial" w:hAnsi="Arial"/>
                <w:sz w:val="20"/>
              </w:rPr>
              <w:t>irreversible_event.event_position</w:t>
            </w:r>
          </w:p>
        </w:tc>
        <w:tc>
          <w:tcPr>
            <w:tcW w:type="dxa" w:w="4680"/>
          </w:tcPr>
          <w:p>
            <w:r>
              <w:rPr>
                <w:rFonts w:ascii="Arial" w:hAnsi="Arial"/>
                <w:sz w:val="20"/>
              </w:rPr>
              <w:t>hits count (or avg 2nd King position)</w:t>
            </w:r>
          </w:p>
        </w:tc>
      </w:tr>
      <w:tr>
        <w:tc>
          <w:tcPr>
            <w:tcW w:type="dxa" w:w="4680"/>
          </w:tcPr>
          <w:p>
            <w:r>
              <w:rPr>
                <w:rFonts w:ascii="Arial" w:hAnsi="Arial"/>
                <w:sz w:val="20"/>
              </w:rPr>
              <w:t>metrics.clustering_ratio</w:t>
            </w:r>
          </w:p>
        </w:tc>
        <w:tc>
          <w:tcPr>
            <w:tcW w:type="dxa" w:w="4680"/>
          </w:tcPr>
          <w:p>
            <w:r>
              <w:rPr>
                <w:rFonts w:ascii="Arial" w:hAnsi="Arial"/>
                <w:sz w:val="20"/>
              </w:rPr>
              <w:t>event_position / cycle_length</w:t>
            </w:r>
          </w:p>
        </w:tc>
      </w:tr>
      <w:tr>
        <w:tc>
          <w:tcPr>
            <w:tcW w:type="dxa" w:w="4680"/>
          </w:tcPr>
          <w:p>
            <w:r>
              <w:rPr>
                <w:rFonts w:ascii="Arial" w:hAnsi="Arial"/>
                <w:sz w:val="20"/>
              </w:rPr>
              <w:t>metrics.inside_band</w:t>
            </w:r>
          </w:p>
        </w:tc>
        <w:tc>
          <w:tcPr>
            <w:tcW w:type="dxa" w:w="4680"/>
          </w:tcPr>
          <w:p>
            <w:r>
              <w:rPr>
                <w:rFonts w:ascii="Arial" w:hAnsi="Arial"/>
                <w:sz w:val="20"/>
              </w:rPr>
              <w:t>True if 0.30 ≤ ratio ≤ 0.49</w:t>
            </w:r>
          </w:p>
        </w:tc>
      </w:tr>
      <w:tr>
        <w:tc>
          <w:tcPr>
            <w:tcW w:type="dxa" w:w="4680"/>
          </w:tcPr>
          <w:p>
            <w:r>
              <w:rPr>
                <w:rFonts w:ascii="Arial" w:hAnsi="Arial"/>
                <w:sz w:val="20"/>
              </w:rPr>
              <w:t>notes.confidence_note</w:t>
            </w:r>
          </w:p>
        </w:tc>
        <w:tc>
          <w:tcPr>
            <w:tcW w:type="dxa" w:w="4680"/>
          </w:tcPr>
          <w:p>
            <w:r>
              <w:rPr>
                <w:rFonts w:ascii="Arial" w:hAnsi="Arial"/>
                <w:sz w:val="20"/>
              </w:rPr>
              <w:t>n=1,000,000 trials. Checkpoints at 1K/10K/100K/500K/1M</w:t>
            </w:r>
          </w:p>
        </w:tc>
      </w:tr>
    </w:tbl>
    <w:p>
      <w:pPr>
        <w:pStyle w:val="Heading1"/>
      </w:pPr>
      <w:r>
        <w:rPr>
          <w:rFonts w:ascii="Arial" w:hAnsi="Arial"/>
          <w:color w:val="1B3A2D"/>
        </w:rPr>
        <w:t>10. Reproduction</w:t>
      </w:r>
    </w:p>
    <w:p>
      <w:pPr>
        <w:spacing w:after="120"/>
      </w:pPr>
      <w:r>
        <w:rPr>
          <w:rFonts w:ascii="Arial" w:hAnsi="Arial"/>
          <w:b/>
          <w:i w:val="0"/>
          <w:sz w:val="22"/>
        </w:rPr>
        <w:t>To reproduce these results:</w:t>
      </w:r>
    </w:p>
    <w:p>
      <w:pPr>
        <w:spacing w:after="120"/>
      </w:pPr>
      <w:r>
        <w:rPr>
          <w:rFonts w:ascii="Arial" w:hAnsi="Arial"/>
          <w:b w:val="0"/>
          <w:i w:val="0"/>
          <w:sz w:val="22"/>
        </w:rPr>
        <w:t>1.  Navigate to the GLYPH8 directory containing glyph_simulations.py</w:t>
      </w:r>
    </w:p>
    <w:p>
      <w:pPr>
        <w:spacing w:after="120"/>
      </w:pPr>
      <w:r>
        <w:rPr>
          <w:rFonts w:ascii="Arial" w:hAnsi="Arial"/>
          <w:b w:val="0"/>
          <w:i w:val="0"/>
          <w:sz w:val="22"/>
        </w:rPr>
        <w:t>2.  Run: python3 glyph_simulations.py 1000000</w:t>
      </w:r>
    </w:p>
    <w:p>
      <w:pPr>
        <w:spacing w:after="120"/>
      </w:pPr>
      <w:r>
        <w:rPr>
          <w:rFonts w:ascii="Arial" w:hAnsi="Arial"/>
          <w:b w:val="0"/>
          <w:i w:val="0"/>
          <w:sz w:val="22"/>
        </w:rPr>
        <w:t>3.  Results write to events/ as individual JSON records plus sim_summary_YYYY-MM-DD.json</w:t>
      </w:r>
    </w:p>
    <w:p>
      <w:pPr>
        <w:spacing w:after="120"/>
      </w:pPr>
      <w:r>
        <w:rPr>
          <w:rFonts w:ascii="Arial" w:hAnsi="Arial"/>
          <w:b w:val="0"/>
          <w:i w:val="0"/>
          <w:sz w:val="22"/>
        </w:rPr>
        <w:t>4.  Quick verification: python3 glyph_simulations.py quick (10,000 trials)</w:t>
      </w:r>
    </w:p>
    <w:p>
      <w:pPr>
        <w:spacing w:after="120"/>
      </w:pPr>
      <w:r>
        <w:rPr>
          <w:rFonts w:ascii="Arial" w:hAnsi="Arial"/>
          <w:b w:val="0"/>
          <w:i w:val="0"/>
          <w:sz w:val="22"/>
        </w:rPr>
        <w:t>5.  Single game: python3 glyph_simulations.py single kings_cup 100000</w:t>
      </w:r>
    </w:p>
    <w:p>
      <w:pPr>
        <w:spacing w:after="120"/>
      </w:pPr>
      <w:r>
        <w:rPr>
          <w:rFonts w:ascii="Arial" w:hAnsi="Arial"/>
          <w:b w:val="0"/>
          <w:i w:val="0"/>
          <w:sz w:val="22"/>
        </w:rPr>
        <w:t>Results will vary at the 4th decimal place between runs due to random seed. Convergence to expected values is stable by 100,000 trials across all games.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